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Washington, D.C. 20549</w:t>
      </w:r>
    </w:p>
    <w:p>
      <w:pPr>
        <w:spacing w:after="0" w:line="123" w:lineRule="exact"/>
        <w:rPr>
          <w:sz w:val="24"/>
          <w:szCs w:val="24"/>
          <w:color w:val="auto"/>
        </w:rPr>
      </w:pPr>
    </w:p>
    <w:p>
      <w:pPr>
        <w:jc w:val="center"/>
        <w:ind w:right="-24"/>
        <w:spacing w:after="0"/>
        <w:rPr>
          <w:sz w:val="20"/>
          <w:szCs w:val="20"/>
          <w:color w:val="auto"/>
        </w:rPr>
      </w:pPr>
      <w:r>
        <w:rPr>
          <w:rFonts w:ascii="Arial" w:cs="Arial" w:eastAsia="Arial" w:hAnsi="Arial"/>
          <w:sz w:val="22"/>
          <w:szCs w:val="22"/>
          <w:color w:val="auto"/>
        </w:rPr>
        <w:t>DEFINITIVE PROXY STATEMENT</w:t>
      </w:r>
    </w:p>
    <w:p>
      <w:pPr>
        <w:spacing w:after="0" w:line="38"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SCHEDULE 14A</w:t>
      </w:r>
    </w:p>
    <w:p>
      <w:pPr>
        <w:spacing w:after="0" w:line="63"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(Rule 14a-101)</w:t>
      </w:r>
    </w:p>
    <w:p>
      <w:pPr>
        <w:spacing w:after="0" w:line="63"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INFORMATION REQUIRED IN PROXY STATEMENT</w:t>
      </w:r>
    </w:p>
    <w:p>
      <w:pPr>
        <w:spacing w:after="0" w:line="171"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SCHEDULE 14A INFORMATION</w:t>
      </w:r>
    </w:p>
    <w:p>
      <w:pPr>
        <w:spacing w:after="0" w:line="171" w:lineRule="exact"/>
        <w:rPr>
          <w:sz w:val="24"/>
          <w:szCs w:val="24"/>
          <w:color w:val="auto"/>
        </w:rPr>
      </w:pPr>
    </w:p>
    <w:p>
      <w:pPr>
        <w:jc w:val="center"/>
        <w:ind w:right="15"/>
        <w:spacing w:after="0"/>
        <w:rPr>
          <w:sz w:val="20"/>
          <w:szCs w:val="20"/>
          <w:color w:val="auto"/>
        </w:rPr>
      </w:pPr>
      <w:r>
        <w:rPr>
          <w:rFonts w:ascii="Arial" w:cs="Arial" w:eastAsia="Arial" w:hAnsi="Arial"/>
          <w:sz w:val="16"/>
          <w:szCs w:val="16"/>
          <w:color w:val="auto"/>
        </w:rPr>
        <w:t>Proxy Statement Pursuant to Section 14(a) of the Securities Exchange Act of 1934 (Amendment No. )</w:t>
      </w:r>
    </w:p>
    <w:p>
      <w:pPr>
        <w:spacing w:after="0" w:line="343"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x</w:t>
      </w:r>
    </w:p>
    <w:p>
      <w:pPr>
        <w:spacing w:after="0" w:line="90"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387"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5"/>
          </w:cols>
          <w:pgMar w:left="275" w:top="881" w:right="299" w:bottom="1440" w:gutter="0" w:footer="0" w:header="0"/>
        </w:sectPr>
      </w:pPr>
    </w:p>
    <w:p>
      <w:pPr>
        <w:spacing w:after="0" w:line="63" w:lineRule="exact"/>
        <w:rPr>
          <w:sz w:val="24"/>
          <w:szCs w:val="24"/>
          <w:color w:val="auto"/>
        </w:rPr>
      </w:pPr>
    </w:p>
    <w:p>
      <w:pPr>
        <w:ind w:left="5"/>
        <w:spacing w:after="0"/>
        <w:tabs>
          <w:tab w:leader="none" w:pos="1125"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Rule 14a-12</w:t>
      </w:r>
    </w:p>
    <w:p>
      <w:pPr>
        <w:spacing w:after="0" w:line="211" w:lineRule="exact"/>
        <w:rPr>
          <w:sz w:val="24"/>
          <w:szCs w:val="24"/>
          <w:color w:val="auto"/>
        </w:rPr>
      </w:pPr>
    </w:p>
    <w:p>
      <w:pPr>
        <w:sectPr>
          <w:pgSz w:w="11900" w:h="16838" w:orient="portrait"/>
          <w:cols w:equalWidth="0" w:num="3">
            <w:col w:w="5005" w:space="720"/>
            <w:col w:w="100" w:space="340"/>
            <w:col w:w="5160"/>
          </w:cols>
          <w:pgMar w:left="275" w:top="881" w:right="299" w:bottom="1440" w:gutter="0" w:footer="0" w:header="0"/>
          <w:type w:val="continuous"/>
        </w:sectPr>
      </w:pPr>
    </w:p>
    <w:p>
      <w:pPr>
        <w:spacing w:after="0" w:line="91" w:lineRule="exact"/>
        <w:rPr>
          <w:sz w:val="24"/>
          <w:szCs w:val="24"/>
          <w:color w:val="auto"/>
        </w:rPr>
      </w:pPr>
    </w:p>
    <w:p>
      <w:pPr>
        <w:ind w:left="1145" w:right="5800" w:hanging="1145"/>
        <w:spacing w:after="0" w:line="277" w:lineRule="auto"/>
        <w:tabs>
          <w:tab w:leader="none" w:pos="114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8" w:lineRule="exact"/>
        <w:rPr>
          <w:sz w:val="24"/>
          <w:szCs w:val="24"/>
          <w:color w:val="auto"/>
        </w:rPr>
      </w:pPr>
    </w:p>
    <w:p>
      <w:pPr>
        <w:ind w:left="1145" w:hanging="1145"/>
        <w:spacing w:after="0"/>
        <w:tabs>
          <w:tab w:leader="none" w:pos="114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1145" w:hanging="1145"/>
        <w:spacing w:after="0"/>
        <w:tabs>
          <w:tab w:leader="none" w:pos="114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0" w:lineRule="exact"/>
        <w:rPr>
          <w:sz w:val="24"/>
          <w:szCs w:val="24"/>
          <w:color w:val="auto"/>
        </w:rPr>
      </w:pPr>
    </w:p>
    <w:p>
      <w:pPr>
        <w:spacing w:after="0" w:line="314" w:lineRule="exact"/>
        <w:rPr>
          <w:sz w:val="24"/>
          <w:szCs w:val="24"/>
          <w:color w:val="auto"/>
        </w:rPr>
      </w:pPr>
    </w:p>
    <w:p>
      <w:pPr>
        <w:jc w:val="center"/>
        <w:ind w:right="-24"/>
        <w:spacing w:after="0"/>
        <w:rPr>
          <w:sz w:val="20"/>
          <w:szCs w:val="20"/>
          <w:color w:val="auto"/>
        </w:rPr>
      </w:pPr>
      <w:r>
        <w:rPr>
          <w:rFonts w:ascii="Arial" w:cs="Arial" w:eastAsia="Arial" w:hAnsi="Arial"/>
          <w:sz w:val="25"/>
          <w:szCs w:val="25"/>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38100</wp:posOffset>
            </wp:positionV>
            <wp:extent cx="6654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79"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220980</wp:posOffset>
            </wp:positionV>
            <wp:extent cx="6654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367" w:lineRule="exact"/>
        <w:rPr>
          <w:sz w:val="24"/>
          <w:szCs w:val="24"/>
          <w:color w:val="auto"/>
        </w:rPr>
      </w:pPr>
    </w:p>
    <w:p>
      <w:pPr>
        <w:ind w:left="30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345" w:hanging="345"/>
        <w:spacing w:after="0"/>
        <w:tabs>
          <w:tab w:leader="none" w:pos="34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79" w:lineRule="exact"/>
        <w:rPr>
          <w:sz w:val="24"/>
          <w:szCs w:val="24"/>
          <w:color w:val="auto"/>
        </w:rPr>
      </w:pPr>
    </w:p>
    <w:p>
      <w:pPr>
        <w:ind w:left="345" w:hanging="345"/>
        <w:spacing w:after="0"/>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306" w:lineRule="exact"/>
        <w:rPr>
          <w:sz w:val="24"/>
          <w:szCs w:val="24"/>
          <w:color w:val="auto"/>
        </w:rPr>
      </w:pPr>
    </w:p>
    <w:p>
      <w:pPr>
        <w:ind w:left="805" w:hanging="341"/>
        <w:spacing w:after="0"/>
        <w:tabs>
          <w:tab w:leader="none" w:pos="8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2   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-147320</wp:posOffset>
            </wp:positionV>
            <wp:extent cx="6715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57" w:lineRule="exact"/>
        <w:rPr>
          <w:sz w:val="24"/>
          <w:szCs w:val="24"/>
          <w:color w:val="auto"/>
        </w:rPr>
      </w:pPr>
    </w:p>
    <w:p>
      <w:pPr>
        <w:ind w:left="805"/>
        <w:spacing w:after="0"/>
        <w:rPr>
          <w:sz w:val="20"/>
          <w:szCs w:val="20"/>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w:t>
      </w:r>
    </w:p>
    <w:p>
      <w:pPr>
        <w:spacing w:after="0" w:line="46" w:lineRule="exact"/>
        <w:rPr>
          <w:sz w:val="24"/>
          <w:szCs w:val="24"/>
          <w:color w:val="auto"/>
        </w:rPr>
      </w:pPr>
    </w:p>
    <w:p>
      <w:pPr>
        <w:ind w:left="805" w:hanging="341"/>
        <w:spacing w:after="0"/>
        <w:tabs>
          <w:tab w:leader="none" w:pos="805"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22860</wp:posOffset>
            </wp:positionV>
            <wp:extent cx="6715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42" w:lineRule="exact"/>
        <w:rPr>
          <w:sz w:val="24"/>
          <w:szCs w:val="24"/>
          <w:color w:val="auto"/>
        </w:rPr>
      </w:pPr>
    </w:p>
    <w:p>
      <w:pPr>
        <w:ind w:left="805" w:hanging="341"/>
        <w:spacing w:after="0"/>
        <w:tabs>
          <w:tab w:leader="none" w:pos="80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5   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-147320</wp:posOffset>
            </wp:positionV>
            <wp:extent cx="671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43" w:lineRule="exact"/>
        <w:rPr>
          <w:sz w:val="24"/>
          <w:szCs w:val="24"/>
          <w:color w:val="auto"/>
        </w:rPr>
      </w:pPr>
    </w:p>
    <w:p>
      <w:pPr>
        <w:ind w:left="345" w:hanging="345"/>
        <w:spacing w:after="0"/>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79" w:lineRule="exact"/>
        <w:rPr>
          <w:rFonts w:ascii="Arial" w:cs="Arial" w:eastAsia="Arial" w:hAnsi="Arial"/>
          <w:sz w:val="18"/>
          <w:szCs w:val="18"/>
          <w:color w:val="auto"/>
        </w:rPr>
      </w:pPr>
    </w:p>
    <w:p>
      <w:pPr>
        <w:ind w:left="345" w:right="460" w:hanging="345"/>
        <w:spacing w:after="0" w:line="308" w:lineRule="auto"/>
        <w:tabs>
          <w:tab w:leader="none" w:pos="345" w:val="left"/>
        </w:tabs>
        <w:numPr>
          <w:ilvl w:val="0"/>
          <w:numId w:val="9"/>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sz w:val="24"/>
          <w:szCs w:val="24"/>
          <w:color w:val="auto"/>
        </w:rPr>
      </w:pPr>
    </w:p>
    <w:p>
      <w:pPr>
        <w:ind w:left="805" w:hanging="341"/>
        <w:spacing w:after="0"/>
        <w:tabs>
          <w:tab w:leader="none" w:pos="8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57" w:lineRule="exact"/>
        <w:rPr>
          <w:sz w:val="24"/>
          <w:szCs w:val="24"/>
          <w:color w:val="auto"/>
        </w:rPr>
      </w:pPr>
    </w:p>
    <w:p>
      <w:pPr>
        <w:ind w:left="805" w:hanging="341"/>
        <w:spacing w:after="0"/>
        <w:tabs>
          <w:tab w:leader="none" w:pos="8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3   Filing Party:</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-147320</wp:posOffset>
            </wp:positionV>
            <wp:extent cx="6715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-327660</wp:posOffset>
            </wp:positionV>
            <wp:extent cx="6715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ectPr>
          <w:pgSz w:w="11900" w:h="16838" w:orient="portrait"/>
          <w:cols w:equalWidth="0" w:num="1">
            <w:col w:w="11325"/>
          </w:cols>
          <w:pgMar w:left="275" w:top="881" w:right="2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2893060</wp:posOffset>
            </wp:positionH>
            <wp:positionV relativeFrom="page">
              <wp:posOffset>500380</wp:posOffset>
            </wp:positionV>
            <wp:extent cx="1749425"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49425" cy="59182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October 30, 2018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Dear Stockholder:</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Board of Directors and all of us on the management team of Oil-Dri Corporation of America cordially invite you to attend the 2018 Annual Meeting of Stockholders on Tuesday, December 11, 2018, at 9:30 a.m., local time, at The University of Chicago Booth School of Business, Gleacher Center, 450 Cityfront Plaza Drive, Chicago, IL 60611.</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matters expected to be acted on at the meeting are described in the attached Proxy Statement. We are recommending a slate of nine directors to be elected to our Board of Directors. Their biographies and qualifications appear in the Proxy Statement. In addition, we ask that you ratify the appointment of Grant Thornton LLP as our independent auditor for the fiscal year ending July 31, 2019.</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encourage you to read our Annual Report on Form 10-K for the fiscal year ending July 31, 2018 that is available at www.proxyvote.com. It includes information on our operations, markets, products, services, and known risk factors, as well as our audited consolidated financial statements.</w:t>
      </w:r>
    </w:p>
    <w:p>
      <w:pPr>
        <w:spacing w:after="0" w:line="1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Immediately following adjournment of the Annual Meeting, we will review with attendees the results of the past year and look at some of the potential opportunities that lie ahead.</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look forward to seeing you at the Annual Meeting. Whether you plan to attend or not, you can be sure your shares are represented at the meeting by voting over the Internet or by telephone, as instructed in the Notice Regarding Availability of Proxy Materials or proxy card. If you received a Notice Regarding the Availability of Proxy Materials in the mail, you may also request a paper proxy card to submit your vote by mail if you prefer.</w:t>
      </w:r>
    </w:p>
    <w:p>
      <w:pPr>
        <w:spacing w:after="0" w:line="337"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187325</wp:posOffset>
            </wp:positionV>
            <wp:extent cx="1235075"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507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DANIEL S. JAFFEE</w:t>
      </w:r>
    </w:p>
    <w:p>
      <w:pPr>
        <w:spacing w:after="0" w:line="44" w:lineRule="exact"/>
        <w:rPr>
          <w:sz w:val="20"/>
          <w:szCs w:val="20"/>
          <w:color w:val="auto"/>
        </w:rPr>
      </w:pPr>
    </w:p>
    <w:p>
      <w:pPr>
        <w:ind w:left="6700"/>
        <w:spacing w:after="0"/>
        <w:rPr>
          <w:sz w:val="20"/>
          <w:szCs w:val="20"/>
          <w:color w:val="auto"/>
        </w:rPr>
      </w:pPr>
      <w:r>
        <w:rPr>
          <w:rFonts w:ascii="Arial" w:cs="Arial" w:eastAsia="Arial" w:hAnsi="Arial"/>
          <w:sz w:val="21"/>
          <w:szCs w:val="21"/>
          <w:i w:val="1"/>
          <w:iCs w:val="1"/>
          <w:color w:val="auto"/>
        </w:rPr>
        <w:t>Chairman of the Board of Directors and President</w:t>
      </w:r>
    </w:p>
    <w:p>
      <w:pPr>
        <w:spacing w:after="0" w:line="20" w:lineRule="exact"/>
        <w:rPr>
          <w:sz w:val="20"/>
          <w:szCs w:val="20"/>
          <w:color w:val="auto"/>
        </w:rPr>
      </w:pPr>
    </w:p>
    <w:p>
      <w:pPr>
        <w:ind w:left="6700"/>
        <w:spacing w:after="0"/>
        <w:rPr>
          <w:sz w:val="20"/>
          <w:szCs w:val="20"/>
          <w:color w:val="auto"/>
        </w:rPr>
      </w:pPr>
      <w:r>
        <w:rPr>
          <w:rFonts w:ascii="Arial" w:cs="Arial" w:eastAsia="Arial" w:hAnsi="Arial"/>
          <w:sz w:val="22"/>
          <w:szCs w:val="22"/>
          <w:i w:val="1"/>
          <w:iCs w:val="1"/>
          <w:color w:val="auto"/>
        </w:rPr>
        <w:t>and Chief Executive Officer</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proxy statement is dated October 30, 2018 and is being made available to stockholders via the Internet on or about October 30, 2018.</w:t>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80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20"/>
                <w:szCs w:val="20"/>
                <w:color w:val="auto"/>
              </w:rPr>
              <w:t>NOTICE OF ANNUAL MEETING OF STOCKHOLDERS</w:t>
            </w:r>
          </w:p>
        </w:tc>
        <w:tc>
          <w:tcPr>
            <w:tcW w:w="3140" w:type="dxa"/>
            <w:vAlign w:val="bottom"/>
            <w:tcBorders>
              <w:bottom w:val="single" w:sz="8" w:color="BFE4FF"/>
            </w:tcBorders>
            <w:shd w:val="clear" w:color="auto" w:fill="BFE4FF"/>
          </w:tcPr>
          <w:p>
            <w:pPr>
              <w:spacing w:after="0"/>
              <w:rPr>
                <w:sz w:val="24"/>
                <w:szCs w:val="24"/>
                <w:color w:val="auto"/>
              </w:rPr>
            </w:pPr>
          </w:p>
        </w:tc>
        <w:tc>
          <w:tcPr>
            <w:tcW w:w="8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0000EE"/>
            </w:tcBorders>
            <w:gridSpan w:val="2"/>
            <w:shd w:val="clear" w:color="auto" w:fill="BFE4FF"/>
          </w:tcPr>
          <w:p>
            <w:pPr>
              <w:jc w:val="right"/>
              <w:spacing w:after="0"/>
              <w:rPr>
                <w:rFonts w:ascii="Arial" w:cs="Arial" w:eastAsia="Arial" w:hAnsi="Arial"/>
                <w:sz w:val="20"/>
                <w:szCs w:val="20"/>
                <w:color w:val="0000EE"/>
              </w:rPr>
            </w:pPr>
            <w:hyperlink w:anchor="page4">
              <w:r>
                <w:rPr>
                  <w:rFonts w:ascii="Arial" w:cs="Arial" w:eastAsia="Arial" w:hAnsi="Arial"/>
                  <w:sz w:val="20"/>
                  <w:szCs w:val="20"/>
                  <w:color w:val="0000EE"/>
                </w:rPr>
                <w:t>ii</w:t>
              </w:r>
            </w:hyperlink>
          </w:p>
        </w:tc>
        <w:tc>
          <w:tcPr>
            <w:tcW w:w="20" w:type="dxa"/>
            <w:vAlign w:val="bottom"/>
            <w:tcBorders>
              <w:bottom w:val="single" w:sz="8" w:color="BFE4FF"/>
            </w:tcBorders>
            <w:shd w:val="clear" w:color="auto" w:fill="BFE4FF"/>
          </w:tcPr>
          <w:p>
            <w:pPr>
              <w:spacing w:after="0"/>
              <w:rPr>
                <w:sz w:val="24"/>
                <w:szCs w:val="24"/>
                <w:color w:val="auto"/>
              </w:rPr>
            </w:pPr>
          </w:p>
        </w:tc>
      </w:tr>
      <w:tr>
        <w:trPr>
          <w:trHeight w:val="216"/>
        </w:trPr>
        <w:tc>
          <w:tcPr>
            <w:tcW w:w="8060" w:type="dxa"/>
            <w:vAlign w:val="bottom"/>
          </w:tcPr>
          <w:p>
            <w:pPr>
              <w:ind w:left="40"/>
              <w:spacing w:after="0" w:line="216" w:lineRule="exact"/>
              <w:rPr>
                <w:sz w:val="20"/>
                <w:szCs w:val="20"/>
                <w:color w:val="auto"/>
              </w:rPr>
            </w:pPr>
            <w:r>
              <w:rPr>
                <w:rFonts w:ascii="Arial" w:cs="Arial" w:eastAsia="Arial" w:hAnsi="Arial"/>
                <w:sz w:val="20"/>
                <w:szCs w:val="20"/>
                <w:color w:val="auto"/>
              </w:rPr>
              <w:t>GENERAL INFORMATION</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6">
              <w:r>
                <w:rPr>
                  <w:rFonts w:ascii="Arial" w:cs="Arial" w:eastAsia="Arial" w:hAnsi="Arial"/>
                  <w:sz w:val="20"/>
                  <w:szCs w:val="20"/>
                  <w:color w:val="0000EE"/>
                </w:rPr>
                <w:t>1</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Commonly Asked Questions and Answers</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6">
              <w:r>
                <w:rPr>
                  <w:rFonts w:ascii="Arial" w:cs="Arial" w:eastAsia="Arial" w:hAnsi="Arial"/>
                  <w:sz w:val="20"/>
                  <w:szCs w:val="20"/>
                  <w:color w:val="0000EE"/>
                </w:rPr>
                <w:t>1</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40"/>
              <w:spacing w:after="0" w:line="216" w:lineRule="exact"/>
              <w:rPr>
                <w:sz w:val="20"/>
                <w:szCs w:val="20"/>
                <w:color w:val="auto"/>
              </w:rPr>
            </w:pPr>
            <w:r>
              <w:rPr>
                <w:rFonts w:ascii="Arial" w:cs="Arial" w:eastAsia="Arial" w:hAnsi="Arial"/>
                <w:sz w:val="20"/>
                <w:szCs w:val="20"/>
                <w:color w:val="auto"/>
              </w:rPr>
              <w:t>PROPOSALS</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12">
              <w:r>
                <w:rPr>
                  <w:rFonts w:ascii="Arial" w:cs="Arial" w:eastAsia="Arial" w:hAnsi="Arial"/>
                  <w:sz w:val="20"/>
                  <w:szCs w:val="20"/>
                  <w:color w:val="0000EE"/>
                </w:rPr>
                <w:t>7</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1. Election of Directors</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12">
              <w:r>
                <w:rPr>
                  <w:rFonts w:ascii="Arial" w:cs="Arial" w:eastAsia="Arial" w:hAnsi="Arial"/>
                  <w:sz w:val="20"/>
                  <w:szCs w:val="20"/>
                  <w:color w:val="0000EE"/>
                </w:rPr>
                <w:t>7</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240"/>
              <w:spacing w:after="0" w:line="216" w:lineRule="exact"/>
              <w:rPr>
                <w:sz w:val="20"/>
                <w:szCs w:val="20"/>
                <w:color w:val="auto"/>
              </w:rPr>
            </w:pPr>
            <w:r>
              <w:rPr>
                <w:rFonts w:ascii="Arial" w:cs="Arial" w:eastAsia="Arial" w:hAnsi="Arial"/>
                <w:sz w:val="20"/>
                <w:szCs w:val="20"/>
                <w:color w:val="auto"/>
              </w:rPr>
              <w:t>2. Ratification of Appointment of Independent Auditor</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17">
              <w:r>
                <w:rPr>
                  <w:rFonts w:ascii="Arial" w:cs="Arial" w:eastAsia="Arial" w:hAnsi="Arial"/>
                  <w:sz w:val="20"/>
                  <w:szCs w:val="20"/>
                  <w:color w:val="0000EE"/>
                </w:rPr>
                <w:t>12</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Other Matters for the Annual Meeting</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18">
              <w:r>
                <w:rPr>
                  <w:rFonts w:ascii="Arial" w:cs="Arial" w:eastAsia="Arial" w:hAnsi="Arial"/>
                  <w:sz w:val="20"/>
                  <w:szCs w:val="20"/>
                  <w:color w:val="0000EE"/>
                </w:rPr>
                <w:t>13</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40"/>
              <w:spacing w:after="0" w:line="216" w:lineRule="exact"/>
              <w:rPr>
                <w:sz w:val="20"/>
                <w:szCs w:val="20"/>
                <w:color w:val="auto"/>
              </w:rPr>
            </w:pPr>
            <w:r>
              <w:rPr>
                <w:rFonts w:ascii="Arial" w:cs="Arial" w:eastAsia="Arial" w:hAnsi="Arial"/>
                <w:sz w:val="20"/>
                <w:szCs w:val="20"/>
                <w:color w:val="auto"/>
              </w:rPr>
              <w:t>CORPORATE GOVERNANCE MATTERS</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18">
              <w:r>
                <w:rPr>
                  <w:rFonts w:ascii="Arial" w:cs="Arial" w:eastAsia="Arial" w:hAnsi="Arial"/>
                  <w:sz w:val="20"/>
                  <w:szCs w:val="20"/>
                  <w:color w:val="0000EE"/>
                </w:rPr>
                <w:t>13</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Controlled Company Status</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18">
              <w:r>
                <w:rPr>
                  <w:rFonts w:ascii="Arial" w:cs="Arial" w:eastAsia="Arial" w:hAnsi="Arial"/>
                  <w:sz w:val="20"/>
                  <w:szCs w:val="20"/>
                  <w:color w:val="0000EE"/>
                </w:rPr>
                <w:t>13</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240"/>
              <w:spacing w:after="0" w:line="216" w:lineRule="exact"/>
              <w:rPr>
                <w:sz w:val="20"/>
                <w:szCs w:val="20"/>
                <w:color w:val="auto"/>
              </w:rPr>
            </w:pPr>
            <w:r>
              <w:rPr>
                <w:rFonts w:ascii="Arial" w:cs="Arial" w:eastAsia="Arial" w:hAnsi="Arial"/>
                <w:sz w:val="20"/>
                <w:szCs w:val="20"/>
                <w:color w:val="auto"/>
              </w:rPr>
              <w:t>Director Independence</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18">
              <w:r>
                <w:rPr>
                  <w:rFonts w:ascii="Arial" w:cs="Arial" w:eastAsia="Arial" w:hAnsi="Arial"/>
                  <w:sz w:val="20"/>
                  <w:szCs w:val="20"/>
                  <w:color w:val="0000EE"/>
                </w:rPr>
                <w:t>13</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Executive Sessions of Non-Management Directors</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19">
              <w:r>
                <w:rPr>
                  <w:rFonts w:ascii="Arial" w:cs="Arial" w:eastAsia="Arial" w:hAnsi="Arial"/>
                  <w:sz w:val="20"/>
                  <w:szCs w:val="20"/>
                  <w:color w:val="0000EE"/>
                </w:rPr>
                <w:t>14</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240"/>
              <w:spacing w:after="0" w:line="216" w:lineRule="exact"/>
              <w:rPr>
                <w:sz w:val="20"/>
                <w:szCs w:val="20"/>
                <w:color w:val="auto"/>
              </w:rPr>
            </w:pPr>
            <w:r>
              <w:rPr>
                <w:rFonts w:ascii="Arial" w:cs="Arial" w:eastAsia="Arial" w:hAnsi="Arial"/>
                <w:sz w:val="20"/>
                <w:szCs w:val="20"/>
                <w:color w:val="auto"/>
              </w:rPr>
              <w:t>Board of Directors Committee Membership and Meetings</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19">
              <w:r>
                <w:rPr>
                  <w:rFonts w:ascii="Arial" w:cs="Arial" w:eastAsia="Arial" w:hAnsi="Arial"/>
                  <w:sz w:val="20"/>
                  <w:szCs w:val="20"/>
                  <w:color w:val="0000EE"/>
                </w:rPr>
                <w:t>14</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Director Nominations</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22">
              <w:r>
                <w:rPr>
                  <w:rFonts w:ascii="Arial" w:cs="Arial" w:eastAsia="Arial" w:hAnsi="Arial"/>
                  <w:sz w:val="20"/>
                  <w:szCs w:val="20"/>
                  <w:color w:val="0000EE"/>
                </w:rPr>
                <w:t>17</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240"/>
              <w:spacing w:after="0" w:line="216" w:lineRule="exact"/>
              <w:rPr>
                <w:sz w:val="20"/>
                <w:szCs w:val="20"/>
                <w:color w:val="auto"/>
              </w:rPr>
            </w:pPr>
            <w:r>
              <w:rPr>
                <w:rFonts w:ascii="Arial" w:cs="Arial" w:eastAsia="Arial" w:hAnsi="Arial"/>
                <w:sz w:val="20"/>
                <w:szCs w:val="20"/>
                <w:color w:val="auto"/>
              </w:rPr>
              <w:t>Board Leadership Structure and Role in Risk Oversight</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23">
              <w:r>
                <w:rPr>
                  <w:rFonts w:ascii="Arial" w:cs="Arial" w:eastAsia="Arial" w:hAnsi="Arial"/>
                  <w:sz w:val="20"/>
                  <w:szCs w:val="20"/>
                  <w:color w:val="0000EE"/>
                </w:rPr>
                <w:t>18</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Communication with the Board of Directors</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24">
              <w:r>
                <w:rPr>
                  <w:rFonts w:ascii="Arial" w:cs="Arial" w:eastAsia="Arial" w:hAnsi="Arial"/>
                  <w:sz w:val="20"/>
                  <w:szCs w:val="20"/>
                  <w:color w:val="0000EE"/>
                </w:rPr>
                <w:t>19</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240"/>
              <w:spacing w:after="0" w:line="216" w:lineRule="exact"/>
              <w:rPr>
                <w:sz w:val="20"/>
                <w:szCs w:val="20"/>
                <w:color w:val="auto"/>
              </w:rPr>
            </w:pPr>
            <w:r>
              <w:rPr>
                <w:rFonts w:ascii="Arial" w:cs="Arial" w:eastAsia="Arial" w:hAnsi="Arial"/>
                <w:sz w:val="20"/>
                <w:szCs w:val="20"/>
                <w:color w:val="auto"/>
              </w:rPr>
              <w:t>Director Compensation</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24">
              <w:r>
                <w:rPr>
                  <w:rFonts w:ascii="Arial" w:cs="Arial" w:eastAsia="Arial" w:hAnsi="Arial"/>
                  <w:sz w:val="20"/>
                  <w:szCs w:val="20"/>
                  <w:color w:val="0000EE"/>
                </w:rPr>
                <w:t>19</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Director Compensation Table</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25">
              <w:r>
                <w:rPr>
                  <w:rFonts w:ascii="Arial" w:cs="Arial" w:eastAsia="Arial" w:hAnsi="Arial"/>
                  <w:sz w:val="20"/>
                  <w:szCs w:val="20"/>
                  <w:color w:val="0000EE"/>
                </w:rPr>
                <w:t>20</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240"/>
              <w:spacing w:after="0" w:line="216" w:lineRule="exact"/>
              <w:rPr>
                <w:sz w:val="20"/>
                <w:szCs w:val="20"/>
                <w:color w:val="auto"/>
              </w:rPr>
            </w:pPr>
            <w:r>
              <w:rPr>
                <w:rFonts w:ascii="Arial" w:cs="Arial" w:eastAsia="Arial" w:hAnsi="Arial"/>
                <w:sz w:val="20"/>
                <w:szCs w:val="20"/>
                <w:color w:val="auto"/>
              </w:rPr>
              <w:t>Directors’ Option Awards Outstanding Table</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25">
              <w:r>
                <w:rPr>
                  <w:rFonts w:ascii="Arial" w:cs="Arial" w:eastAsia="Arial" w:hAnsi="Arial"/>
                  <w:sz w:val="20"/>
                  <w:szCs w:val="20"/>
                  <w:color w:val="0000EE"/>
                </w:rPr>
                <w:t>20</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Other Board Practices</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25">
              <w:r>
                <w:rPr>
                  <w:rFonts w:ascii="Arial" w:cs="Arial" w:eastAsia="Arial" w:hAnsi="Arial"/>
                  <w:sz w:val="20"/>
                  <w:szCs w:val="20"/>
                  <w:color w:val="0000EE"/>
                </w:rPr>
                <w:t>20</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240"/>
              <w:spacing w:after="0" w:line="216" w:lineRule="exact"/>
              <w:rPr>
                <w:sz w:val="20"/>
                <w:szCs w:val="20"/>
                <w:color w:val="auto"/>
              </w:rPr>
            </w:pPr>
            <w:r>
              <w:rPr>
                <w:rFonts w:ascii="Arial" w:cs="Arial" w:eastAsia="Arial" w:hAnsi="Arial"/>
                <w:sz w:val="20"/>
                <w:szCs w:val="20"/>
                <w:color w:val="auto"/>
              </w:rPr>
              <w:t>Corporate Governance Guidelines and Code of Ethics</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26">
              <w:r>
                <w:rPr>
                  <w:rFonts w:ascii="Arial" w:cs="Arial" w:eastAsia="Arial" w:hAnsi="Arial"/>
                  <w:sz w:val="20"/>
                  <w:szCs w:val="20"/>
                  <w:color w:val="0000EE"/>
                </w:rPr>
                <w:t>21</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Certain Relationships and Related Party Transactions</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26">
              <w:r>
                <w:rPr>
                  <w:rFonts w:ascii="Arial" w:cs="Arial" w:eastAsia="Arial" w:hAnsi="Arial"/>
                  <w:sz w:val="20"/>
                  <w:szCs w:val="20"/>
                  <w:color w:val="0000EE"/>
                </w:rPr>
                <w:t>21</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240"/>
              <w:spacing w:after="0" w:line="216" w:lineRule="exact"/>
              <w:rPr>
                <w:sz w:val="20"/>
                <w:szCs w:val="20"/>
                <w:color w:val="auto"/>
              </w:rPr>
            </w:pPr>
            <w:r>
              <w:rPr>
                <w:rFonts w:ascii="Arial" w:cs="Arial" w:eastAsia="Arial" w:hAnsi="Arial"/>
                <w:sz w:val="20"/>
                <w:szCs w:val="20"/>
                <w:color w:val="auto"/>
              </w:rPr>
              <w:t>Report of the Audit Committee of the Board of Directors</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28">
              <w:r>
                <w:rPr>
                  <w:rFonts w:ascii="Arial" w:cs="Arial" w:eastAsia="Arial" w:hAnsi="Arial"/>
                  <w:sz w:val="20"/>
                  <w:szCs w:val="20"/>
                  <w:color w:val="0000EE"/>
                </w:rPr>
                <w:t>23</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40"/>
              <w:spacing w:after="0" w:line="216" w:lineRule="exact"/>
              <w:rPr>
                <w:sz w:val="20"/>
                <w:szCs w:val="20"/>
                <w:color w:val="auto"/>
              </w:rPr>
            </w:pPr>
            <w:r>
              <w:rPr>
                <w:rFonts w:ascii="Arial" w:cs="Arial" w:eastAsia="Arial" w:hAnsi="Arial"/>
                <w:sz w:val="20"/>
                <w:szCs w:val="20"/>
                <w:color w:val="auto"/>
              </w:rPr>
              <w:t>EXECUTIVE OFFICERS</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29">
              <w:r>
                <w:rPr>
                  <w:rFonts w:ascii="Arial" w:cs="Arial" w:eastAsia="Arial" w:hAnsi="Arial"/>
                  <w:sz w:val="20"/>
                  <w:szCs w:val="20"/>
                  <w:color w:val="0000EE"/>
                </w:rPr>
                <w:t>24</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40"/>
              <w:spacing w:after="0" w:line="216" w:lineRule="exact"/>
              <w:rPr>
                <w:sz w:val="20"/>
                <w:szCs w:val="20"/>
                <w:color w:val="auto"/>
              </w:rPr>
            </w:pPr>
            <w:r>
              <w:rPr>
                <w:rFonts w:ascii="Arial" w:cs="Arial" w:eastAsia="Arial" w:hAnsi="Arial"/>
                <w:sz w:val="20"/>
                <w:szCs w:val="20"/>
                <w:color w:val="auto"/>
              </w:rPr>
              <w:t>EXECUTIVE COMPENSATION</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30">
              <w:r>
                <w:rPr>
                  <w:rFonts w:ascii="Arial" w:cs="Arial" w:eastAsia="Arial" w:hAnsi="Arial"/>
                  <w:sz w:val="20"/>
                  <w:szCs w:val="20"/>
                  <w:color w:val="0000EE"/>
                </w:rPr>
                <w:t>25</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Summary Compensation Table</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30">
              <w:r>
                <w:rPr>
                  <w:rFonts w:ascii="Arial" w:cs="Arial" w:eastAsia="Arial" w:hAnsi="Arial"/>
                  <w:sz w:val="20"/>
                  <w:szCs w:val="20"/>
                  <w:color w:val="0000EE"/>
                </w:rPr>
                <w:t>25</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420"/>
              <w:spacing w:after="0" w:line="216" w:lineRule="exact"/>
              <w:rPr>
                <w:sz w:val="20"/>
                <w:szCs w:val="20"/>
                <w:color w:val="auto"/>
              </w:rPr>
            </w:pPr>
            <w:r>
              <w:rPr>
                <w:rFonts w:ascii="Arial" w:cs="Arial" w:eastAsia="Arial" w:hAnsi="Arial"/>
                <w:sz w:val="20"/>
                <w:szCs w:val="20"/>
                <w:color w:val="auto"/>
              </w:rPr>
              <w:t>All Other Compensation Table</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31">
              <w:r>
                <w:rPr>
                  <w:rFonts w:ascii="Arial" w:cs="Arial" w:eastAsia="Arial" w:hAnsi="Arial"/>
                  <w:sz w:val="20"/>
                  <w:szCs w:val="20"/>
                  <w:color w:val="0000EE"/>
                </w:rPr>
                <w:t>26</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440"/>
              <w:spacing w:after="0" w:line="216" w:lineRule="exact"/>
              <w:rPr>
                <w:sz w:val="20"/>
                <w:szCs w:val="20"/>
                <w:color w:val="auto"/>
              </w:rPr>
            </w:pPr>
            <w:r>
              <w:rPr>
                <w:rFonts w:ascii="Arial" w:cs="Arial" w:eastAsia="Arial" w:hAnsi="Arial"/>
                <w:sz w:val="20"/>
                <w:szCs w:val="20"/>
                <w:color w:val="auto"/>
              </w:rPr>
              <w:t>Narrative Disclosure to Summary Compensation Table</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31">
              <w:r>
                <w:rPr>
                  <w:rFonts w:ascii="Arial" w:cs="Arial" w:eastAsia="Arial" w:hAnsi="Arial"/>
                  <w:sz w:val="20"/>
                  <w:szCs w:val="20"/>
                  <w:color w:val="0000EE"/>
                </w:rPr>
                <w:t>26</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240"/>
              <w:spacing w:after="0" w:line="216" w:lineRule="exact"/>
              <w:rPr>
                <w:sz w:val="20"/>
                <w:szCs w:val="20"/>
                <w:color w:val="auto"/>
              </w:rPr>
            </w:pPr>
            <w:r>
              <w:rPr>
                <w:rFonts w:ascii="Arial" w:cs="Arial" w:eastAsia="Arial" w:hAnsi="Arial"/>
                <w:sz w:val="20"/>
                <w:szCs w:val="20"/>
                <w:color w:val="auto"/>
              </w:rPr>
              <w:t>Outstanding Equity Awards at Fiscal 2018 Year End</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33">
              <w:r>
                <w:rPr>
                  <w:rFonts w:ascii="Arial" w:cs="Arial" w:eastAsia="Arial" w:hAnsi="Arial"/>
                  <w:sz w:val="20"/>
                  <w:szCs w:val="20"/>
                  <w:color w:val="0000EE"/>
                </w:rPr>
                <w:t>28</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Pension Benefits for Fiscal 2018</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34">
              <w:r>
                <w:rPr>
                  <w:rFonts w:ascii="Arial" w:cs="Arial" w:eastAsia="Arial" w:hAnsi="Arial"/>
                  <w:sz w:val="20"/>
                  <w:szCs w:val="20"/>
                  <w:color w:val="0000EE"/>
                </w:rPr>
                <w:t>29</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240"/>
              <w:spacing w:after="0" w:line="216" w:lineRule="exact"/>
              <w:rPr>
                <w:sz w:val="20"/>
                <w:szCs w:val="20"/>
                <w:color w:val="auto"/>
              </w:rPr>
            </w:pPr>
            <w:r>
              <w:rPr>
                <w:rFonts w:ascii="Arial" w:cs="Arial" w:eastAsia="Arial" w:hAnsi="Arial"/>
                <w:sz w:val="20"/>
                <w:szCs w:val="20"/>
                <w:color w:val="auto"/>
              </w:rPr>
              <w:t>Nonqualified Deferred Compensation for Fiscal 2018</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35">
              <w:r>
                <w:rPr>
                  <w:rFonts w:ascii="Arial" w:cs="Arial" w:eastAsia="Arial" w:hAnsi="Arial"/>
                  <w:sz w:val="20"/>
                  <w:szCs w:val="20"/>
                  <w:color w:val="0000EE"/>
                </w:rPr>
                <w:t>30</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Benefits upon Termination or Change in Control</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35">
              <w:r>
                <w:rPr>
                  <w:rFonts w:ascii="Arial" w:cs="Arial" w:eastAsia="Arial" w:hAnsi="Arial"/>
                  <w:sz w:val="20"/>
                  <w:szCs w:val="20"/>
                  <w:color w:val="0000EE"/>
                </w:rPr>
                <w:t>30</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40"/>
              <w:spacing w:after="0" w:line="216" w:lineRule="exact"/>
              <w:rPr>
                <w:sz w:val="20"/>
                <w:szCs w:val="20"/>
                <w:color w:val="auto"/>
              </w:rPr>
            </w:pPr>
            <w:r>
              <w:rPr>
                <w:rFonts w:ascii="Arial" w:cs="Arial" w:eastAsia="Arial" w:hAnsi="Arial"/>
                <w:sz w:val="20"/>
                <w:szCs w:val="20"/>
                <w:color w:val="auto"/>
              </w:rPr>
              <w:t>STOCK OWNERSHIP</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37">
              <w:r>
                <w:rPr>
                  <w:rFonts w:ascii="Arial" w:cs="Arial" w:eastAsia="Arial" w:hAnsi="Arial"/>
                  <w:sz w:val="20"/>
                  <w:szCs w:val="20"/>
                  <w:color w:val="0000EE"/>
                </w:rPr>
                <w:t>32</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Principal Stockholders</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37">
              <w:r>
                <w:rPr>
                  <w:rFonts w:ascii="Arial" w:cs="Arial" w:eastAsia="Arial" w:hAnsi="Arial"/>
                  <w:sz w:val="20"/>
                  <w:szCs w:val="20"/>
                  <w:color w:val="0000EE"/>
                </w:rPr>
                <w:t>32</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8060" w:type="dxa"/>
            <w:vAlign w:val="bottom"/>
          </w:tcPr>
          <w:p>
            <w:pPr>
              <w:ind w:left="240"/>
              <w:spacing w:after="0" w:line="216" w:lineRule="exact"/>
              <w:rPr>
                <w:sz w:val="20"/>
                <w:szCs w:val="20"/>
                <w:color w:val="auto"/>
              </w:rPr>
            </w:pPr>
            <w:r>
              <w:rPr>
                <w:rFonts w:ascii="Arial" w:cs="Arial" w:eastAsia="Arial" w:hAnsi="Arial"/>
                <w:sz w:val="20"/>
                <w:szCs w:val="20"/>
                <w:color w:val="auto"/>
              </w:rPr>
              <w:t>Security Ownership of Management</w:t>
            </w:r>
          </w:p>
        </w:tc>
        <w:tc>
          <w:tcPr>
            <w:tcW w:w="3360" w:type="dxa"/>
            <w:vAlign w:val="bottom"/>
            <w:gridSpan w:val="5"/>
          </w:tcPr>
          <w:p>
            <w:pPr>
              <w:jc w:val="right"/>
              <w:ind w:right="20"/>
              <w:spacing w:after="0" w:line="216" w:lineRule="exact"/>
              <w:rPr>
                <w:rFonts w:ascii="Arial" w:cs="Arial" w:eastAsia="Arial" w:hAnsi="Arial"/>
                <w:sz w:val="20"/>
                <w:szCs w:val="20"/>
                <w:color w:val="0000EE"/>
              </w:rPr>
            </w:pPr>
            <w:hyperlink w:anchor="page40">
              <w:r>
                <w:rPr>
                  <w:rFonts w:ascii="Arial" w:cs="Arial" w:eastAsia="Arial" w:hAnsi="Arial"/>
                  <w:sz w:val="20"/>
                  <w:szCs w:val="20"/>
                  <w:color w:val="0000EE"/>
                </w:rPr>
                <w:t>35</w:t>
              </w:r>
            </w:hyperlink>
          </w:p>
        </w:tc>
      </w:tr>
      <w:tr>
        <w:trPr>
          <w:trHeight w:val="48"/>
        </w:trPr>
        <w:tc>
          <w:tcPr>
            <w:tcW w:w="80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06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Section 16(a) Beneficial Ownership Reporting Compliance</w:t>
            </w:r>
          </w:p>
        </w:tc>
        <w:tc>
          <w:tcPr>
            <w:tcW w:w="336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41">
              <w:r>
                <w:rPr>
                  <w:rFonts w:ascii="Arial" w:cs="Arial" w:eastAsia="Arial" w:hAnsi="Arial"/>
                  <w:sz w:val="20"/>
                  <w:szCs w:val="20"/>
                  <w:color w:val="0000EE"/>
                </w:rPr>
                <w:t>36</w:t>
              </w:r>
            </w:hyperlink>
          </w:p>
        </w:tc>
      </w:tr>
      <w:tr>
        <w:trPr>
          <w:trHeight w:val="48"/>
        </w:trPr>
        <w:tc>
          <w:tcPr>
            <w:tcW w:w="8060" w:type="dxa"/>
            <w:vAlign w:val="bottom"/>
            <w:tcBorders>
              <w:top w:val="single" w:sz="8" w:color="BFE4FF"/>
            </w:tcBorders>
            <w:shd w:val="clear" w:color="auto" w:fill="BFE4FF"/>
          </w:tcPr>
          <w:p>
            <w:pPr>
              <w:spacing w:after="0"/>
              <w:rPr>
                <w:sz w:val="4"/>
                <w:szCs w:val="4"/>
                <w:color w:val="auto"/>
              </w:rPr>
            </w:pPr>
          </w:p>
        </w:tc>
        <w:tc>
          <w:tcPr>
            <w:tcW w:w="314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873"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auto"/>
        </w:rPr>
        <w:t>OIL-DRI CORPORATION OF AMERICA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NOTICE OF ANNUAL MEETING OF STOCKHOLDERS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on December 11, 2018</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To the Stockholders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Oil-Dri Corporation of America:</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2018 Annual Meeting of Stockholders of Oil-Dri Corporation of America, a Delaware corporation (the “Company”), will be held at 9:30 a.m., local time, on Tuesday, December 11, 2018, at The University of Chicago Booth School of Business, Gleacher Center, 450 Cityfront Plaza Drive, Chicago, IL 60611.</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meeting will be held for the following purposes:</w:t>
      </w:r>
    </w:p>
    <w:p>
      <w:pPr>
        <w:spacing w:after="0" w:line="179" w:lineRule="exact"/>
        <w:rPr>
          <w:sz w:val="20"/>
          <w:szCs w:val="20"/>
          <w:color w:val="auto"/>
        </w:rPr>
      </w:pPr>
    </w:p>
    <w:p>
      <w:pPr>
        <w:ind w:left="1040" w:hanging="384"/>
        <w:spacing w:after="0"/>
        <w:tabs>
          <w:tab w:leader="none" w:pos="1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elect nine directors;</w:t>
      </w:r>
    </w:p>
    <w:p>
      <w:pPr>
        <w:spacing w:after="0" w:line="179" w:lineRule="exact"/>
        <w:rPr>
          <w:rFonts w:ascii="Arial" w:cs="Arial" w:eastAsia="Arial" w:hAnsi="Arial"/>
          <w:sz w:val="22"/>
          <w:szCs w:val="22"/>
          <w:color w:val="auto"/>
        </w:rPr>
      </w:pPr>
    </w:p>
    <w:p>
      <w:pPr>
        <w:ind w:firstLine="656"/>
        <w:spacing w:after="0" w:line="263" w:lineRule="auto"/>
        <w:tabs>
          <w:tab w:leader="none" w:pos="1123"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ratify the appointment of Grant Thornton LLP as the Company’s independent auditor for the fiscal year ending July 31, 2019; and</w:t>
      </w:r>
    </w:p>
    <w:p>
      <w:pPr>
        <w:spacing w:after="0" w:line="134" w:lineRule="exact"/>
        <w:rPr>
          <w:rFonts w:ascii="Arial" w:cs="Arial" w:eastAsia="Arial" w:hAnsi="Arial"/>
          <w:sz w:val="22"/>
          <w:szCs w:val="22"/>
          <w:color w:val="auto"/>
        </w:rPr>
      </w:pPr>
    </w:p>
    <w:p>
      <w:pPr>
        <w:ind w:left="1040" w:hanging="384"/>
        <w:spacing w:after="0"/>
        <w:tabs>
          <w:tab w:leader="none" w:pos="1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and any adjournment thereof.</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Our Board of Directors has determined that only holders of record of outstanding shares of Common Stock and Class B Stock at the close of business on Monday, October 15, 2018, are entitled to notice of, and to vote at, the meeting and any adjournment thereof.</w:t>
      </w:r>
    </w:p>
    <w:p>
      <w:pPr>
        <w:spacing w:after="0" w:line="13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Your vote is very important. Whether you intend to be present at the meeting or not, you are encouraged to vote, as promptly as possible, over the Internet or by telephone, as instructed in the Notice Regarding the Availability of Proxy Materials or proxy card. If you received a Notice Regarding the Availability of Proxy Materials in the mail, you may also request a paper proxy card to submit your vote by mail if you prefer.</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further information relating to the meeting, please see the following pages.</w:t>
      </w:r>
    </w:p>
    <w:p>
      <w:pPr>
        <w:spacing w:after="0" w:line="328"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110490</wp:posOffset>
            </wp:positionV>
            <wp:extent cx="142367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6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LAURA G. SCHELAND</w:t>
      </w:r>
    </w:p>
    <w:p>
      <w:pPr>
        <w:spacing w:after="0" w:line="44" w:lineRule="exact"/>
        <w:rPr>
          <w:sz w:val="20"/>
          <w:szCs w:val="20"/>
          <w:color w:val="auto"/>
        </w:rPr>
      </w:pPr>
    </w:p>
    <w:p>
      <w:pPr>
        <w:ind w:left="6660"/>
        <w:spacing w:after="0"/>
        <w:rPr>
          <w:sz w:val="20"/>
          <w:szCs w:val="20"/>
          <w:color w:val="auto"/>
        </w:rPr>
      </w:pPr>
      <w:r>
        <w:rPr>
          <w:rFonts w:ascii="Arial" w:cs="Arial" w:eastAsia="Arial" w:hAnsi="Arial"/>
          <w:sz w:val="22"/>
          <w:szCs w:val="22"/>
          <w:i w:val="1"/>
          <w:iCs w:val="1"/>
          <w:color w:val="auto"/>
        </w:rPr>
        <w:t>Secretary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October 30, 2018</w:t>
      </w:r>
    </w:p>
    <w:p>
      <w:pPr>
        <w:spacing w:after="0" w:line="155"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Notice of Internet Availability of Proxy Materials: The Company is pleased to take advantage of the United States Securities and Exchange Commission rules that allow issuers to furnish proxy materials to their stockholders via the Internet. These rules allow the Company to provide you with the information you need while lowering the costs and environmental impact associated with printing and mailing proxy materials for the Annual Meeting. Our proxy materials, including our Proxy Statement, 2018 Annual Report on Form 10-K for the fiscal year ended July 31, 2018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65" w:right="239" w:bottom="1440" w:gutter="0" w:footer="0" w:header="0"/>
        </w:sectPr>
      </w:pPr>
    </w:p>
    <w:bookmarkStart w:id="4" w:name="page5"/>
    <w:bookmarkEnd w:id="4"/>
    <w:p>
      <w:pPr>
        <w:spacing w:after="0" w:line="256" w:lineRule="auto"/>
        <w:rPr>
          <w:sz w:val="20"/>
          <w:szCs w:val="20"/>
          <w:color w:val="auto"/>
        </w:rPr>
      </w:pPr>
      <w:r>
        <w:rPr>
          <w:rFonts w:ascii="Arial" w:cs="Arial" w:eastAsia="Arial" w:hAnsi="Arial"/>
          <w:sz w:val="22"/>
          <w:szCs w:val="22"/>
          <w:b w:val="1"/>
          <w:bCs w:val="1"/>
          <w:color w:val="auto"/>
        </w:rPr>
        <w:t>proxy card, are available on the Internet at http://www.oildri.com/2018proxymaterials. On or about October 30, 2018 we will mail to most of our stockholders a notice containing instructions on how to access this proxy statement and our annual report and to vote via the Internet or by telephone.</w:t>
      </w:r>
    </w:p>
    <w:p>
      <w:pPr>
        <w:sectPr>
          <w:pgSz w:w="11900" w:h="16838" w:orient="portrait"/>
          <w:cols w:equalWidth="0" w:num="1">
            <w:col w:w="11280"/>
          </w:cols>
          <w:pgMar w:left="240" w:top="774"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OIL-DRI CORPORATION OF AMERICA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410 North Michigan Avenue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Suite 400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Chicago, Illinois 60611-4213</w:t>
      </w:r>
    </w:p>
    <w:p>
      <w:pPr>
        <w:spacing w:after="0" w:line="15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______________</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PROXY STATEMENT</w:t>
      </w:r>
    </w:p>
    <w:p>
      <w:pPr>
        <w:spacing w:after="0" w:line="19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______________</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 INFORMATION</w:t>
      </w:r>
    </w:p>
    <w:p>
      <w:pPr>
        <w:spacing w:after="0" w:line="241"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21"/>
          <w:szCs w:val="21"/>
          <w:color w:val="auto"/>
        </w:rPr>
        <w:t>This Proxy Statement is delivered and solicited on behalf of the Board of Directors of Oil-Dri Corporation of America, a Delaware corporation, in connection with the 2018 Annual Meeting of Stockholders to be held at 9:30 a.m., local time, on Tuesday, December 11, 2018, at The University of Chicago Booth School of Business, Gleacher Center, 450 Cityfront Plaza Drive, Chicago, IL 60611 (the “2018 Annual Meeting”), notice of which accompanies this Proxy Statement, and at any adjournment of the meeting. The Notice Regarding the Availability of Proxy Materials (the “Notice”) is being distributed, and the Notice of Annual Meeting of Stockholders, this Proxy Statement and form of proxy are being made available on the Internet, on or about October 30, 2018. In addition, we encourage you to review our Annual Report on Form 10-K that was filed on October 12, 2018. Our Form 10-K should not be deemed to be part of this Proxy Statement.</w:t>
      </w:r>
    </w:p>
    <w:p>
      <w:pPr>
        <w:spacing w:after="0" w:line="1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As a stockholder, you are invited to attend the 2018 Annual Meeting and are requested to vote on the items of business described in this Proxy Statement. This Proxy Statement includes information that we are required to provide to you under the United States Securities and Exchange Commission (“SEC”) rules, and is designed to assist you in voting your shares. Whenever we refer in this Proxy Statement to the “2018 Annual Meeting,” we are also referring to any meeting that results from an adjournment of the 2018 Annual Meeting. Except as otherwise indicated herein or as the context otherwise requires, references to the “Company,” “we,” “us” or “our” refer to Oil-Dri Corporation of America.</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On June 28, 2018, the SEC adopted amendments that raise the thresholds in the definition of a “smaller reporting company” (“SRC”), thereby expanding the number of smaller companies eligible to comply with scaled disclosure requirements in several Regulation S-K and Regulation S-X items. Under the new SRC definition, a company with less than $250 million of public float as of the last business day of its second fiscal quarter qualifies as an SRC and is eligible to take advantage of the scaled disclosures. Oil-Dri met this qualification of an SRC as of January 31, 2018; therefore, this Proxy Statement reflects several of the scaled disclosure requirements.</w:t>
      </w:r>
    </w:p>
    <w:p>
      <w:pPr>
        <w:spacing w:after="0" w:line="314" w:lineRule="exact"/>
        <w:rPr>
          <w:sz w:val="20"/>
          <w:szCs w:val="20"/>
          <w:color w:val="auto"/>
        </w:rPr>
      </w:pPr>
    </w:p>
    <w:p>
      <w:pPr>
        <w:ind w:left="3460"/>
        <w:spacing w:after="0"/>
        <w:rPr>
          <w:sz w:val="20"/>
          <w:szCs w:val="20"/>
          <w:color w:val="auto"/>
        </w:rPr>
      </w:pPr>
      <w:r>
        <w:rPr>
          <w:rFonts w:ascii="Arial" w:cs="Arial" w:eastAsia="Arial" w:hAnsi="Arial"/>
          <w:sz w:val="25"/>
          <w:szCs w:val="25"/>
          <w:b w:val="1"/>
          <w:bCs w:val="1"/>
          <w:color w:val="auto"/>
        </w:rPr>
        <w:t>Commonly Asked Questions and Answers</w:t>
      </w:r>
    </w:p>
    <w:p>
      <w:pPr>
        <w:spacing w:after="0" w:line="19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Why am I receiving these materials?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Notice is being delivered to all stockholders of record as of the close of business on October 15, 2018 (the “Record Date”) in connection with the solicitation of proxies on behalf of our Board of Directors for use at the 2018 Annual Meeting on December 11, 2018.</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65" w:right="239" w:bottom="1440" w:gutter="0" w:footer="0" w:header="0"/>
        </w:sectPr>
      </w:pPr>
    </w:p>
    <w:bookmarkStart w:id="6" w:name="page7"/>
    <w:bookmarkEnd w:id="6"/>
    <w:p>
      <w:pPr>
        <w:ind w:left="660" w:right="20" w:hanging="652"/>
        <w:spacing w:after="0" w:line="269" w:lineRule="auto"/>
        <w:tabs>
          <w:tab w:leader="none" w:pos="6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Why did I receive a notice in the mail regarding the Internet availability of proxy materials instead of a full set of proxy materials?</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Pursuant to “e-proxy” rules adopted by the SEC, we may furnish proxy materials, including this Proxy Statement and our Annual Report (collectively, “proxy materials”), to our stockholders by providing access to such documents on the Internet instead of mailing printed copies. Accordingly, we are mailing the Notice to our stockholders of record and beneficial owners as of the Record Date and making the proxy materials available on the Internet.</w:t>
      </w:r>
    </w:p>
    <w:p>
      <w:pPr>
        <w:spacing w:after="0" w:line="4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How can I access the proxy materials over the Internet?</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Notice and proxy card or voting instruction card contain instructions on how to view the proxy materials on the Internet, vote your shares on the Internet, and request electronic delivery of future proxy materials. An electronic copy of this Proxy Statement and Annual Report are available at www.proxyvote.com. If you received a Notice and would like to receive a paper copy of the proxy materials free of charge, please follow the instructions in the Notice.</w:t>
      </w:r>
    </w:p>
    <w:p>
      <w:pPr>
        <w:spacing w:after="0" w:line="4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Who is entitled to vote at the 2018 Annual Meeting?</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Board of Directors has established the close of business on Monday, October 15, 2018, as the Record Date for the 2018 Annual Meeting. Only stockholders of record as of the close of business on the Record Date are entitled to receive notice of, and to vote at, the 2018 Annual Meeting.</w:t>
      </w:r>
    </w:p>
    <w:p>
      <w:pPr>
        <w:spacing w:after="0" w:line="5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Holders of Common Stock are entitled to one vote per share and holders of Class B Stock are entitled to ten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holders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5,172,007 shares of Common Stock and 2,269,238 shares of Class B Stock were outstanding.</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Registered Stockholders</w:t>
      </w:r>
      <w:r>
        <w:rPr>
          <w:rFonts w:ascii="Arial" w:cs="Arial" w:eastAsia="Arial" w:hAnsi="Arial"/>
          <w:sz w:val="22"/>
          <w:szCs w:val="22"/>
          <w:color w:val="auto"/>
        </w:rPr>
        <w:t>. If your shares are registered directly in your name with our transfer agent, Computershare Trust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N.A. (“Computershare”), you are considered the stockholder of record with respect to those shares, and the Notice was provided to you directly by us. As the stockholder of record, you have the right to grant your voting proxy directly to the individuals listed on the proxy card or to vote in person at the 2018 Annual Meeting.</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i w:val="1"/>
          <w:iCs w:val="1"/>
          <w:color w:val="auto"/>
        </w:rPr>
        <w:t>Beneficial Stockholders</w:t>
      </w:r>
      <w:r>
        <w:rPr>
          <w:rFonts w:ascii="Arial" w:cs="Arial" w:eastAsia="Arial" w:hAnsi="Arial"/>
          <w:sz w:val="21"/>
          <w:szCs w:val="21"/>
          <w:color w:val="auto"/>
        </w:rPr>
        <w:t>. If your shares are held in a stock brokerage account or by a bank or other nominee, you are considered the</w:t>
      </w:r>
      <w:r>
        <w:rPr>
          <w:rFonts w:ascii="Arial" w:cs="Arial" w:eastAsia="Arial" w:hAnsi="Arial"/>
          <w:sz w:val="21"/>
          <w:szCs w:val="21"/>
          <w:i w:val="1"/>
          <w:iCs w:val="1"/>
          <w:color w:val="auto"/>
        </w:rPr>
        <w:t xml:space="preserve"> </w:t>
      </w:r>
      <w:r>
        <w:rPr>
          <w:rFonts w:ascii="Arial" w:cs="Arial" w:eastAsia="Arial" w:hAnsi="Arial"/>
          <w:sz w:val="21"/>
          <w:szCs w:val="21"/>
          <w:color w:val="auto"/>
        </w:rPr>
        <w:t>beneficial owner of shares held in “street name”, and the Notice was forwarded to you by your broker or nominee, who is considered, with respect to those shares, the stockholder of record. As the beneficial owner, you have the right to direct your broker or nominee how to vote your shares (see questions seven (“How do I cast my vote?”) and ten (“How are broker non-votes and abstentions counted?”) below for more information). Beneficial owners are also invited to attend the 2018 Annual Meeting. However, since you are not the stockholder of record, you may not vote your shares in person at the 2018 Annual Meeting unless you follow your broker’s procedures for obtaining a legal proxy. If you request a printed copy of the proxy materials by mail, your broker or nominee will provide a voting instruction card for you to use.</w:t>
      </w:r>
    </w:p>
    <w:p>
      <w:pPr>
        <w:spacing w:after="0" w:line="4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What proposals are being voted on at the 2018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Stockholders are being asked to vote upon the following items of business at the 2018 Annual Meeting:</w:t>
      </w:r>
    </w:p>
    <w:p>
      <w:pPr>
        <w:spacing w:after="0" w:line="85" w:lineRule="exact"/>
        <w:rPr>
          <w:sz w:val="20"/>
          <w:szCs w:val="20"/>
          <w:color w:val="auto"/>
        </w:rPr>
      </w:pPr>
    </w:p>
    <w:p>
      <w:pPr>
        <w:ind w:left="980" w:hanging="324"/>
        <w:spacing w:after="0" w:line="263" w:lineRule="auto"/>
        <w:tabs>
          <w:tab w:leader="none" w:pos="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election of nine directors, each to hold office for a one-year term ending at our 2019 Annual Meeting of Stockholders;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74" w:right="239" w:bottom="1440" w:gutter="0" w:footer="0" w:header="0"/>
        </w:sectPr>
      </w:pPr>
    </w:p>
    <w:bookmarkStart w:id="7" w:name="page8"/>
    <w:bookmarkEnd w:id="7"/>
    <w:p>
      <w:pPr>
        <w:ind w:left="980" w:right="20" w:hanging="324"/>
        <w:spacing w:after="0" w:line="263" w:lineRule="auto"/>
        <w:tabs>
          <w:tab w:leader="none" w:pos="9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ratification of the appointment of Grant Thornton LLP (“Grant Thornton”) as our independent auditor for the fiscal year ending July 31, 2019 (“fiscal 2019”);</w:t>
      </w:r>
    </w:p>
    <w:p>
      <w:pPr>
        <w:spacing w:after="0" w:line="4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and to transact such other business as may properly come before the 2018 Annual Meeting. Our Board of Directors knows of no other items of business that will be presented for consideration at the 2018 Annual Meeting other than those described in this Proxy Statement. In addition, no stockholder proposal or nomination was received prior to the deadline specified in our Amended and Restated By-Laws (“By-Laws”), so no such matters may be brought to a vote at the 2018 Annual Meeting.</w:t>
      </w:r>
    </w:p>
    <w:p>
      <w:pPr>
        <w:spacing w:after="0" w:line="29" w:lineRule="exact"/>
        <w:rPr>
          <w:sz w:val="20"/>
          <w:szCs w:val="20"/>
          <w:color w:val="auto"/>
        </w:rPr>
      </w:pPr>
    </w:p>
    <w:p>
      <w:pPr>
        <w:ind w:right="3940" w:firstLine="8"/>
        <w:spacing w:after="0" w:line="389" w:lineRule="auto"/>
        <w:tabs>
          <w:tab w:leader="none" w:pos="374"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What are the voting recommendations of the Company’s Board of Directors? </w:t>
      </w:r>
      <w:r>
        <w:rPr>
          <w:rFonts w:ascii="Arial" w:cs="Arial" w:eastAsia="Arial" w:hAnsi="Arial"/>
          <w:sz w:val="19"/>
          <w:szCs w:val="19"/>
          <w:color w:val="auto"/>
        </w:rPr>
        <w:t>Our Board of Directors recommends that you vote your shares as follows:</w:t>
      </w:r>
    </w:p>
    <w:p>
      <w:pPr>
        <w:ind w:left="1060" w:hanging="323"/>
        <w:spacing w:after="0"/>
        <w:tabs>
          <w:tab w:leader="none" w:pos="10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“FOR” the election of each of the nine nominees to the Board of Directors; and</w:t>
      </w:r>
    </w:p>
    <w:p>
      <w:pPr>
        <w:spacing w:after="0" w:line="84" w:lineRule="exact"/>
        <w:rPr>
          <w:rFonts w:ascii="Arial" w:cs="Arial" w:eastAsia="Arial" w:hAnsi="Arial"/>
          <w:sz w:val="22"/>
          <w:szCs w:val="22"/>
          <w:color w:val="auto"/>
        </w:rPr>
      </w:pPr>
    </w:p>
    <w:p>
      <w:pPr>
        <w:ind w:left="1060" w:hanging="323"/>
        <w:spacing w:after="0"/>
        <w:tabs>
          <w:tab w:leader="none" w:pos="1060" w:val="left"/>
        </w:tabs>
        <w:numPr>
          <w:ilvl w:val="1"/>
          <w:numId w:val="17"/>
        </w:numPr>
        <w:rPr>
          <w:rFonts w:ascii="Arial" w:cs="Arial" w:eastAsia="Arial" w:hAnsi="Arial"/>
          <w:sz w:val="19"/>
          <w:szCs w:val="19"/>
          <w:color w:val="auto"/>
        </w:rPr>
      </w:pPr>
      <w:r>
        <w:rPr>
          <w:rFonts w:ascii="Arial" w:cs="Arial" w:eastAsia="Arial" w:hAnsi="Arial"/>
          <w:sz w:val="19"/>
          <w:szCs w:val="19"/>
          <w:color w:val="auto"/>
        </w:rPr>
        <w:t>“FOR” the ratification of the appointment of Grant Thornton as the Company’s independent auditor for fiscal 2019.</w:t>
      </w:r>
    </w:p>
    <w:p>
      <w:pPr>
        <w:spacing w:after="0" w:line="113" w:lineRule="exact"/>
        <w:rPr>
          <w:rFonts w:ascii="Arial" w:cs="Arial" w:eastAsia="Arial" w:hAnsi="Arial"/>
          <w:sz w:val="19"/>
          <w:szCs w:val="19"/>
          <w:color w:val="auto"/>
        </w:rPr>
      </w:pPr>
    </w:p>
    <w:p>
      <w:pPr>
        <w:ind w:left="380" w:hanging="372"/>
        <w:spacing w:after="0"/>
        <w:tabs>
          <w:tab w:leader="none" w:pos="38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How do I cast my vote?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If you are a stockholder of record, you may vote in several different ways: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In person at the 2018 Annual Meeting</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You may vote in person at the 2018 Annual Meeting. You may also be represented by another person at the meeting by executing a proxy properly designating that person.</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Internet</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You may vote using the Internet by submitting your voting instructions at www.proxyvote.com. You should have the Notice or your proxy card available when you go online. If you vote on the Internet, you may also request electronic delivery of future proxy materials. Internet voting for stockholders of record will be available until 11:59 p.m., Eastern Time, on December 10, 2018.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telephone</w:t>
      </w:r>
    </w:p>
    <w:p>
      <w:pPr>
        <w:spacing w:after="0" w:line="5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You may vote by requesting a paper copy of the proxy materials, which will include a proxy card, and then calling the telephone number on the proxy card. Please have your proxy card in hand when you call and use any touch-tone phone to transmit your voting instructions. Telephone voting for stockholders of record will be available until 11:59 p.m., Eastern Time, on December 10, 2018.</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mail</w:t>
      </w:r>
    </w:p>
    <w:p>
      <w:pPr>
        <w:spacing w:after="0" w:line="58"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You may vote by mail by requesting a paper copy of the proxy materials, which will include a proxy card, and then completing, signing, dating and returning the proxy card in the postage-paid envelope provided with the paper copy of the proxy materials.</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If you are a beneficial stockholder (see question four (“Who is entitled to vote at the 2018 Annual Meeting?”) above for more information),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To vote in person at the 2018 Annual Meeting, you must obtain a legal proxy from your bank, broker or other nominee and present it to the Inspector of Election with your ballot. Your shares may be voted even if you do not provide voting instructions because banks, brokers and nominees generally have the authority under New York Stock Exchange (“NYSE”) rules to vote on “routine matters.” The proposal to ratify the appointment of our independent auditor is considered a routine matter, and the election of directors is considered a non-routine matter.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80" w:right="239" w:bottom="1440" w:gutter="0" w:footer="0" w:header="0"/>
        </w:sectPr>
      </w:pPr>
    </w:p>
    <w:bookmarkStart w:id="8" w:name="page9"/>
    <w:bookmarkEnd w:id="8"/>
    <w:p>
      <w:pPr>
        <w:jc w:val="both"/>
        <w:spacing w:after="0" w:line="250" w:lineRule="auto"/>
        <w:rPr>
          <w:sz w:val="20"/>
          <w:szCs w:val="20"/>
          <w:color w:val="auto"/>
        </w:rPr>
      </w:pPr>
      <w:r>
        <w:rPr>
          <w:rFonts w:ascii="Arial" w:cs="Arial" w:eastAsia="Arial" w:hAnsi="Arial"/>
          <w:sz w:val="22"/>
          <w:szCs w:val="22"/>
          <w:color w:val="auto"/>
        </w:rPr>
        <w:t>Unless you decide to change your vote, use only one method to send us your vote. If you requested a printed set of the proxy materials and voted by telephone or by Internet, you do not have to return your proxy card or voting instruction form. Even if you plan to attend the 2018 Annual Meeting, we recommend that you vote your shares in advance so that your vote will be counted if you later decide not to attend the meeting.</w:t>
      </w:r>
    </w:p>
    <w:p>
      <w:pPr>
        <w:spacing w:after="0" w:line="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no contrary instructions are indicated in the proxy, each proxy will be voted “FOR” the election of the nine nominees to our Board of Directors named below and “FOR” the ratification of the appointment of Grant Thornton as our independent auditor for fiscal 2019. In their discretion, the named proxy holders are authorized to vote on any other matters that may properly come before the 2018 Annual Meeting.</w:t>
      </w:r>
    </w:p>
    <w:p>
      <w:pPr>
        <w:spacing w:after="0" w:line="7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Can I change my vote?</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Yes, if you vote by proxy, you may revoke that proxy at any time before it is voted at the 2018 Annual Meeting. If you are the stockholder of record, you may do this by:</w:t>
      </w:r>
    </w:p>
    <w:p>
      <w:pPr>
        <w:spacing w:after="0" w:line="67" w:lineRule="exact"/>
        <w:rPr>
          <w:sz w:val="20"/>
          <w:szCs w:val="20"/>
          <w:color w:val="auto"/>
        </w:rPr>
      </w:pPr>
    </w:p>
    <w:p>
      <w:pPr>
        <w:ind w:left="1060" w:hanging="323"/>
        <w:spacing w:after="0"/>
        <w:tabs>
          <w:tab w:leader="none" w:pos="10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voting again on the Internet or by telephone prior to 11:59 p.m., Eastern Time, on December 10, 2018;</w:t>
      </w:r>
    </w:p>
    <w:p>
      <w:pPr>
        <w:spacing w:after="0" w:line="111" w:lineRule="exact"/>
        <w:rPr>
          <w:rFonts w:ascii="Arial" w:cs="Arial" w:eastAsia="Arial" w:hAnsi="Arial"/>
          <w:sz w:val="22"/>
          <w:szCs w:val="22"/>
          <w:color w:val="auto"/>
        </w:rPr>
      </w:pPr>
    </w:p>
    <w:p>
      <w:pPr>
        <w:ind w:left="1060" w:hanging="323"/>
        <w:spacing w:after="0" w:line="263" w:lineRule="auto"/>
        <w:tabs>
          <w:tab w:leader="none" w:pos="10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signing another proxy card with a later date and delivering it to Broadridge Financial Solutions, Inc., 51 Mercedes Way, Edgewood, New York 11717, prior to the 2018 Annual Meeting; or</w:t>
      </w:r>
    </w:p>
    <w:p>
      <w:pPr>
        <w:spacing w:after="0" w:line="66" w:lineRule="exact"/>
        <w:rPr>
          <w:rFonts w:ascii="Arial" w:cs="Arial" w:eastAsia="Arial" w:hAnsi="Arial"/>
          <w:sz w:val="22"/>
          <w:szCs w:val="22"/>
          <w:color w:val="auto"/>
        </w:rPr>
      </w:pPr>
    </w:p>
    <w:p>
      <w:pPr>
        <w:ind w:left="1060" w:hanging="323"/>
        <w:spacing w:after="0"/>
        <w:tabs>
          <w:tab w:leader="none" w:pos="10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attending the 2018 Annual Meeting in person and delivering your proxy or casting a ballot.</w:t>
      </w:r>
    </w:p>
    <w:p>
      <w:pPr>
        <w:spacing w:after="0" w:line="112" w:lineRule="exact"/>
        <w:rPr>
          <w:sz w:val="20"/>
          <w:szCs w:val="20"/>
          <w:color w:val="auto"/>
        </w:rPr>
      </w:pPr>
    </w:p>
    <w:p>
      <w:pPr>
        <w:jc w:val="both"/>
        <w:spacing w:after="0" w:line="337" w:lineRule="auto"/>
        <w:rPr>
          <w:sz w:val="20"/>
          <w:szCs w:val="20"/>
          <w:color w:val="auto"/>
        </w:rPr>
      </w:pPr>
      <w:r>
        <w:rPr>
          <w:rFonts w:ascii="Arial" w:cs="Arial" w:eastAsia="Arial" w:hAnsi="Arial"/>
          <w:sz w:val="19"/>
          <w:szCs w:val="19"/>
          <w:color w:val="auto"/>
        </w:rPr>
        <w:t>If you are a beneficial stockholder and you have instructed your bank, broker or other nominee to vote your shares, you may revoke those instructions by following the directions received from your bank, broker or other nominee to change those instructions.</w:t>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What constitutes a quorum at the 2018 Annual Meeting?</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majority of all outstanding shares of Common Stock and Class B Stock entitled to vote at the 2018 Annual Meeting constitutes a quorum, which is the minimum number of shares that must be present or represented by proxy at the 2018 Annual Meeting to transact business. Once a share is represented for any purpose at the 2018 Annual Meeting, it will be deemed present for quorum purposes for the remainder of the meeting (including any meeting resulting from an adjournment of the 2018 Annual Meeting, unless a new record date is set).</w:t>
      </w:r>
    </w:p>
    <w:p>
      <w:pPr>
        <w:spacing w:after="0" w:line="7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How are broker non-votes and abstentions counted?</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A broker non-vote occurs when shares held as of record by a broker are not voted with respect to a particular proposal because the broker does not have discretionary authority to vote on the matter and has not received voting instructions from its clients. If your broker holds your shares as of record in its name and you do not instruct your broker how to vote, your broker will only have discretion to vote your shares on “routine” matters. Where a proposal is not “routine,” a broker who has not received instructions from its clients does not have discretion to vote its clients’ uninstructed shares on that proposal. At the 2018 Annual Meeting, the only routine matter is the proposal to ratify the appointment of our independent auditor. Therefore, absent directions from you, your broker will not have discretion to vote on the election of directors.</w:t>
      </w:r>
    </w:p>
    <w:p>
      <w:pPr>
        <w:spacing w:after="0" w:line="7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Broker non-votes and abstentions by stockholders from voting will be counted towards determining whether or not a quorum is present at the 2018 Annual Meeting. However, because broker non-votes and abstentions are not voted affirmatively or negatively, they will have no effect on the approval of any of the proposals, except (i) as to routine matters for which brokers exercise their discretion as discussed above and (ii) abstentions with respect to proposals that require an affirmative majority of the votes present at the 2018 Annual Meeting or represented by proxy, which have the same legal effect as a vote against the proposal as described below.</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80" w:right="239" w:bottom="1440" w:gutter="0" w:footer="0" w:header="0"/>
        </w:sectPr>
      </w:pPr>
    </w:p>
    <w:bookmarkStart w:id="9" w:name="page10"/>
    <w:bookmarkEnd w:id="9"/>
    <w:p>
      <w:pPr>
        <w:ind w:left="480" w:hanging="472"/>
        <w:spacing w:after="0"/>
        <w:tabs>
          <w:tab w:leader="none" w:pos="48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How many votes are needed to approve the proposals?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 director may only be elected by a plurality of votes cast. Accordingly, we count proxies and ballots marked for all nominees listed (including executed proxies submitted by stockholders who request to receive paper copies of the proxy materials that are not marked regarding the election of directors, which will be voted for all listed nominees), or those voting for some but not all nominees that specify votes withheld for one or more designated nominees, to determine the total number of votes cast for each nominee. The nine nominees who receive the largest number of votes will be elected. Shares for which authority is withheld to vote for director nominees and broker non-votes have no effect on the outcome of the election of directors.</w:t>
      </w:r>
    </w:p>
    <w:p>
      <w:pPr>
        <w:spacing w:after="0" w:line="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An affirmative majority of the votes present at the 2018 Annual Meeting or represented by proxy is necessary for ratification of the appointment of Grant Thornton as our independent auditor for fiscal 2019. Any abstention by those present or represented by proxy has the same legal effect as a vote against this proposal. Because the proposal for ratification of the appointment of Grant Thornton as our independent auditor for fiscal 2019 is considered a routine matter under the rules of the NYSE, banks, brokers and other nominees are able to vote on this matter even if no voting instructions are provided by the beneficial owner.</w:t>
      </w:r>
    </w:p>
    <w:p>
      <w:pPr>
        <w:spacing w:after="0" w:line="3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Who will count the vote?</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have retained Broadridge Financial Solutions, Inc. (“Broadridge”)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w:t>
      </w:r>
    </w:p>
    <w:p>
      <w:pPr>
        <w:spacing w:after="0" w:line="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Where can I find the voting results of the 2018 Annual Meeting?</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intend to announce preliminary voting results at the 2018 Annual Meeting. Within four business days following the adjournment of the 2018 Annual Meeting, we intend to disclose the final voting results of each proposal being voted on at the 2018 Annual Meeting in a Current Report on Form 8-K.</w:t>
      </w:r>
    </w:p>
    <w:p>
      <w:pPr>
        <w:spacing w:after="0" w:line="72"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1"/>
          <w:szCs w:val="21"/>
          <w:b w:val="1"/>
          <w:bCs w:val="1"/>
          <w:color w:val="auto"/>
        </w:rPr>
      </w:pPr>
      <w:r>
        <w:rPr>
          <w:rFonts w:ascii="Arial" w:cs="Arial" w:eastAsia="Arial" w:hAnsi="Arial"/>
          <w:sz w:val="21"/>
          <w:szCs w:val="21"/>
          <w:b w:val="1"/>
          <w:bCs w:val="1"/>
          <w:color w:val="auto"/>
        </w:rPr>
        <w:t>How does a stockholder propose actions for consideration at next year’s annual meeting of stockholders?</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For your proposal to be considered for inclusion in our proxy statement for next year’s annual meeting, we must receive your written proposal no later than July 1, 2019. Your proposal should be addressed to the Corporate Secretary, Oil-Dri Corporation of America, at the Company’s principal executive offices at 410 North Michigan Avenue, Suite 400, Chicago, Illinois 60611-4213. In addition, be aware that your proposal must comply with SEC regulations regarding inclusion of stockholder proposals in company-sponsored proxy materials and other applicable laws. Although our Board of Directors will consider all proposals, it has the right to omit any proposals it is not required to include. Proposals submitted in writing between July 1, 2019 and July 31, 2019 (assuming the meeting is held not more than 30 days from December 11, 2019) may be considered at next year’s annual meeting but will not be included in our proxy statement. All proposals should be addressed to the Corporate Secretary, Oil-Dri Corporation of America, 410 North Michigan Avenue, Suite 400, Chicago, Illinois 60611-4213. In addition, the proposal must satisfy all of the other requirements set forth in our By-Laws and all applicable laws.</w:t>
      </w:r>
    </w:p>
    <w:p>
      <w:pPr>
        <w:spacing w:after="0" w:line="4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Can I elect to receive future proxy solicitations via mail or online?</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Yes, you may either request to receive printed copies of all future proxy statements, proxy cards and annual reports in the mail or request to receive all such future proxy materials via e-mail or the Internet. If you request to receive all future proxy materials via e-mail or the Internet, you will not receive paper copies of these stockholder communications in the mail. To sign up for electronic delivery, follow the instructions on the form of proxy card under the heading “ELECTRONIC DELIVERY OF FUTURE PROXY MATERIALS”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74" w:right="239" w:bottom="1440" w:gutter="0" w:footer="0" w:header="0"/>
        </w:sectPr>
      </w:pPr>
    </w:p>
    <w:bookmarkStart w:id="10" w:name="page11"/>
    <w:bookmarkEnd w:id="10"/>
    <w:p>
      <w:pPr>
        <w:jc w:val="both"/>
        <w:spacing w:after="0" w:line="253" w:lineRule="auto"/>
        <w:rPr>
          <w:sz w:val="20"/>
          <w:szCs w:val="20"/>
          <w:color w:val="auto"/>
        </w:rPr>
      </w:pPr>
      <w:r>
        <w:rPr>
          <w:rFonts w:ascii="Arial" w:cs="Arial" w:eastAsia="Arial" w:hAnsi="Arial"/>
          <w:sz w:val="22"/>
          <w:szCs w:val="22"/>
          <w:color w:val="auto"/>
        </w:rPr>
        <w:t>to indicate that you agree to receive or access stockholder communications electronically in future years. If you hold your shares through a bank, broker or other nominee, contact that entity for information as to whether and how you can elect electronic delivery.</w:t>
      </w:r>
    </w:p>
    <w:p>
      <w:pPr>
        <w:spacing w:after="0" w:line="72"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Why did I receive more than one package of proxy materials?</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means that you have multiple accounts holding shares of Common Stock or Class B Stock. These may include accounts with our transfer agent, Computershare,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p>
      <w:pPr>
        <w:spacing w:after="0" w:line="74" w:lineRule="exact"/>
        <w:rPr>
          <w:sz w:val="20"/>
          <w:szCs w:val="20"/>
          <w:color w:val="auto"/>
        </w:rPr>
      </w:pPr>
    </w:p>
    <w:p>
      <w:pPr>
        <w:ind w:left="660" w:hanging="652"/>
        <w:spacing w:after="0" w:line="269" w:lineRule="auto"/>
        <w:tabs>
          <w:tab w:leader="none" w:pos="66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Can I receive future proxy statements, annual reports and certain other stockholder information in a single package per household?</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If you have elected to receive paper copies of the proxy materials and your household received more than one copy of the Company’s Annual Report on Form 10-K and Proxy Statement, and you wish to reduce the number you receive, you may enroll in householding online at www.proxyvote.com or you may check the “yes” box on the proxy card next to the statement “Please indicate if you consent to receive certain future investor communications in a single package per household.” By checking this box, you are consenting to the mailing of the proxy statements, annual reports and certain other stockholder information in a single package per household. Please note that each registered stockholder in your household will need to consent to this option in order for the household delivery to take effect for such stockholder’s mailings. Despite signing up for household delivery of certain stockholder mailings, the Company will continue to separately mail a proxy card for each registered stockholder account.</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may revoke your consent at any time by calling (866) 540-7095 or writing to Broadridge Financial Solution, Attn: Householding Department, 51 Mercedes Way, Edgewood, NY 11717. If you revoke your consent, the Company will begin sending you individual copies of these documents within 30 days after receipt of your revocation notice.</w:t>
      </w:r>
    </w:p>
    <w:p>
      <w:pPr>
        <w:spacing w:after="0" w:line="7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Who may solicit proxies?</w:t>
      </w:r>
    </w:p>
    <w:p>
      <w:pPr>
        <w:spacing w:after="0" w:line="118" w:lineRule="exact"/>
        <w:rPr>
          <w:sz w:val="20"/>
          <w:szCs w:val="20"/>
          <w:color w:val="auto"/>
        </w:rPr>
      </w:pPr>
    </w:p>
    <w:p>
      <w:pPr>
        <w:spacing w:after="0" w:line="337" w:lineRule="auto"/>
        <w:rPr>
          <w:sz w:val="20"/>
          <w:szCs w:val="20"/>
          <w:color w:val="auto"/>
        </w:rPr>
      </w:pPr>
      <w:r>
        <w:rPr>
          <w:rFonts w:ascii="Arial" w:cs="Arial" w:eastAsia="Arial" w:hAnsi="Arial"/>
          <w:sz w:val="19"/>
          <w:szCs w:val="19"/>
          <w:color w:val="auto"/>
        </w:rPr>
        <w:t>Our directors, officers and employees may solicit proxies on behalf of our Board of Directors via mail, telephone, facsimile, e-mail and personal contact. Our directors, officers and employees will receive no additional compensation for soliciting proxies.</w:t>
      </w:r>
    </w:p>
    <w:p>
      <w:pPr>
        <w:spacing w:after="0" w:line="2"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Who pays for the cost of this proxy solicitation?</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We will bear the cost of this proxy solicitation, including reimbursing banks, brokers and other nominees for reasonable expenses of sending out proxy materials to beneficial stockholders.</w:t>
      </w:r>
    </w:p>
    <w:p>
      <w:pPr>
        <w:spacing w:after="0" w:line="61"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What if I have additional questions not addressed here?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You may call Investor Relations at (312) 321-1515 or e-mail Investor Relations at InvestorRelations@oildri.com.</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5"/>
          <w:szCs w:val="25"/>
          <w:b w:val="1"/>
          <w:bCs w:val="1"/>
          <w:color w:val="auto"/>
        </w:rPr>
        <w:t>PROPOSALS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1 - Election of Directors</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proposes that the following nine individuals be elected to our Board of Directors. Each nominee currently serves as a director. If any nominee should be unable or unwilling to serve, which is not now contemplated, the proxy holders may, but will not be bound to, vote for a substitute nominee.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ELECTION OF THE FOLLOWING NOMINEES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340"/>
        <w:spacing w:after="0"/>
        <w:tabs>
          <w:tab w:leader="none" w:pos="6760" w:val="left"/>
          <w:tab w:leader="none" w:pos="9820" w:val="left"/>
        </w:tabs>
        <w:rPr>
          <w:sz w:val="20"/>
          <w:szCs w:val="20"/>
          <w:color w:val="auto"/>
        </w:rPr>
      </w:pPr>
      <w:r>
        <w:rPr>
          <w:rFonts w:ascii="Arial" w:cs="Arial" w:eastAsia="Arial" w:hAnsi="Arial"/>
          <w:sz w:val="20"/>
          <w:szCs w:val="20"/>
          <w:color w:val="auto"/>
        </w:rPr>
        <w:t>Daniel S. Jaffee</w:t>
      </w:r>
      <w:r>
        <w:rPr>
          <w:sz w:val="20"/>
          <w:szCs w:val="20"/>
          <w:color w:val="auto"/>
        </w:rPr>
        <w:tab/>
      </w:r>
      <w:r>
        <w:rPr>
          <w:rFonts w:ascii="Arial" w:cs="Arial" w:eastAsia="Arial" w:hAnsi="Arial"/>
          <w:sz w:val="20"/>
          <w:szCs w:val="20"/>
          <w:color w:val="auto"/>
        </w:rPr>
        <w:t>Age 54</w:t>
      </w:r>
      <w:r>
        <w:rPr>
          <w:sz w:val="20"/>
          <w:szCs w:val="20"/>
          <w:color w:val="auto"/>
        </w:rPr>
        <w:tab/>
      </w:r>
      <w:r>
        <w:rPr>
          <w:rFonts w:ascii="Arial" w:cs="Arial" w:eastAsia="Arial" w:hAnsi="Arial"/>
          <w:sz w:val="18"/>
          <w:szCs w:val="18"/>
          <w:color w:val="auto"/>
        </w:rPr>
        <w:t>Director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-134620</wp:posOffset>
            </wp:positionV>
            <wp:extent cx="1097915" cy="1543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915" cy="1543685"/>
                    </a:xfrm>
                    <a:prstGeom prst="rect">
                      <a:avLst/>
                    </a:prstGeom>
                    <a:noFill/>
                  </pic:spPr>
                </pic:pic>
              </a:graphicData>
            </a:graphic>
          </wp:anchor>
        </w:drawing>
      </w:r>
    </w:p>
    <w:p>
      <w:pPr>
        <w:spacing w:after="0" w:line="250" w:lineRule="exact"/>
        <w:rPr>
          <w:sz w:val="20"/>
          <w:szCs w:val="20"/>
          <w:color w:val="auto"/>
        </w:rPr>
      </w:pPr>
    </w:p>
    <w:p>
      <w:pPr>
        <w:ind w:left="2340"/>
        <w:spacing w:after="0"/>
        <w:rPr>
          <w:sz w:val="20"/>
          <w:szCs w:val="20"/>
          <w:color w:val="auto"/>
        </w:rPr>
      </w:pPr>
      <w:r>
        <w:rPr>
          <w:rFonts w:ascii="Arial" w:cs="Arial" w:eastAsia="Arial" w:hAnsi="Arial"/>
          <w:sz w:val="20"/>
          <w:szCs w:val="20"/>
          <w:i w:val="1"/>
          <w:iCs w:val="1"/>
          <w:color w:val="auto"/>
        </w:rPr>
        <w:t>Chairman of the Board of Directors and</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20"/>
          <w:szCs w:val="20"/>
          <w:i w:val="1"/>
          <w:iCs w:val="1"/>
          <w:color w:val="auto"/>
        </w:rPr>
        <w:t>President and Chief Executive Officer of the Company</w:t>
      </w:r>
    </w:p>
    <w:p>
      <w:pPr>
        <w:spacing w:after="0" w:line="78" w:lineRule="exact"/>
        <w:rPr>
          <w:sz w:val="20"/>
          <w:szCs w:val="20"/>
          <w:color w:val="auto"/>
        </w:rPr>
      </w:pPr>
    </w:p>
    <w:p>
      <w:pPr>
        <w:jc w:val="both"/>
        <w:ind w:left="2340" w:right="40"/>
        <w:spacing w:after="0" w:line="276" w:lineRule="auto"/>
        <w:rPr>
          <w:sz w:val="20"/>
          <w:szCs w:val="20"/>
          <w:color w:val="auto"/>
        </w:rPr>
      </w:pPr>
      <w:r>
        <w:rPr>
          <w:rFonts w:ascii="Arial" w:cs="Arial" w:eastAsia="Arial" w:hAnsi="Arial"/>
          <w:sz w:val="18"/>
          <w:szCs w:val="18"/>
          <w:color w:val="auto"/>
        </w:rPr>
        <w:t>Mr. Jaffee graduated from Georgetown University in 1986. Mr. Jaffee joined the Company in 1987 after a year with the accounting firm now known as PricewaterhouseCoopers LLP. He was a product manager in the Industrial and Agricultural divisions of the Company until 1989. In 1990, he became Chief Financial Officer of the Company, a position he held until 1995. From 1990 to 1995, he also held group vice presidential positions in the areas of Canadian and domestic operations, finance, management, information systems and consumer products. He was Chief Operating Officer from 1995 to 1997. Mr. Jaffee became President in 1995,</w:t>
      </w:r>
    </w:p>
    <w:p>
      <w:pPr>
        <w:spacing w:after="0" w:line="3" w:lineRule="exact"/>
        <w:rPr>
          <w:sz w:val="20"/>
          <w:szCs w:val="20"/>
          <w:color w:val="auto"/>
        </w:rPr>
      </w:pPr>
    </w:p>
    <w:p>
      <w:pPr>
        <w:jc w:val="both"/>
        <w:ind w:left="40" w:right="20"/>
        <w:spacing w:after="0" w:line="246" w:lineRule="auto"/>
        <w:rPr>
          <w:sz w:val="20"/>
          <w:szCs w:val="20"/>
          <w:color w:val="auto"/>
        </w:rPr>
      </w:pPr>
      <w:r>
        <w:rPr>
          <w:rFonts w:ascii="Arial" w:cs="Arial" w:eastAsia="Arial" w:hAnsi="Arial"/>
          <w:sz w:val="20"/>
          <w:szCs w:val="20"/>
          <w:color w:val="auto"/>
        </w:rPr>
        <w:t>Chief Executive Officer in 1997 and Chairman of the Board of Directors in 2018. Mr. Jaffee received an M.B.A. from the Kellogg Graduate School of Management of Northwestern University in 2004. Mr. Jaffee’s civic activities include serving as a member of the Board of Directors of the Anti-Cruelty Society of Chicago and as a Trustee of the Chicago History Museum. He is also a member of the Board of Directors of Elkay Manufacturing Company (“Elkay”).</w:t>
      </w:r>
    </w:p>
    <w:p>
      <w:pPr>
        <w:spacing w:after="0" w:line="205" w:lineRule="exact"/>
        <w:rPr>
          <w:sz w:val="20"/>
          <w:szCs w:val="20"/>
          <w:color w:val="auto"/>
        </w:rPr>
      </w:pPr>
    </w:p>
    <w:p>
      <w:pPr>
        <w:jc w:val="both"/>
        <w:ind w:left="40" w:right="40"/>
        <w:spacing w:after="0" w:line="260" w:lineRule="auto"/>
        <w:rPr>
          <w:sz w:val="20"/>
          <w:szCs w:val="20"/>
          <w:color w:val="auto"/>
        </w:rPr>
      </w:pPr>
      <w:r>
        <w:rPr>
          <w:rFonts w:ascii="Arial" w:cs="Arial" w:eastAsia="Arial" w:hAnsi="Arial"/>
          <w:sz w:val="19"/>
          <w:szCs w:val="19"/>
          <w:color w:val="auto"/>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third-generation family stockholder. In addition, his experience on the Board of Directors of Elkay and his active involvement in the local community in advisory roles for several not-for-profit organizations add to his perspective on effective management and strategy for the long-term success of the Company.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65" w:right="239" w:bottom="1440" w:gutter="0" w:footer="0" w:header="0"/>
        </w:sectPr>
      </w:pPr>
    </w:p>
    <w:bookmarkStart w:id="12" w:name="page13"/>
    <w:bookmarkEnd w:id="12"/>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Ellen-Blair Chube</w:t>
      </w:r>
      <w:r>
        <w:rPr>
          <w:sz w:val="20"/>
          <w:szCs w:val="20"/>
          <w:color w:val="auto"/>
        </w:rPr>
        <w:tab/>
      </w:r>
      <w:r>
        <w:rPr>
          <w:rFonts w:ascii="Arial" w:cs="Arial" w:eastAsia="Arial" w:hAnsi="Arial"/>
          <w:sz w:val="20"/>
          <w:szCs w:val="20"/>
          <w:color w:val="auto"/>
        </w:rPr>
        <w:t>Age 37</w:t>
      </w:r>
      <w:r>
        <w:rPr>
          <w:sz w:val="20"/>
          <w:szCs w:val="20"/>
          <w:color w:val="auto"/>
        </w:rPr>
        <w:tab/>
      </w:r>
      <w:r>
        <w:rPr>
          <w:rFonts w:ascii="Arial" w:cs="Arial" w:eastAsia="Arial" w:hAnsi="Arial"/>
          <w:sz w:val="18"/>
          <w:szCs w:val="18"/>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71880" cy="1612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71880" cy="1612265"/>
                    </a:xfrm>
                    <a:prstGeom prst="rect">
                      <a:avLst/>
                    </a:prstGeom>
                    <a:noFill/>
                  </pic:spPr>
                </pic:pic>
              </a:graphicData>
            </a:graphic>
          </wp:anchor>
        </w:drawing>
      </w:r>
    </w:p>
    <w:p>
      <w:pPr>
        <w:spacing w:after="0" w:line="250"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Managing Director &amp; Client Service Officer, William Blair &amp;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2300"/>
        <w:spacing w:after="0" w:line="274" w:lineRule="auto"/>
        <w:rPr>
          <w:sz w:val="20"/>
          <w:szCs w:val="20"/>
          <w:color w:val="auto"/>
        </w:rPr>
      </w:pPr>
      <w:r>
        <w:rPr>
          <w:rFonts w:ascii="Arial" w:cs="Arial" w:eastAsia="Arial" w:hAnsi="Arial"/>
          <w:sz w:val="18"/>
          <w:szCs w:val="18"/>
          <w:color w:val="auto"/>
        </w:rPr>
        <w:t>Ms. Chube graduated from Northwestern University in 2002 with a Bachelor of Arts in political science and earned a Juris Doctorate degree from Georgetown University in 2005. Ms. Chube began her career in public service working for Congressman Harold Ford Jr. as a senior advisor in the House of Representatives, as well as on the 2006 Senate campaign. Following her time with Congressman Ford, Ms. Chube became an associate in the government affairs practice of Brownstein Hyatt Farber Schreck, LLP. In 2009, Ms. Chube became the Staff Director for the Senate Banking Subcommittee on Security, International Trade and Finance. In this role, she was responsible for financial services and economic policy for former Senator Evan Bayh,</w:t>
      </w:r>
    </w:p>
    <w:p>
      <w:pPr>
        <w:spacing w:after="0" w:line="7"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including his legislative priorities in the Dodd-Frank financial regulatory reform bill enacted in July 2010. In 2011, Ms. Chube became the Vice President and Chief of Staff to John W. Rogers Jr., Chairman and CEO of Ariel Investments. After four years at Ariel Investments, Ms. Chube became the Managing Director and Client Service Officer at William Blair &amp; Company. She also serves on the board of the Toigo Foundation and the Chicago Children’s Choir and is a trustee of the Museum of Contemporary Art in Chicago.</w:t>
      </w:r>
    </w:p>
    <w:p>
      <w:pPr>
        <w:spacing w:after="0" w:line="190"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Ms. Chube’s individual qualifications include her expertise and commitment to delivering exceptional client service worldwide as well as her wealth of business and financial services knowledge she has acquired throughout her time at William Blair, Ariel Investments and her notable public service career. In addition, Ms. Chube brings to the Board finance, regulatory, audit committee and human resources committee experience.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J. Steven Cole</w:t>
      </w:r>
      <w:r>
        <w:rPr>
          <w:sz w:val="20"/>
          <w:szCs w:val="20"/>
          <w:color w:val="auto"/>
        </w:rPr>
        <w:tab/>
      </w:r>
      <w:r>
        <w:rPr>
          <w:rFonts w:ascii="Arial" w:cs="Arial" w:eastAsia="Arial" w:hAnsi="Arial"/>
          <w:sz w:val="20"/>
          <w:szCs w:val="20"/>
          <w:color w:val="auto"/>
        </w:rPr>
        <w:t>Age 84</w:t>
      </w:r>
      <w:r>
        <w:rPr>
          <w:sz w:val="20"/>
          <w:szCs w:val="20"/>
          <w:color w:val="auto"/>
        </w:rPr>
        <w:tab/>
      </w:r>
      <w:r>
        <w:rPr>
          <w:rFonts w:ascii="Arial" w:cs="Arial" w:eastAsia="Arial" w:hAnsi="Arial"/>
          <w:sz w:val="18"/>
          <w:szCs w:val="18"/>
          <w:color w:val="auto"/>
        </w:rPr>
        <w:t>Director since 1981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46480" cy="1543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6480" cy="1543685"/>
                    </a:xfrm>
                    <a:prstGeom prst="rect">
                      <a:avLst/>
                    </a:prstGeom>
                    <a:noFill/>
                  </pic:spPr>
                </pic:pic>
              </a:graphicData>
            </a:graphic>
          </wp:anchor>
        </w:drawing>
      </w:r>
    </w:p>
    <w:p>
      <w:pPr>
        <w:spacing w:after="0" w:line="20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President, Cole &amp; Associates</w:t>
      </w:r>
    </w:p>
    <w:p>
      <w:pPr>
        <w:spacing w:after="0" w:line="229" w:lineRule="exact"/>
        <w:rPr>
          <w:sz w:val="20"/>
          <w:szCs w:val="20"/>
          <w:color w:val="auto"/>
        </w:rPr>
      </w:pPr>
    </w:p>
    <w:p>
      <w:pPr>
        <w:jc w:val="both"/>
        <w:ind w:left="2300" w:right="20"/>
        <w:spacing w:after="0" w:line="258" w:lineRule="auto"/>
        <w:rPr>
          <w:sz w:val="20"/>
          <w:szCs w:val="20"/>
          <w:color w:val="auto"/>
        </w:rPr>
      </w:pPr>
      <w:r>
        <w:rPr>
          <w:rFonts w:ascii="Arial" w:cs="Arial" w:eastAsia="Arial" w:hAnsi="Arial"/>
          <w:sz w:val="19"/>
          <w:szCs w:val="19"/>
          <w:color w:val="auto"/>
        </w:rPr>
        <w:t>Mr. Cole graduated from the University of Wisconsin in 1957. After serving as an officer in the United States Army, he received a master’s degree from the American Graduate School for International Business following graduate studies at the University of Michigan. He began his career at Abbott Laboratories in 1962. Later, he joined G.D. Searle and Company, where he became Vice President of the Asian and Canadian Divisions, a position he held until 1986. In 1986, Mr. Cole joined A.H. Robins Company, where he was a Senior Vice President responsible for all international operations until 1990. In 1990, he joined SAV-A-LIFE Systems, Inc., a firm selling specialty products to the dental and medical professions, where</w:t>
      </w:r>
    </w:p>
    <w:p>
      <w:pPr>
        <w:spacing w:after="0" w:line="24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he served as President until 1994 and then Chairman of the Board until 2000. In 1990, Mr. Cole also became President of Cole &amp; Associates, an international consulting firm. Mr. Cole is also a director of Aculux, Inc. and Ocularis Inc.</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Mr. Cole’s individual qualifications include broad experience in international business and product development. Mr. Cole’s expertise includes past leadership of various divisions of multi-national corporations with direct responsibility for international operations. In addition, Mr. Cole has public company corporate governance experience and is an “audit committee financial expert” under SEC rules. He is an accomplished advisor to many companies and organizations, providing leadership in product development, general management and technical development and has contributed to efforts dedicated to reducing trade barriers to global businesses through his active involvement with trade associations.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933" w:right="259" w:bottom="1440" w:gutter="0" w:footer="0" w:header="0"/>
        </w:sectPr>
      </w:pPr>
    </w:p>
    <w:bookmarkStart w:id="13" w:name="page14"/>
    <w:bookmarkEnd w:id="13"/>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Joseph C. Miller</w:t>
      </w:r>
      <w:r>
        <w:rPr>
          <w:sz w:val="20"/>
          <w:szCs w:val="20"/>
          <w:color w:val="auto"/>
        </w:rPr>
        <w:tab/>
      </w:r>
      <w:r>
        <w:rPr>
          <w:rFonts w:ascii="Arial" w:cs="Arial" w:eastAsia="Arial" w:hAnsi="Arial"/>
          <w:sz w:val="20"/>
          <w:szCs w:val="20"/>
          <w:color w:val="auto"/>
        </w:rPr>
        <w:t>Age 76</w:t>
      </w:r>
      <w:r>
        <w:rPr>
          <w:sz w:val="20"/>
          <w:szCs w:val="20"/>
          <w:color w:val="auto"/>
        </w:rPr>
        <w:tab/>
      </w:r>
      <w:r>
        <w:rPr>
          <w:rFonts w:ascii="Arial" w:cs="Arial" w:eastAsia="Arial" w:hAnsi="Arial"/>
          <w:sz w:val="18"/>
          <w:szCs w:val="18"/>
          <w:color w:val="auto"/>
        </w:rPr>
        <w:t>Director since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80770" cy="1551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0770" cy="1551940"/>
                    </a:xfrm>
                    <a:prstGeom prst="rect">
                      <a:avLst/>
                    </a:prstGeom>
                    <a:noFill/>
                  </pic:spPr>
                </pic:pic>
              </a:graphicData>
            </a:graphic>
          </wp:anchor>
        </w:drawing>
      </w:r>
    </w:p>
    <w:p>
      <w:pPr>
        <w:spacing w:after="0" w:line="20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Vice Chairman of the Board of the Company</w:t>
      </w:r>
    </w:p>
    <w:p>
      <w:pPr>
        <w:spacing w:after="0" w:line="175"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Independent Consultant</w:t>
      </w:r>
    </w:p>
    <w:p>
      <w:pPr>
        <w:spacing w:after="0" w:line="270" w:lineRule="exact"/>
        <w:rPr>
          <w:sz w:val="20"/>
          <w:szCs w:val="20"/>
          <w:color w:val="auto"/>
        </w:rPr>
      </w:pPr>
    </w:p>
    <w:p>
      <w:pPr>
        <w:jc w:val="both"/>
        <w:ind w:left="2300" w:right="20"/>
        <w:spacing w:after="0" w:line="278" w:lineRule="auto"/>
        <w:rPr>
          <w:sz w:val="20"/>
          <w:szCs w:val="20"/>
          <w:color w:val="auto"/>
        </w:rPr>
      </w:pPr>
      <w:r>
        <w:rPr>
          <w:rFonts w:ascii="Arial" w:cs="Arial" w:eastAsia="Arial" w:hAnsi="Arial"/>
          <w:sz w:val="18"/>
          <w:szCs w:val="18"/>
          <w:color w:val="auto"/>
        </w:rPr>
        <w:t>Mr. Miller graduated from the West Virginia University School of Business in 1964. After serving as an officer in the United States Army, he joined Republic Steel Corporation in 1966. Mr. Miller served as President of Lowes, Inc., Inland Distributing and Whiteford Transportation Systems. He joined the Company in 1989 as Vice President of Corporate Planning and Marketing. He served as Group Vice President for Sales, Marketing and Distribution from 1990 to 1993. Mr. Miller was Senior Vice President for the Consumer,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Industrial &amp; Environmental and Transportation Groups of the Company from 1993 to 1995. He became Vice Chairman of the Board in 1995.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Mr. Miller was an employee of the Company until 2000, when he became an independent consultant specializing in strategic planning. Mr.</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Miller is a member of the board of advisors of Kamterter Products, LLC.</w:t>
      </w:r>
    </w:p>
    <w:p>
      <w:pPr>
        <w:spacing w:after="0" w:line="213"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Mr. Miller’s individual qualifications include his leadership experience as chief executive and chief operating officer of several corporations, including prior sorbent minerals industry experience. In addition, he brings to the Board skills gained through his 11 years of employment with the Company in various operational, management and executive positions. He also serves on the advisory boards of several other companies and offers additional perspective gained through his experience as a strategic planning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Michael A. Nemeroff</w:t>
      </w:r>
      <w:r>
        <w:rPr>
          <w:sz w:val="20"/>
          <w:szCs w:val="20"/>
          <w:color w:val="auto"/>
        </w:rPr>
        <w:tab/>
      </w:r>
      <w:r>
        <w:rPr>
          <w:rFonts w:ascii="Arial" w:cs="Arial" w:eastAsia="Arial" w:hAnsi="Arial"/>
          <w:sz w:val="20"/>
          <w:szCs w:val="20"/>
          <w:color w:val="auto"/>
        </w:rPr>
        <w:t>Age 55</w:t>
      </w:r>
      <w:r>
        <w:rPr>
          <w:sz w:val="20"/>
          <w:szCs w:val="20"/>
          <w:color w:val="auto"/>
        </w:rPr>
        <w:tab/>
      </w:r>
      <w:r>
        <w:rPr>
          <w:rFonts w:ascii="Arial" w:cs="Arial" w:eastAsia="Arial" w:hAnsi="Arial"/>
          <w:sz w:val="18"/>
          <w:szCs w:val="18"/>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54735" cy="1543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4735" cy="1543685"/>
                    </a:xfrm>
                    <a:prstGeom prst="rect">
                      <a:avLst/>
                    </a:prstGeom>
                    <a:noFill/>
                  </pic:spPr>
                </pic:pic>
              </a:graphicData>
            </a:graphic>
          </wp:anchor>
        </w:drawing>
      </w:r>
    </w:p>
    <w:p>
      <w:pPr>
        <w:spacing w:after="0" w:line="20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President and Chief Executive Officer, Vedder Price P.C.</w:t>
      </w:r>
    </w:p>
    <w:p>
      <w:pPr>
        <w:spacing w:after="0" w:line="229" w:lineRule="exact"/>
        <w:rPr>
          <w:sz w:val="20"/>
          <w:szCs w:val="20"/>
          <w:color w:val="auto"/>
        </w:rPr>
      </w:pPr>
    </w:p>
    <w:p>
      <w:pPr>
        <w:jc w:val="both"/>
        <w:ind w:left="2300"/>
        <w:spacing w:after="0" w:line="258" w:lineRule="auto"/>
        <w:rPr>
          <w:sz w:val="20"/>
          <w:szCs w:val="20"/>
          <w:color w:val="auto"/>
        </w:rPr>
      </w:pPr>
      <w:r>
        <w:rPr>
          <w:rFonts w:ascii="Arial" w:cs="Arial" w:eastAsia="Arial" w:hAnsi="Arial"/>
          <w:sz w:val="19"/>
          <w:szCs w:val="19"/>
          <w:color w:val="auto"/>
        </w:rPr>
        <w:t>Mr. Nemeroff received a bachelor’s degree from the State University of New York at Binghamton in 1985 and earned a J.D. from George Washington University in 1988. He joined the law firm of Vedder Price P.C. (“Vedder Price”) in 1988 and has been the Chairman of the firm’s Finance &amp; Transaction Group and an equity shareholder since 1995. Since 1998, he has served on the firm’s Board of Directors. Since 2005, Mr. Nemeroff has served as President and CEO of Vedder Price and a member of the Executive Committee of the firm’s Board of Directors. Vedder Price regularly provides services to the Company. Mr. Nemeroff serves as a legal advisor to the G100, an elite international organization of leading chief executive</w:t>
      </w:r>
    </w:p>
    <w:p>
      <w:pPr>
        <w:spacing w:after="0" w:line="17"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officers from Fortune 500 publicly traded corporations. He also serves as an Executive Committee and Board of Directors member of Chicago Children’s Choir, a not-for-profit organization making a difference in the lives of children through musical excellence, a Trustee of the Chicago History Museum and Board Chair of The Wallis Annenberg Center for the Performing Arts in Beverly Hills, CA.</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the position of President and Chief Executive Officer of that international law firm.</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933" w:right="259" w:bottom="1440" w:gutter="0" w:footer="0" w:header="0"/>
        </w:sectPr>
      </w:pPr>
    </w:p>
    <w:bookmarkStart w:id="14" w:name="page15"/>
    <w:bookmarkEnd w:id="14"/>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George C. Roeth</w:t>
      </w:r>
      <w:r>
        <w:rPr>
          <w:sz w:val="20"/>
          <w:szCs w:val="20"/>
          <w:color w:val="auto"/>
        </w:rPr>
        <w:tab/>
      </w:r>
      <w:r>
        <w:rPr>
          <w:rFonts w:ascii="Arial" w:cs="Arial" w:eastAsia="Arial" w:hAnsi="Arial"/>
          <w:sz w:val="20"/>
          <w:szCs w:val="20"/>
          <w:color w:val="auto"/>
        </w:rPr>
        <w:t>Age 57</w:t>
      </w:r>
      <w:r>
        <w:rPr>
          <w:sz w:val="20"/>
          <w:szCs w:val="20"/>
          <w:color w:val="auto"/>
        </w:rPr>
        <w:tab/>
      </w:r>
      <w:r>
        <w:rPr>
          <w:rFonts w:ascii="Arial" w:cs="Arial" w:eastAsia="Arial" w:hAnsi="Arial"/>
          <w:sz w:val="18"/>
          <w:szCs w:val="18"/>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29335" cy="1543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9335" cy="1543685"/>
                    </a:xfrm>
                    <a:prstGeom prst="rect">
                      <a:avLst/>
                    </a:prstGeom>
                    <a:noFill/>
                  </pic:spPr>
                </pic:pic>
              </a:graphicData>
            </a:graphic>
          </wp:anchor>
        </w:drawing>
      </w:r>
    </w:p>
    <w:p>
      <w:pPr>
        <w:spacing w:after="0" w:line="20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President and Chief Executive Officer, Central Garden &amp; Pet Company</w:t>
      </w:r>
    </w:p>
    <w:p>
      <w:pPr>
        <w:spacing w:after="0" w:line="270" w:lineRule="exact"/>
        <w:rPr>
          <w:sz w:val="20"/>
          <w:szCs w:val="20"/>
          <w:color w:val="auto"/>
        </w:rPr>
      </w:pPr>
    </w:p>
    <w:p>
      <w:pPr>
        <w:jc w:val="both"/>
        <w:ind w:left="2300"/>
        <w:spacing w:after="0" w:line="258" w:lineRule="auto"/>
        <w:rPr>
          <w:sz w:val="20"/>
          <w:szCs w:val="20"/>
          <w:color w:val="auto"/>
        </w:rPr>
      </w:pPr>
      <w:r>
        <w:rPr>
          <w:rFonts w:ascii="Arial" w:cs="Arial" w:eastAsia="Arial" w:hAnsi="Arial"/>
          <w:sz w:val="19"/>
          <w:szCs w:val="19"/>
          <w:color w:val="auto"/>
        </w:rPr>
        <w:t>Mr. Roeth received a Bachelor of Science in Business Administration from the University of California at Berkeley in 1983 and earned a Master of Business Administration from the Kellogg Graduate School of Management of Northwestern University in 1987. From 1987 to 2014, Mr. Roeth held various positions at The Clorox Company (“Clorox”). Most recently, from 2013 to 2014, he served as Chief Operating Officer of Lifestyle, Household and Global Operating Functions of Clorox. Previously, he served as Senior Vice President and General Manager, during which time he was also Chairman of the Board for the Clorox and Procter &amp; Gamble Glad Products Joint Venture. Prior to that, Mr. Roeth served in several senior-level</w:t>
      </w:r>
    </w:p>
    <w:p>
      <w:pPr>
        <w:spacing w:after="0" w:line="1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auto"/>
        </w:rPr>
        <w:t>marketing and operations roles at Clorox, including Senior Vice President and General Manager, Vice President of Growth and Marketing, and Vice President of Brand Development, among others. Following his retirement from Clorox in 2014, he served on the Gryphon Investors Executive Advisory Board, advising on investments in the consumer packaged goods business until 2016. In 2015, Mr. Roeth joined the Board of Directors of Central Garden &amp; Pet Company (“Central Garden &amp; Pet”) and was named President and Chief Executive Officer of that company in 2016. He also currently serves on the board of the East Oakland Youth Development Foundation.</w:t>
      </w:r>
    </w:p>
    <w:p>
      <w:pPr>
        <w:spacing w:after="0" w:line="179"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Mr. Roeth’s individual qualifications include his proven track record of delivering profitable growth in challenging and highly competitive business environments and his success in simultaneously driving global sales, lowering costs and improving customer satisfaction during his tenure at Clorox and Central Garden &amp; Pet. He also brings to the Board his extensive experience in, and his comprehensive understanding of, the consumer products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Allan H. Selig</w:t>
      </w:r>
      <w:r>
        <w:rPr>
          <w:sz w:val="20"/>
          <w:szCs w:val="20"/>
          <w:color w:val="auto"/>
        </w:rPr>
        <w:tab/>
      </w:r>
      <w:r>
        <w:rPr>
          <w:rFonts w:ascii="Arial" w:cs="Arial" w:eastAsia="Arial" w:hAnsi="Arial"/>
          <w:sz w:val="20"/>
          <w:szCs w:val="20"/>
          <w:color w:val="auto"/>
        </w:rPr>
        <w:t>Age 84</w:t>
      </w:r>
      <w:r>
        <w:rPr>
          <w:sz w:val="20"/>
          <w:szCs w:val="20"/>
          <w:color w:val="auto"/>
        </w:rPr>
        <w:tab/>
      </w:r>
      <w:r>
        <w:rPr>
          <w:rFonts w:ascii="Arial" w:cs="Arial" w:eastAsia="Arial" w:hAnsi="Arial"/>
          <w:sz w:val="18"/>
          <w:szCs w:val="18"/>
          <w:color w:val="auto"/>
        </w:rPr>
        <w:t>Director since 1969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46480" cy="1517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46480" cy="1517650"/>
                    </a:xfrm>
                    <a:prstGeom prst="rect">
                      <a:avLst/>
                    </a:prstGeom>
                    <a:noFill/>
                  </pic:spPr>
                </pic:pic>
              </a:graphicData>
            </a:graphic>
          </wp:anchor>
        </w:drawing>
      </w:r>
    </w:p>
    <w:p>
      <w:pPr>
        <w:spacing w:after="0" w:line="20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Commissioner Emeritus of Major League Baseball</w:t>
      </w:r>
    </w:p>
    <w:p>
      <w:pPr>
        <w:spacing w:after="0" w:line="175"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President and Chairman of the Board, Selig Leasing Company Inc.</w:t>
      </w:r>
    </w:p>
    <w:p>
      <w:pPr>
        <w:spacing w:after="0" w:line="229" w:lineRule="exact"/>
        <w:rPr>
          <w:sz w:val="20"/>
          <w:szCs w:val="20"/>
          <w:color w:val="auto"/>
        </w:rPr>
      </w:pPr>
    </w:p>
    <w:p>
      <w:pPr>
        <w:jc w:val="both"/>
        <w:ind w:left="2300" w:right="20"/>
        <w:spacing w:after="0" w:line="278" w:lineRule="auto"/>
        <w:rPr>
          <w:sz w:val="20"/>
          <w:szCs w:val="20"/>
          <w:color w:val="auto"/>
        </w:rPr>
      </w:pPr>
      <w:r>
        <w:rPr>
          <w:rFonts w:ascii="Arial" w:cs="Arial" w:eastAsia="Arial" w:hAnsi="Arial"/>
          <w:sz w:val="18"/>
          <w:szCs w:val="18"/>
          <w:color w:val="auto"/>
        </w:rPr>
        <w:t>Commissioner Emeritus Selig received a bachelor’s degree from the University of Wisconsin in 1956. After two years in the United States Army, he joined Selig Ford, Inc. He served as President of Selig Ford (which became Selig Chevrolet in 1982) from 1959 until 1990. Since 1970, he has served as Chairman of the Board and President of Selig Leasing Company Inc. He became President and Chief Executive Officer of the Milwaukee Brewers Baseball Club, Inc. in 1970 and served in that capacity until 1998, when he was elected to the position of</w:t>
      </w:r>
    </w:p>
    <w:p>
      <w:pPr>
        <w:spacing w:after="0" w:line="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Commissioner of Major League Baseball (“MLB”). He also served as Chairman of the Executive Council of MLB from 1992 to 1998. He now holds the position of Commissioner Emeritus of MLB following his retirement as Commissioner in January of 2015. He is a director of Marcus Corporation and a director emeritus of the Green Bay Packers, Inc.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 Mr. Selig was inducted into the Baseball Hall of Fame on July 30, 2017 in Cooperstown, NY.</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Commissioner Emeritus Selig’s individual qualifications include sound judgment, integrity and business management skills gained through his management of several businesses, including his long tenure in each of his positions as MLB Commissioner, as Chief Executive Officer of the Milwaukee Brewers Baseball Club and as President and Chairman of his family’s automobile businesses. His unique ability to manage by consensus brought change and growth in baseball despite economic and political challenges both inside and outside of baseball. In addition, he is a community leader and an active advisor to several philanthropic organizations.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933" w:right="259" w:bottom="1440" w:gutter="0" w:footer="0" w:header="0"/>
        </w:sectPr>
      </w:pPr>
    </w:p>
    <w:bookmarkStart w:id="15" w:name="page16"/>
    <w:bookmarkEnd w:id="15"/>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Paul E. Suckow</w:t>
      </w:r>
      <w:r>
        <w:rPr>
          <w:sz w:val="20"/>
          <w:szCs w:val="20"/>
          <w:color w:val="auto"/>
        </w:rPr>
        <w:tab/>
      </w:r>
      <w:r>
        <w:rPr>
          <w:rFonts w:ascii="Arial" w:cs="Arial" w:eastAsia="Arial" w:hAnsi="Arial"/>
          <w:sz w:val="20"/>
          <w:szCs w:val="20"/>
          <w:color w:val="auto"/>
        </w:rPr>
        <w:t>Age 71</w:t>
      </w:r>
      <w:r>
        <w:rPr>
          <w:sz w:val="20"/>
          <w:szCs w:val="20"/>
          <w:color w:val="auto"/>
        </w:rPr>
        <w:tab/>
      </w:r>
      <w:r>
        <w:rPr>
          <w:rFonts w:ascii="Arial" w:cs="Arial" w:eastAsia="Arial" w:hAnsi="Arial"/>
          <w:sz w:val="18"/>
          <w:szCs w:val="18"/>
          <w:color w:val="auto"/>
        </w:rPr>
        <w:t>Director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37590" cy="1526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7590" cy="1526540"/>
                    </a:xfrm>
                    <a:prstGeom prst="rect">
                      <a:avLst/>
                    </a:prstGeom>
                    <a:noFill/>
                  </pic:spPr>
                </pic:pic>
              </a:graphicData>
            </a:graphic>
          </wp:anchor>
        </w:drawing>
      </w:r>
    </w:p>
    <w:p>
      <w:pPr>
        <w:spacing w:after="0" w:line="20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Business Fellow and Adjunct Professor, Finance and Economics, Villanova University</w:t>
      </w:r>
    </w:p>
    <w:p>
      <w:pPr>
        <w:spacing w:after="0" w:line="229" w:lineRule="exact"/>
        <w:rPr>
          <w:sz w:val="20"/>
          <w:szCs w:val="20"/>
          <w:color w:val="auto"/>
        </w:rPr>
      </w:pPr>
    </w:p>
    <w:p>
      <w:pPr>
        <w:jc w:val="both"/>
        <w:ind w:left="2300"/>
        <w:spacing w:after="0" w:line="258" w:lineRule="auto"/>
        <w:rPr>
          <w:sz w:val="20"/>
          <w:szCs w:val="20"/>
          <w:color w:val="auto"/>
        </w:rPr>
      </w:pPr>
      <w:r>
        <w:rPr>
          <w:rFonts w:ascii="Arial" w:cs="Arial" w:eastAsia="Arial" w:hAnsi="Arial"/>
          <w:sz w:val="19"/>
          <w:szCs w:val="19"/>
          <w:color w:val="auto"/>
        </w:rPr>
        <w:t>Mr. Suckow received a B.S. degree in economics from Bradley University in 1969 and earned an M.B.A. with a concentration in finance from Western Illinois University in 1973. He began his career in finance in 1973 with American National Insurance Company as a securities analyst. In 1975, he became a trust investment officer with First Hutchings-Sealy National Bank. From 1978 to 1981, he was Vice President, Investments, for Sun Insurance Services and from 1981 to 1985, Vice President and Portfolio Manager for Delaware Investment Advisers, Inc. From 1985 to 1992, Mr. Suckow was Executive Vice President and Director of Fixed Income Securities for Oppenheimer Management Corporation, and from 1993 to 1999,</w:t>
      </w:r>
    </w:p>
    <w:p>
      <w:pPr>
        <w:spacing w:after="0" w:line="17"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he served as Executive Vice President and Chief Investment Officer-Fixed Income for Delaware Investment Advisers, Inc. In 1999, he retired from the investment management industry and began a teaching career as a business fellow and adjunct professor of finance and economics at Villanova University. Since 1978, he has been a Chartered Financial Analyst and is a member of the CFA Institute.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Mr. Suckow’s individual qualifications include his financial literacy evidenced by his position as an adjunct professor of finance and economics and his many years of service in the financial and insurance services industries. In addition, Mr. Suckow has served on the advisory boards of many corporations and is an “audit committee financial expert” within the meaning of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Lawrence E. Washow</w:t>
      </w:r>
      <w:r>
        <w:rPr>
          <w:sz w:val="20"/>
          <w:szCs w:val="20"/>
          <w:color w:val="auto"/>
        </w:rPr>
        <w:tab/>
      </w:r>
      <w:r>
        <w:rPr>
          <w:rFonts w:ascii="Arial" w:cs="Arial" w:eastAsia="Arial" w:hAnsi="Arial"/>
          <w:sz w:val="20"/>
          <w:szCs w:val="20"/>
          <w:color w:val="auto"/>
        </w:rPr>
        <w:t>Age 65</w:t>
      </w:r>
      <w:r>
        <w:rPr>
          <w:sz w:val="20"/>
          <w:szCs w:val="20"/>
          <w:color w:val="auto"/>
        </w:rPr>
        <w:tab/>
      </w:r>
      <w:r>
        <w:rPr>
          <w:rFonts w:ascii="Arial" w:cs="Arial" w:eastAsia="Arial" w:hAnsi="Arial"/>
          <w:sz w:val="18"/>
          <w:szCs w:val="18"/>
          <w:color w:val="auto"/>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03300" cy="15176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03300" cy="1517650"/>
                    </a:xfrm>
                    <a:prstGeom prst="rect">
                      <a:avLst/>
                    </a:prstGeom>
                    <a:noFill/>
                  </pic:spPr>
                </pic:pic>
              </a:graphicData>
            </a:graphic>
          </wp:anchor>
        </w:drawing>
      </w:r>
    </w:p>
    <w:p>
      <w:pPr>
        <w:spacing w:after="0" w:line="20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Chairman and Board Member, First Bauxite Corporation</w:t>
      </w:r>
    </w:p>
    <w:p>
      <w:pPr>
        <w:spacing w:after="0" w:line="175"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Board Member and Partner of Eudora Global, LLC</w:t>
      </w:r>
    </w:p>
    <w:p>
      <w:pPr>
        <w:spacing w:after="0" w:line="175"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Board Member, Aspire Brands, Inc.</w:t>
      </w:r>
    </w:p>
    <w:p>
      <w:pPr>
        <w:spacing w:after="0" w:line="229" w:lineRule="exact"/>
        <w:rPr>
          <w:sz w:val="20"/>
          <w:szCs w:val="20"/>
          <w:color w:val="auto"/>
        </w:rPr>
      </w:pPr>
    </w:p>
    <w:p>
      <w:pPr>
        <w:jc w:val="both"/>
        <w:ind w:left="2300"/>
        <w:spacing w:after="0" w:line="244" w:lineRule="auto"/>
        <w:rPr>
          <w:sz w:val="20"/>
          <w:szCs w:val="20"/>
          <w:color w:val="auto"/>
        </w:rPr>
      </w:pPr>
      <w:r>
        <w:rPr>
          <w:rFonts w:ascii="Arial" w:cs="Arial" w:eastAsia="Arial" w:hAnsi="Arial"/>
          <w:sz w:val="20"/>
          <w:szCs w:val="20"/>
          <w:color w:val="auto"/>
        </w:rPr>
        <w:t>Mr. Washow received a bachelor’s degree from Miami University in Oxford, Ohio and earned a Master of Business Administration from the Kellogg Graduate School of Management of Northwestern University. Mr. Washow began his career at American Colloid Company (which subsequently became a subsidiary of AMCOL International Corporation (“AMCOL”), now Mineral Technologies Inc.) In 1986, he was picked to build and lead Chemdal International,</w:t>
      </w:r>
    </w:p>
    <w:p>
      <w:pPr>
        <w:spacing w:after="0" w:line="3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a stand-alone subsidiary of AMCOL. Mr. Washow became Chief Operating Officer of AMCOL in 1998 and President and Chief Executive Officer of AMCOL in 2000 and served in these positions and as a director of AMCOL until 2010. In 2011, Mr. Washow became a board member, and now serves as Chairman of First Bauxite Corporation. He also serves as a board member and partner of Eudora Global, LLC and a board member of Aspire Brands, Inc. In addition, he is a private investor and advisor for a number of early stage companies.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Mr. Washow’s individual qualifications include his extensive global experience in minerals, mining, manufacturing and distribution. In addition, Mr. Washow is an “audit committee financial expert” within the meaning of SEC rules and brings to the Board his strong business acumen and broad experience in management, operations, public company governance and compliance obtained through the leadership positions that he has held with public corporations, including president, chief executive officer and board member.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80" w:top="933"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25"/>
          <w:szCs w:val="25"/>
          <w:b w:val="1"/>
          <w:bCs w:val="1"/>
          <w:color w:val="auto"/>
        </w:rPr>
        <w:t>Proposal 2 - Ratification of Appointment of Independent Auditor</w:t>
      </w:r>
    </w:p>
    <w:p>
      <w:pPr>
        <w:spacing w:after="0" w:line="2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Audit Committee is directly responsible for the selection, appointment, evaluation and oversight of the independent auditor retained to audit the Company’s financial statements. The Audit Committee annually reviews its independent registered public accounting firm's performance and independence from management. In addition, when appropriate, the Audit Committee discusses with the independent registered public accounting firm plans for audit partner rotation as required by the Sarbanes-Oxley Act. During fiscal 2018, the Audit Committee was involved with discussions with the Company’s independent auditor regarding the rotation of the lead audit partner to occur in fiscal 2019.</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Audit Committee of the Board of Directors appointed Grant Thornton as the Company’s independent auditor for fiscal 2019 at its meeting on October 9, 2018, and has further directed that we submit the appointment of the independent auditor for ratification by the stockholders at the 2018 Annual Meeting. Grant Thornton audited the Company’s consolidated financial statements for the fiscal year ended July 31, 2018. A representative of Grant Thornton is expected to be present at the 2018 Annual Meeting and will have an opportunity to make a statement if he or she so desires and will be available to respond to appropriate questions.</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Stockholder ratification of the appointment of Grant Thornton as the Company’s independent auditor is not required by the Company’s By-Laws or otherwise; however, our Board of Directors is submitting the appointment of Grant Thornton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 RATIFICATION OF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APPOINTMENT OF GRANT THORNTON LLP AS INDEPENDENT AUDITOR.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 Relating to the Independent Auditor</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Auditor Fees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table shows the aggregate fees for professional services rendered by Grant Thornton for the audit of the Company’s annual financial statements for the years ended July 31, 2018 (“fiscal 2018”) and July 31, 2017 (“fiscal 2017”), and fees billed during those periods for other services rendered by Grant Thornton.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2"/>
                <w:szCs w:val="22"/>
                <w:b w:val="1"/>
                <w:bCs w:val="1"/>
                <w:color w:val="auto"/>
              </w:rPr>
              <w:t>Type of Fees</w:t>
            </w:r>
          </w:p>
        </w:tc>
        <w:tc>
          <w:tcPr>
            <w:tcW w:w="15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22"/>
                <w:szCs w:val="22"/>
                <w:b w:val="1"/>
                <w:bCs w:val="1"/>
                <w:color w:val="auto"/>
                <w:shd w:val="clear" w:color="auto" w:fill="CCEEFF"/>
              </w:rPr>
              <w:t>2018</w:t>
            </w:r>
          </w:p>
        </w:tc>
        <w:tc>
          <w:tcPr>
            <w:tcW w:w="12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22"/>
                <w:szCs w:val="22"/>
                <w:b w:val="1"/>
                <w:bCs w:val="1"/>
                <w:color w:val="auto"/>
                <w:shd w:val="clear" w:color="auto" w:fill="CCEEFF"/>
              </w:rPr>
              <w:t>2017</w:t>
            </w:r>
          </w:p>
        </w:tc>
      </w:tr>
      <w:tr>
        <w:trPr>
          <w:trHeight w:val="282"/>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Audit fees (1)</w:t>
            </w:r>
          </w:p>
        </w:tc>
        <w:tc>
          <w:tcPr>
            <w:tcW w:w="1240" w:type="dxa"/>
            <w:vAlign w:val="bottom"/>
          </w:tcPr>
          <w:p>
            <w:pPr>
              <w:spacing w:after="0"/>
              <w:rPr>
                <w:sz w:val="24"/>
                <w:szCs w:val="2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$621,839</w:t>
            </w:r>
          </w:p>
        </w:tc>
        <w:tc>
          <w:tcPr>
            <w:tcW w:w="1260" w:type="dxa"/>
            <w:vAlign w:val="bottom"/>
          </w:tcPr>
          <w:p>
            <w:pPr>
              <w:spacing w:after="0"/>
              <w:rPr>
                <w:sz w:val="24"/>
                <w:szCs w:val="2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$699,279</w:t>
            </w:r>
          </w:p>
        </w:tc>
      </w:tr>
      <w:tr>
        <w:trPr>
          <w:trHeight w:val="306"/>
        </w:trPr>
        <w:tc>
          <w:tcPr>
            <w:tcW w:w="69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Audit-related fees (2)</w:t>
            </w: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$6,680</w:t>
            </w:r>
          </w:p>
        </w:tc>
        <w:tc>
          <w:tcPr>
            <w:tcW w:w="1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$0</w:t>
            </w:r>
          </w:p>
        </w:tc>
      </w:tr>
      <w:tr>
        <w:trPr>
          <w:trHeight w:val="289"/>
        </w:trPr>
        <w:tc>
          <w:tcPr>
            <w:tcW w:w="6940" w:type="dxa"/>
            <w:vAlign w:val="bottom"/>
            <w:gridSpan w:val="2"/>
          </w:tcPr>
          <w:p>
            <w:pPr>
              <w:ind w:left="40"/>
              <w:spacing w:after="0"/>
              <w:rPr>
                <w:sz w:val="20"/>
                <w:szCs w:val="20"/>
                <w:color w:val="auto"/>
              </w:rPr>
            </w:pPr>
            <w:r>
              <w:rPr>
                <w:rFonts w:ascii="Arial" w:cs="Arial" w:eastAsia="Arial" w:hAnsi="Arial"/>
                <w:sz w:val="22"/>
                <w:szCs w:val="22"/>
                <w:color w:val="auto"/>
              </w:rPr>
              <w:t>Tax fees (3)</w:t>
            </w:r>
          </w:p>
        </w:tc>
        <w:tc>
          <w:tcPr>
            <w:tcW w:w="1580" w:type="dxa"/>
            <w:vAlign w:val="bottom"/>
          </w:tcPr>
          <w:p>
            <w:pPr>
              <w:jc w:val="right"/>
              <w:spacing w:after="0"/>
              <w:rPr>
                <w:sz w:val="20"/>
                <w:szCs w:val="20"/>
                <w:color w:val="auto"/>
              </w:rPr>
            </w:pPr>
            <w:r>
              <w:rPr>
                <w:rFonts w:ascii="Arial" w:cs="Arial" w:eastAsia="Arial" w:hAnsi="Arial"/>
                <w:sz w:val="22"/>
                <w:szCs w:val="22"/>
                <w:color w:val="auto"/>
              </w:rPr>
              <w:t>$250,920</w:t>
            </w:r>
          </w:p>
        </w:tc>
        <w:tc>
          <w:tcPr>
            <w:tcW w:w="1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$230,587</w:t>
            </w:r>
          </w:p>
        </w:tc>
      </w:tr>
      <w:tr>
        <w:trPr>
          <w:trHeight w:val="299"/>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All other fees (4)</w:t>
            </w:r>
          </w:p>
        </w:tc>
        <w:tc>
          <w:tcPr>
            <w:tcW w:w="124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$944</w:t>
            </w:r>
          </w:p>
        </w:tc>
        <w:tc>
          <w:tcPr>
            <w:tcW w:w="126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w:t>
            </w:r>
          </w:p>
        </w:tc>
      </w:tr>
      <w:tr>
        <w:trPr>
          <w:trHeight w:val="280"/>
        </w:trPr>
        <w:tc>
          <w:tcPr>
            <w:tcW w:w="6940" w:type="dxa"/>
            <w:vAlign w:val="bottom"/>
            <w:gridSpan w:val="2"/>
          </w:tcPr>
          <w:p>
            <w:pPr>
              <w:ind w:left="40"/>
              <w:spacing w:after="0"/>
              <w:rPr>
                <w:sz w:val="20"/>
                <w:szCs w:val="20"/>
                <w:color w:val="auto"/>
              </w:rPr>
            </w:pPr>
            <w:r>
              <w:rPr>
                <w:rFonts w:ascii="Arial" w:cs="Arial" w:eastAsia="Arial" w:hAnsi="Arial"/>
                <w:sz w:val="22"/>
                <w:szCs w:val="22"/>
                <w:color w:val="auto"/>
              </w:rPr>
              <w:t>Total</w:t>
            </w:r>
          </w:p>
        </w:tc>
        <w:tc>
          <w:tcPr>
            <w:tcW w:w="1580" w:type="dxa"/>
            <w:vAlign w:val="bottom"/>
          </w:tcPr>
          <w:p>
            <w:pPr>
              <w:jc w:val="right"/>
              <w:spacing w:after="0"/>
              <w:rPr>
                <w:sz w:val="20"/>
                <w:szCs w:val="20"/>
                <w:color w:val="auto"/>
              </w:rPr>
            </w:pPr>
            <w:r>
              <w:rPr>
                <w:rFonts w:ascii="Arial" w:cs="Arial" w:eastAsia="Arial" w:hAnsi="Arial"/>
                <w:sz w:val="22"/>
                <w:szCs w:val="22"/>
                <w:color w:val="auto"/>
              </w:rPr>
              <w:t>$880,384</w:t>
            </w:r>
          </w:p>
        </w:tc>
        <w:tc>
          <w:tcPr>
            <w:tcW w:w="1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$929,867</w:t>
            </w:r>
          </w:p>
        </w:tc>
      </w:tr>
    </w:tbl>
    <w:p>
      <w:pPr>
        <w:spacing w:after="0" w:line="259" w:lineRule="exact"/>
        <w:rPr>
          <w:sz w:val="20"/>
          <w:szCs w:val="20"/>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fees consist of fees for audit services provided in connection with the audit of our annual financial statements and review of our quarterly financial statements and audit services provided in connection with other statutory or regulatory filings. Audit fees for fiscal 2017 reflect fees invoiced by Grant Thornton, after the completion of fiscal 2017, for services provided during such fiscal year.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65" w:right="239" w:bottom="1440" w:gutter="0" w:footer="0" w:header="0"/>
        </w:sectPr>
      </w:pPr>
    </w:p>
    <w:bookmarkStart w:id="17" w:name="page18"/>
    <w:bookmarkEnd w:id="17"/>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Audit-related fees in fiscal 2018 related to services in connection with potential acquisitions and other matters.</w:t>
      </w:r>
    </w:p>
    <w:p>
      <w:pPr>
        <w:spacing w:after="0" w:line="184" w:lineRule="exact"/>
        <w:rPr>
          <w:rFonts w:ascii="Arial" w:cs="Arial" w:eastAsia="Arial" w:hAnsi="Arial"/>
          <w:sz w:val="18"/>
          <w:szCs w:val="18"/>
          <w:color w:val="auto"/>
        </w:rPr>
      </w:pPr>
    </w:p>
    <w:p>
      <w:pPr>
        <w:jc w:val="both"/>
        <w:ind w:left="660" w:right="2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fees consist of fees for tax compliance and statutory filing preparation (“tax compliance”) and fees for tax planning and advice, both international and domestic (“tax planning”). The tax compliance services consisted primarily of the preparation of original and amended tax returns, claims for refunds and support during any income tax audit or inquiry. The tax planning services consisted primarily of research and advice regarding the effect of new tax laws and regulations.</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other fees in fiscal 2018 consist of fees for iXBRL tagging of statutory accounts.</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Pre-Approval of Independent Auditor Services</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 services specifically prohibited by the Sarbanes-Oxley Act of 2002 will be provided to the Company by the independent auditor. The Audit Committee has adopted a policy that requires the Audit Committee or a member of the Audit Committee to pre-approve all engagements with the Company’s independent auditor. These services include audit services, audit-related services and tax services. In accordance with its pre-approval policy, the Audit Committee or its chair pre-approved all services performed by the independent auditor during fiscal 2018.</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Other Matters for the Annual Meeting</w:t>
      </w:r>
    </w:p>
    <w:p>
      <w:pPr>
        <w:spacing w:after="0" w:line="2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At this time, our Board of Directors is not aware of any matters not referred to herein that might be presented for action at the 2018 Annual Meeting; however, if any other business should properly come before the meeting, votes may be cast in respect to such matters in accordance with the best judgment of the person or persons acting under the proxies.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CORPORATE GOVERNANCE MATTERS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Controlled Company Status</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Our Board of Directors has determined that the Company is a “controlled company” within the meaning of the NYSE Corporate Governance Standards. This determination is based on the fact that Class B Stock having more than 50% of the aggregate voting power of our Common Stock and Class B Stock is owned by Daniel S. Jaffee and the Jaffee Investment Partnership, L.P., a Delaware limited partnership of which Daniel S. Jaffee is a general partner. The remaining three general partners of the Jaffee Investment Partnership, L.P. are all siblings of Daniel S. Jaffee. Daniel S. Jaffee has 11 of the 20 total votes of the general partners.</w:t>
      </w:r>
    </w:p>
    <w:p>
      <w:pPr>
        <w:spacing w:after="0" w:line="15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As a “controlled company” we are entitled to rely on exemptions from the NYSE Corporate Governance Standards that would otherwise require the Company to: (a) have a board of directors the majority of which is comprised of independent directors;</w:t>
      </w:r>
    </w:p>
    <w:p>
      <w:pPr>
        <w:spacing w:after="0" w:line="1" w:lineRule="exact"/>
        <w:rPr>
          <w:sz w:val="20"/>
          <w:szCs w:val="20"/>
          <w:color w:val="auto"/>
        </w:rPr>
      </w:pPr>
    </w:p>
    <w:p>
      <w:pPr>
        <w:jc w:val="both"/>
        <w:ind w:firstLine="8"/>
        <w:spacing w:after="0" w:line="244" w:lineRule="auto"/>
        <w:tabs>
          <w:tab w:leader="none" w:pos="3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have a nominating/corporate governance committee comprised entirely of independent directors; and (c) have a compensation committee comprised entirely of independent directors. From time to time in the past, we have elected to rely on all three of these exemptions. Currently, a majority of our Board of Directors is comprised of independent directors, so we are only relying on exemptions (b) and (c) above.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Independence</w:t>
      </w:r>
    </w:p>
    <w:p>
      <w:pPr>
        <w:spacing w:after="0" w:line="20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Our Board of Directors has determined that the directors listed below are independent from our management within the meaning of the NYSE Corporate Governance Standards: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73" w:right="239" w:bottom="1440" w:gutter="0" w:footer="0" w:header="0"/>
        </w:sectPr>
      </w:pPr>
    </w:p>
    <w:bookmarkStart w:id="18" w:name="page19"/>
    <w:bookmarkEnd w:id="18"/>
    <w:p>
      <w:pPr>
        <w:ind w:left="3600"/>
        <w:spacing w:after="0"/>
        <w:rPr>
          <w:sz w:val="20"/>
          <w:szCs w:val="20"/>
          <w:color w:val="auto"/>
        </w:rPr>
      </w:pPr>
      <w:r>
        <w:rPr>
          <w:rFonts w:ascii="Arial" w:cs="Arial" w:eastAsia="Arial" w:hAnsi="Arial"/>
          <w:sz w:val="19"/>
          <w:szCs w:val="19"/>
          <w:color w:val="auto"/>
        </w:rPr>
        <w:t>Ellen-Blair Chube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Allan H. Selig</w:t>
      </w:r>
    </w:p>
    <w:p>
      <w:pPr>
        <w:spacing w:after="0" w:line="200" w:lineRule="exact"/>
        <w:rPr>
          <w:sz w:val="20"/>
          <w:szCs w:val="20"/>
          <w:color w:val="auto"/>
        </w:rPr>
      </w:pPr>
    </w:p>
    <w:p>
      <w:pPr>
        <w:sectPr>
          <w:pgSz w:w="11900" w:h="16838" w:orient="portrait"/>
          <w:cols w:equalWidth="0" w:num="2">
            <w:col w:w="5180" w:space="560"/>
            <w:col w:w="5680"/>
          </w:cols>
          <w:pgMar w:left="240" w:top="1185" w:right="239" w:bottom="1440" w:gutter="0" w:footer="0" w:header="0"/>
        </w:sectPr>
      </w:pPr>
    </w:p>
    <w:p>
      <w:pPr>
        <w:spacing w:after="0" w:line="95"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J. Steven Cole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Paul E. Suckow</w:t>
      </w:r>
    </w:p>
    <w:p>
      <w:pPr>
        <w:spacing w:after="0" w:line="200" w:lineRule="exact"/>
        <w:rPr>
          <w:sz w:val="20"/>
          <w:szCs w:val="20"/>
          <w:color w:val="auto"/>
        </w:rPr>
      </w:pPr>
    </w:p>
    <w:p>
      <w:pPr>
        <w:sectPr>
          <w:pgSz w:w="11900" w:h="16838" w:orient="portrait"/>
          <w:cols w:equalWidth="0" w:num="2">
            <w:col w:w="5020" w:space="720"/>
            <w:col w:w="5680"/>
          </w:cols>
          <w:pgMar w:left="240" w:top="1185" w:right="239" w:bottom="1440" w:gutter="0" w:footer="0" w:header="0"/>
          <w:type w:val="continuous"/>
        </w:sectPr>
      </w:pPr>
    </w:p>
    <w:p>
      <w:pPr>
        <w:spacing w:after="0" w:line="95"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George C. Roeth</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Lawrence E. Washow</w:t>
      </w:r>
    </w:p>
    <w:p>
      <w:pPr>
        <w:spacing w:after="0" w:line="200" w:lineRule="exact"/>
        <w:rPr>
          <w:sz w:val="20"/>
          <w:szCs w:val="20"/>
          <w:color w:val="auto"/>
        </w:rPr>
      </w:pPr>
    </w:p>
    <w:p>
      <w:pPr>
        <w:sectPr>
          <w:pgSz w:w="11900" w:h="16838" w:orient="portrait"/>
          <w:cols w:equalWidth="0" w:num="2">
            <w:col w:w="5040" w:space="700"/>
            <w:col w:w="5680"/>
          </w:cols>
          <w:pgMar w:left="240" w:top="1185" w:right="2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While our Board of Directors has not adopted any categorical standards for independence, in making these determinations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 noted that none of Ms. Chube and Messrs. Cole, Roeth, Selig, Suckow and Washow:</w:t>
      </w:r>
    </w:p>
    <w:p>
      <w:pPr>
        <w:spacing w:after="0" w:line="161" w:lineRule="exact"/>
        <w:rPr>
          <w:sz w:val="20"/>
          <w:szCs w:val="20"/>
          <w:color w:val="auto"/>
        </w:rPr>
      </w:pPr>
    </w:p>
    <w:p>
      <w:pPr>
        <w:ind w:left="980" w:right="20" w:hanging="324"/>
        <w:spacing w:after="0" w:line="263" w:lineRule="auto"/>
        <w:tabs>
          <w:tab w:leader="none" w:pos="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receives direct compensation from the Company other than director annual retainers and meeting fees paid to current directors;</w:t>
      </w:r>
    </w:p>
    <w:p>
      <w:pPr>
        <w:spacing w:after="0" w:line="66"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has any relationship with the Company or a third party that would preclude independence under the NYSE Corporate Governance Standards; or</w:t>
      </w:r>
    </w:p>
    <w:p>
      <w:pPr>
        <w:spacing w:after="0" w:line="66" w:lineRule="exact"/>
        <w:rPr>
          <w:rFonts w:ascii="Arial" w:cs="Arial" w:eastAsia="Arial" w:hAnsi="Arial"/>
          <w:sz w:val="22"/>
          <w:szCs w:val="22"/>
          <w:color w:val="auto"/>
        </w:rPr>
      </w:pPr>
    </w:p>
    <w:p>
      <w:pPr>
        <w:ind w:left="980" w:hanging="324"/>
        <w:spacing w:after="0"/>
        <w:tabs>
          <w:tab w:leader="none" w:pos="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has any other material relationship with the Company and its management.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the last three years, we have not made any contributions in excess of $1 million or 2% of our consolidated gross revenues to any tax-exempt organization in which an independent director serves as an executive officer.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Executive Sessions of Non-Management Directors</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Non-management directors meet in executive sessions of our Board of Directors in which Mr. Daniel S. Jaffee, a management director, and other members of management do not participate. These sessions are scheduled for non-management directors at all regular meetings of our Board of Directors. Under our Corporate Governance Guidelines, the Chairman of our Audit Committee (currently Mr. Suckow) presides at all executive sessions of non-management and independent directors unless otherwise determined by the directors attending any given executive session.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Board of Directors Committee Membership and Meetings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sets forth the current membership of the committees of our Board of Directors.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22"/>
                <w:szCs w:val="22"/>
                <w:b w:val="1"/>
                <w:bCs w:val="1"/>
                <w:color w:val="auto"/>
              </w:rPr>
              <w:t>Audit</w:t>
            </w:r>
          </w:p>
        </w:tc>
        <w:tc>
          <w:tcPr>
            <w:tcW w:w="14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ind w:left="240"/>
              <w:spacing w:after="0"/>
              <w:rPr>
                <w:sz w:val="20"/>
                <w:szCs w:val="20"/>
                <w:color w:val="auto"/>
              </w:rPr>
            </w:pPr>
            <w:r>
              <w:rPr>
                <w:rFonts w:ascii="Arial" w:cs="Arial" w:eastAsia="Arial" w:hAnsi="Arial"/>
                <w:sz w:val="22"/>
                <w:szCs w:val="22"/>
                <w:b w:val="1"/>
                <w:bCs w:val="1"/>
                <w:color w:val="auto"/>
              </w:rPr>
              <w:t>Compensation</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ind w:left="140"/>
              <w:spacing w:after="0"/>
              <w:rPr>
                <w:sz w:val="20"/>
                <w:szCs w:val="20"/>
                <w:color w:val="auto"/>
              </w:rPr>
            </w:pPr>
            <w:r>
              <w:rPr>
                <w:rFonts w:ascii="Arial" w:cs="Arial" w:eastAsia="Arial" w:hAnsi="Arial"/>
                <w:sz w:val="22"/>
                <w:szCs w:val="22"/>
                <w:b w:val="1"/>
                <w:bCs w:val="1"/>
                <w:color w:val="auto"/>
                <w:w w:val="94"/>
              </w:rPr>
              <w:t>Pension Plan</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Retirement Plans</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ind w:left="340"/>
              <w:spacing w:after="0"/>
              <w:rPr>
                <w:sz w:val="20"/>
                <w:szCs w:val="20"/>
                <w:color w:val="auto"/>
              </w:rPr>
            </w:pPr>
            <w:r>
              <w:rPr>
                <w:rFonts w:ascii="Arial" w:cs="Arial" w:eastAsia="Arial" w:hAnsi="Arial"/>
                <w:sz w:val="22"/>
                <w:szCs w:val="22"/>
                <w:b w:val="1"/>
                <w:bCs w:val="1"/>
                <w:color w:val="auto"/>
              </w:rPr>
              <w:t>Executive</w:t>
            </w:r>
          </w:p>
        </w:tc>
      </w:tr>
      <w:tr>
        <w:trPr>
          <w:trHeight w:val="297"/>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Ellen-Blair Chube</w:t>
            </w: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89"/>
        </w:trPr>
        <w:tc>
          <w:tcPr>
            <w:tcW w:w="2860" w:type="dxa"/>
            <w:vAlign w:val="bottom"/>
            <w:gridSpan w:val="2"/>
          </w:tcPr>
          <w:p>
            <w:pPr>
              <w:ind w:left="40"/>
              <w:spacing w:after="0"/>
              <w:rPr>
                <w:sz w:val="20"/>
                <w:szCs w:val="20"/>
                <w:color w:val="auto"/>
              </w:rPr>
            </w:pPr>
            <w:r>
              <w:rPr>
                <w:rFonts w:ascii="Arial" w:cs="Arial" w:eastAsia="Arial" w:hAnsi="Arial"/>
                <w:sz w:val="22"/>
                <w:szCs w:val="22"/>
                <w:color w:val="auto"/>
              </w:rPr>
              <w:t>J. Steven Cole</w:t>
            </w:r>
          </w:p>
        </w:tc>
        <w:tc>
          <w:tcPr>
            <w:tcW w:w="1600" w:type="dxa"/>
            <w:vAlign w:val="bottom"/>
            <w:gridSpan w:val="2"/>
          </w:tcPr>
          <w:p>
            <w:pPr>
              <w:ind w:left="700"/>
              <w:spacing w:after="0"/>
              <w:rPr>
                <w:sz w:val="20"/>
                <w:szCs w:val="20"/>
                <w:color w:val="auto"/>
              </w:rPr>
            </w:pPr>
            <w:r>
              <w:rPr>
                <w:rFonts w:ascii="Arial" w:cs="Arial" w:eastAsia="Arial" w:hAnsi="Arial"/>
                <w:sz w:val="22"/>
                <w:szCs w:val="22"/>
                <w:color w:val="auto"/>
              </w:rPr>
              <w:t>X</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ind w:left="700"/>
              <w:spacing w:after="0"/>
              <w:rPr>
                <w:sz w:val="20"/>
                <w:szCs w:val="20"/>
                <w:color w:val="auto"/>
              </w:rPr>
            </w:pPr>
            <w:r>
              <w:rPr>
                <w:rFonts w:ascii="Arial" w:cs="Arial" w:eastAsia="Arial" w:hAnsi="Arial"/>
                <w:sz w:val="22"/>
                <w:szCs w:val="22"/>
                <w:color w:val="auto"/>
              </w:rPr>
              <w:t>X</w:t>
            </w:r>
          </w:p>
        </w:tc>
      </w:tr>
      <w:tr>
        <w:trPr>
          <w:trHeight w:val="306"/>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22"/>
                <w:szCs w:val="22"/>
                <w:color w:val="auto"/>
              </w:rPr>
              <w:t>X*</w:t>
            </w:r>
          </w:p>
        </w:tc>
        <w:tc>
          <w:tcPr>
            <w:tcW w:w="1580" w:type="dxa"/>
            <w:vAlign w:val="bottom"/>
            <w:shd w:val="clear" w:color="auto" w:fill="CCEEFF"/>
          </w:tcPr>
          <w:p>
            <w:pPr>
              <w:ind w:left="700"/>
              <w:spacing w:after="0"/>
              <w:rPr>
                <w:sz w:val="20"/>
                <w:szCs w:val="20"/>
                <w:color w:val="auto"/>
              </w:rPr>
            </w:pPr>
            <w:r>
              <w:rPr>
                <w:rFonts w:ascii="Arial" w:cs="Arial" w:eastAsia="Arial" w:hAnsi="Arial"/>
                <w:sz w:val="22"/>
                <w:szCs w:val="22"/>
                <w:color w:val="auto"/>
              </w:rPr>
              <w:t>X*</w:t>
            </w:r>
          </w:p>
        </w:tc>
      </w:tr>
      <w:tr>
        <w:trPr>
          <w:trHeight w:val="289"/>
        </w:trPr>
        <w:tc>
          <w:tcPr>
            <w:tcW w:w="2860" w:type="dxa"/>
            <w:vAlign w:val="bottom"/>
            <w:gridSpan w:val="2"/>
          </w:tcPr>
          <w:p>
            <w:pPr>
              <w:ind w:left="40"/>
              <w:spacing w:after="0"/>
              <w:rPr>
                <w:sz w:val="20"/>
                <w:szCs w:val="20"/>
                <w:color w:val="auto"/>
              </w:rPr>
            </w:pPr>
            <w:r>
              <w:rPr>
                <w:rFonts w:ascii="Arial" w:cs="Arial" w:eastAsia="Arial" w:hAnsi="Arial"/>
                <w:sz w:val="22"/>
                <w:szCs w:val="22"/>
                <w:color w:val="auto"/>
              </w:rPr>
              <w:t>Joseph C. Miller</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2"/>
          </w:tcPr>
          <w:p>
            <w:pPr>
              <w:ind w:left="700"/>
              <w:spacing w:after="0"/>
              <w:rPr>
                <w:sz w:val="20"/>
                <w:szCs w:val="20"/>
                <w:color w:val="auto"/>
              </w:rPr>
            </w:pPr>
            <w:r>
              <w:rPr>
                <w:rFonts w:ascii="Arial" w:cs="Arial" w:eastAsia="Arial" w:hAnsi="Arial"/>
                <w:sz w:val="22"/>
                <w:szCs w:val="22"/>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6"/>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Michael A. Nemeroff</w:t>
            </w: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89"/>
        </w:trPr>
        <w:tc>
          <w:tcPr>
            <w:tcW w:w="2860" w:type="dxa"/>
            <w:vAlign w:val="bottom"/>
            <w:gridSpan w:val="2"/>
          </w:tcPr>
          <w:p>
            <w:pPr>
              <w:ind w:left="40"/>
              <w:spacing w:after="0"/>
              <w:rPr>
                <w:sz w:val="20"/>
                <w:szCs w:val="20"/>
                <w:color w:val="auto"/>
              </w:rPr>
            </w:pPr>
            <w:r>
              <w:rPr>
                <w:rFonts w:ascii="Arial" w:cs="Arial" w:eastAsia="Arial" w:hAnsi="Arial"/>
                <w:sz w:val="22"/>
                <w:szCs w:val="22"/>
                <w:color w:val="auto"/>
              </w:rPr>
              <w:t>George C. Roeth</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6"/>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Allan H. Selig</w:t>
            </w: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89"/>
        </w:trPr>
        <w:tc>
          <w:tcPr>
            <w:tcW w:w="2860" w:type="dxa"/>
            <w:vAlign w:val="bottom"/>
            <w:gridSpan w:val="2"/>
          </w:tcPr>
          <w:p>
            <w:pPr>
              <w:ind w:left="40"/>
              <w:spacing w:after="0"/>
              <w:rPr>
                <w:sz w:val="20"/>
                <w:szCs w:val="20"/>
                <w:color w:val="auto"/>
              </w:rPr>
            </w:pPr>
            <w:r>
              <w:rPr>
                <w:rFonts w:ascii="Arial" w:cs="Arial" w:eastAsia="Arial" w:hAnsi="Arial"/>
                <w:sz w:val="22"/>
                <w:szCs w:val="22"/>
                <w:color w:val="auto"/>
              </w:rPr>
              <w:t>Paul E. Suckow</w:t>
            </w:r>
          </w:p>
        </w:tc>
        <w:tc>
          <w:tcPr>
            <w:tcW w:w="1600" w:type="dxa"/>
            <w:vAlign w:val="bottom"/>
            <w:gridSpan w:val="2"/>
          </w:tcPr>
          <w:p>
            <w:pPr>
              <w:ind w:left="700"/>
              <w:spacing w:after="0"/>
              <w:rPr>
                <w:sz w:val="20"/>
                <w:szCs w:val="20"/>
                <w:color w:val="auto"/>
              </w:rPr>
            </w:pPr>
            <w:r>
              <w:rPr>
                <w:rFonts w:ascii="Arial" w:cs="Arial" w:eastAsia="Arial" w:hAnsi="Arial"/>
                <w:sz w:val="22"/>
                <w:szCs w:val="22"/>
                <w:color w:val="auto"/>
              </w:rPr>
              <w:t>X*</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ind w:left="700"/>
              <w:spacing w:after="0"/>
              <w:rPr>
                <w:sz w:val="20"/>
                <w:szCs w:val="20"/>
                <w:color w:val="auto"/>
              </w:rPr>
            </w:pPr>
            <w:r>
              <w:rPr>
                <w:rFonts w:ascii="Arial" w:cs="Arial" w:eastAsia="Arial" w:hAnsi="Arial"/>
                <w:sz w:val="22"/>
                <w:szCs w:val="22"/>
                <w:color w:val="auto"/>
              </w:rPr>
              <w:t>X</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99"/>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Lawrence E. Washow</w:t>
            </w:r>
          </w:p>
        </w:tc>
        <w:tc>
          <w:tcPr>
            <w:tcW w:w="12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140" w:type="dxa"/>
            <w:vAlign w:val="bottom"/>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22"/>
                <w:szCs w:val="22"/>
                <w:color w:val="auto"/>
              </w:rPr>
              <w:t>X</w:t>
            </w:r>
          </w:p>
        </w:tc>
      </w:tr>
      <w:tr>
        <w:trPr>
          <w:trHeight w:val="249"/>
        </w:trPr>
        <w:tc>
          <w:tcPr>
            <w:tcW w:w="2860" w:type="dxa"/>
            <w:vAlign w:val="bottom"/>
            <w:gridSpan w:val="2"/>
          </w:tcPr>
          <w:p>
            <w:pPr>
              <w:ind w:left="40"/>
              <w:spacing w:after="0" w:line="248" w:lineRule="exact"/>
              <w:rPr>
                <w:sz w:val="20"/>
                <w:szCs w:val="20"/>
                <w:color w:val="auto"/>
              </w:rPr>
            </w:pPr>
            <w:r>
              <w:rPr>
                <w:rFonts w:ascii="Arial" w:cs="Arial" w:eastAsia="Arial" w:hAnsi="Arial"/>
                <w:sz w:val="22"/>
                <w:szCs w:val="22"/>
                <w:color w:val="auto"/>
                <w:w w:val="98"/>
              </w:rPr>
              <w:t>Number of Meetings in Fiscal</w:t>
            </w: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5"/>
        </w:trPr>
        <w:tc>
          <w:tcPr>
            <w:tcW w:w="2740" w:type="dxa"/>
            <w:vAlign w:val="bottom"/>
          </w:tcPr>
          <w:p>
            <w:pPr>
              <w:ind w:left="40"/>
              <w:spacing w:after="0"/>
              <w:rPr>
                <w:sz w:val="20"/>
                <w:szCs w:val="20"/>
                <w:color w:val="auto"/>
              </w:rPr>
            </w:pPr>
            <w:r>
              <w:rPr>
                <w:rFonts w:ascii="Arial" w:cs="Arial" w:eastAsia="Arial" w:hAnsi="Arial"/>
                <w:sz w:val="22"/>
                <w:szCs w:val="22"/>
                <w:color w:val="auto"/>
              </w:rPr>
              <w:t>2018</w:t>
            </w:r>
          </w:p>
        </w:tc>
        <w:tc>
          <w:tcPr>
            <w:tcW w:w="120" w:type="dxa"/>
            <w:vAlign w:val="bottom"/>
          </w:tcPr>
          <w:p>
            <w:pPr>
              <w:spacing w:after="0"/>
              <w:rPr>
                <w:sz w:val="23"/>
                <w:szCs w:val="23"/>
                <w:color w:val="auto"/>
              </w:rPr>
            </w:pPr>
          </w:p>
        </w:tc>
        <w:tc>
          <w:tcPr>
            <w:tcW w:w="1460" w:type="dxa"/>
            <w:vAlign w:val="bottom"/>
          </w:tcPr>
          <w:p>
            <w:pPr>
              <w:ind w:left="680"/>
              <w:spacing w:after="0"/>
              <w:rPr>
                <w:sz w:val="20"/>
                <w:szCs w:val="20"/>
                <w:color w:val="auto"/>
              </w:rPr>
            </w:pPr>
            <w:r>
              <w:rPr>
                <w:rFonts w:ascii="Arial" w:cs="Arial" w:eastAsia="Arial" w:hAnsi="Arial"/>
                <w:sz w:val="22"/>
                <w:szCs w:val="22"/>
                <w:color w:val="auto"/>
              </w:rPr>
              <w:t>4</w:t>
            </w:r>
          </w:p>
        </w:tc>
        <w:tc>
          <w:tcPr>
            <w:tcW w:w="140" w:type="dxa"/>
            <w:vAlign w:val="bottom"/>
          </w:tcPr>
          <w:p>
            <w:pPr>
              <w:spacing w:after="0"/>
              <w:rPr>
                <w:sz w:val="23"/>
                <w:szCs w:val="23"/>
                <w:color w:val="auto"/>
              </w:rPr>
            </w:pPr>
          </w:p>
        </w:tc>
        <w:tc>
          <w:tcPr>
            <w:tcW w:w="1820" w:type="dxa"/>
            <w:vAlign w:val="bottom"/>
          </w:tcPr>
          <w:p>
            <w:pPr>
              <w:ind w:left="840"/>
              <w:spacing w:after="0"/>
              <w:rPr>
                <w:sz w:val="20"/>
                <w:szCs w:val="20"/>
                <w:color w:val="auto"/>
              </w:rPr>
            </w:pPr>
            <w:r>
              <w:rPr>
                <w:rFonts w:ascii="Arial" w:cs="Arial" w:eastAsia="Arial" w:hAnsi="Arial"/>
                <w:sz w:val="22"/>
                <w:szCs w:val="22"/>
                <w:color w:val="auto"/>
              </w:rPr>
              <w:t>2</w:t>
            </w:r>
          </w:p>
        </w:tc>
        <w:tc>
          <w:tcPr>
            <w:tcW w:w="100" w:type="dxa"/>
            <w:vAlign w:val="bottom"/>
          </w:tcPr>
          <w:p>
            <w:pPr>
              <w:spacing w:after="0"/>
              <w:rPr>
                <w:sz w:val="23"/>
                <w:szCs w:val="23"/>
                <w:color w:val="auto"/>
              </w:rPr>
            </w:pPr>
          </w:p>
        </w:tc>
        <w:tc>
          <w:tcPr>
            <w:tcW w:w="1460" w:type="dxa"/>
            <w:vAlign w:val="bottom"/>
          </w:tcPr>
          <w:p>
            <w:pPr>
              <w:ind w:left="680"/>
              <w:spacing w:after="0"/>
              <w:rPr>
                <w:sz w:val="20"/>
                <w:szCs w:val="20"/>
                <w:color w:val="auto"/>
              </w:rPr>
            </w:pPr>
            <w:r>
              <w:rPr>
                <w:rFonts w:ascii="Arial" w:cs="Arial" w:eastAsia="Arial" w:hAnsi="Arial"/>
                <w:sz w:val="22"/>
                <w:szCs w:val="22"/>
                <w:color w:val="auto"/>
              </w:rPr>
              <w:t>4</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22"/>
                <w:szCs w:val="22"/>
                <w:color w:val="auto"/>
                <w:w w:val="81"/>
              </w:rPr>
              <w:t>4</w:t>
            </w:r>
          </w:p>
        </w:tc>
        <w:tc>
          <w:tcPr>
            <w:tcW w:w="100" w:type="dxa"/>
            <w:vAlign w:val="bottom"/>
          </w:tcPr>
          <w:p>
            <w:pPr>
              <w:spacing w:after="0"/>
              <w:rPr>
                <w:sz w:val="23"/>
                <w:szCs w:val="23"/>
                <w:color w:val="auto"/>
              </w:rPr>
            </w:pPr>
          </w:p>
        </w:tc>
        <w:tc>
          <w:tcPr>
            <w:tcW w:w="1580" w:type="dxa"/>
            <w:vAlign w:val="bottom"/>
          </w:tcPr>
          <w:p>
            <w:pPr>
              <w:ind w:left="680"/>
              <w:spacing w:after="0"/>
              <w:rPr>
                <w:sz w:val="20"/>
                <w:szCs w:val="20"/>
                <w:color w:val="auto"/>
              </w:rPr>
            </w:pPr>
            <w:r>
              <w:rPr>
                <w:rFonts w:ascii="Arial" w:cs="Arial" w:eastAsia="Arial" w:hAnsi="Arial"/>
                <w:sz w:val="22"/>
                <w:szCs w:val="22"/>
                <w:color w:val="auto"/>
              </w:rPr>
              <w:t>—</w:t>
            </w:r>
          </w:p>
        </w:tc>
      </w:tr>
      <w:tr>
        <w:trPr>
          <w:trHeight w:val="297"/>
        </w:trPr>
        <w:tc>
          <w:tcPr>
            <w:tcW w:w="2860" w:type="dxa"/>
            <w:vAlign w:val="bottom"/>
            <w:gridSpan w:val="2"/>
          </w:tcPr>
          <w:p>
            <w:pPr>
              <w:ind w:left="40"/>
              <w:spacing w:after="0"/>
              <w:rPr>
                <w:sz w:val="20"/>
                <w:szCs w:val="20"/>
                <w:color w:val="auto"/>
              </w:rPr>
            </w:pPr>
            <w:r>
              <w:rPr>
                <w:rFonts w:ascii="Arial" w:cs="Arial" w:eastAsia="Arial" w:hAnsi="Arial"/>
                <w:sz w:val="22"/>
                <w:szCs w:val="22"/>
                <w:color w:val="auto"/>
              </w:rPr>
              <w:t>* Chairman</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76"/>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ind w:left="11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185" w:right="239" w:bottom="1440" w:gutter="0" w:footer="0" w:header="0"/>
          <w:type w:val="continuous"/>
        </w:sectPr>
      </w:pPr>
    </w:p>
    <w:bookmarkStart w:id="19" w:name="page20"/>
    <w:bookmarkEnd w:id="19"/>
    <w:p>
      <w:pPr>
        <w:jc w:val="both"/>
        <w:spacing w:after="0" w:line="259" w:lineRule="auto"/>
        <w:rPr>
          <w:sz w:val="20"/>
          <w:szCs w:val="20"/>
          <w:color w:val="auto"/>
        </w:rPr>
      </w:pPr>
      <w:r>
        <w:rPr>
          <w:rFonts w:ascii="Arial" w:cs="Arial" w:eastAsia="Arial" w:hAnsi="Arial"/>
          <w:sz w:val="21"/>
          <w:szCs w:val="21"/>
          <w:color w:val="auto"/>
        </w:rPr>
        <w:t>During fiscal 2018, our Board of Directors held five meetings. All directors attended 100% of the aggregate total number of meetings of the Board and committees on which they served with the exception of Messrs. Nemeroff and Selig. All directors attended 100% of the aggregate number of meetings of the committees on which he or she served. Messrs. Nemeroff and Selig each attended 71% of the aggregate total number of meetings of the Board and committees on which they served. While both Messrs. Nemeroff and Selig attended all of meetings of the committees on which they serve, they were unable to attend a special Board meeting called on short notice and one additional Board meeting due to unavoidable conflicts. Since 2010, both directors have attended 100% of the Board meetings and the meetings of the committees on which they have served. Messrs. Nemeroff’s and Selig’s inability to attend 75% of the Board and committee meetings in fiscal 2018 was an aberration from their otherwise excellent attendance record.</w:t>
      </w:r>
    </w:p>
    <w:p>
      <w:pPr>
        <w:spacing w:after="0" w:line="3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Mr. Richard M. Jaffee was a director and Chairman of the Board, the Pension Committee, the Retirement Plans Committee and the Executive Committee until his death on January 27, 2018. He attended 100% of the aggregate number of meetings of our Board of Directors and the committees on which he served.</w:t>
      </w:r>
    </w:p>
    <w:p>
      <w:pPr>
        <w:spacing w:after="0" w:line="14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Ms. Chube was appointed to the Board of Directors and the Compensation Committee on June 21, 2018. She attended 100% of the meetings of our Board of Directors in fiscal 2018 while she was a director.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Audit Committee</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Audit Committee Charter sets out the duties and responsibilities of our Audit Committee. Those duties include, without limitation:</w:t>
      </w:r>
    </w:p>
    <w:p>
      <w:pPr>
        <w:spacing w:after="0" w:line="40" w:lineRule="exact"/>
        <w:rPr>
          <w:sz w:val="20"/>
          <w:szCs w:val="20"/>
          <w:color w:val="auto"/>
        </w:rPr>
      </w:pPr>
    </w:p>
    <w:p>
      <w:pPr>
        <w:ind w:left="980" w:right="20" w:hanging="324"/>
        <w:spacing w:after="0" w:line="263" w:lineRule="auto"/>
        <w:tabs>
          <w:tab w:leader="none" w:pos="9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selection and appointment of the independent auditor, review of its independence and of other services provided by it, and of the fees and other arrangements regarding its services;</w:t>
      </w:r>
    </w:p>
    <w:p>
      <w:pPr>
        <w:spacing w:after="0" w:line="12"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scope of the audit, and of significant financial reporting issues and judgments;</w:t>
      </w:r>
    </w:p>
    <w:p>
      <w:pPr>
        <w:spacing w:after="0" w:line="12"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annual audited financial statements and of the quarterly financial statements and press releases;</w:t>
      </w:r>
    </w:p>
    <w:p>
      <w:pPr>
        <w:spacing w:after="0" w:line="12" w:lineRule="exact"/>
        <w:rPr>
          <w:rFonts w:ascii="Arial" w:cs="Arial" w:eastAsia="Arial" w:hAnsi="Arial"/>
          <w:sz w:val="22"/>
          <w:szCs w:val="22"/>
          <w:color w:val="auto"/>
        </w:rPr>
      </w:pPr>
    </w:p>
    <w:p>
      <w:pPr>
        <w:ind w:left="980" w:hanging="324"/>
        <w:spacing w:after="0"/>
        <w:tabs>
          <w:tab w:leader="none" w:pos="9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quality and adequacy of internal controls; and</w:t>
      </w:r>
    </w:p>
    <w:p>
      <w:pPr>
        <w:spacing w:after="0" w:line="57" w:lineRule="exact"/>
        <w:rPr>
          <w:rFonts w:ascii="Arial" w:cs="Arial" w:eastAsia="Arial" w:hAnsi="Arial"/>
          <w:sz w:val="22"/>
          <w:szCs w:val="22"/>
          <w:color w:val="auto"/>
        </w:rPr>
      </w:pPr>
    </w:p>
    <w:p>
      <w:pPr>
        <w:ind w:left="980" w:hanging="324"/>
        <w:spacing w:after="0"/>
        <w:tabs>
          <w:tab w:leader="none" w:pos="9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preparation of the report required by SEC rules to be included in this Proxy Statement.</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 copy of our Audit Committee Charter is available on our website at www.oildri.com and will be provided without charge to any person upon request submitted to Investor Relations, Oil-Dri Corporation of America, 410 North Michigan Avenue, Suite 400, Chicago, Illinois 60611-4213.</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Board of Directors has determined that each member of our Audit Committee meets the independence and experience requirements of the NYSE. Our Board of Directors also has determined that each member of our Audit Committee is an “audit committee financial expert” within the meaning of SEC rules and that each member meets the accounting or related financial management expertise standard required by NYSE rules.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Compensation Committee</w:t>
      </w:r>
    </w:p>
    <w:p>
      <w:pPr>
        <w:spacing w:after="0" w:line="185"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9"/>
          <w:szCs w:val="19"/>
          <w:color w:val="auto"/>
        </w:rPr>
        <w:t>Our Compensation Committee is responsible for review and general oversight of our compensation programs, including all programs in which our executive officers participate. Specifically, our Compensation Committee is responsible for:</w:t>
      </w:r>
    </w:p>
    <w:p>
      <w:pPr>
        <w:spacing w:after="0" w:line="1"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determining the compensation, including benefits, of our Chief Executive Officer (“CEO”);</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55" w:right="239" w:bottom="1440" w:gutter="0" w:footer="0" w:header="0"/>
        </w:sectPr>
      </w:pPr>
    </w:p>
    <w:bookmarkStart w:id="20" w:name="page21"/>
    <w:bookmarkEnd w:id="20"/>
    <w:p>
      <w:pPr>
        <w:jc w:val="both"/>
        <w:ind w:left="980" w:hanging="324"/>
        <w:spacing w:after="0" w:line="253"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determining the reasonableness of and approving the compensation of our other executive officers as recommended by our CEO (subject to our CEO’s authority to make changes in compensation under certain circumstances during the course of a fiscal year);</w:t>
      </w:r>
    </w:p>
    <w:p>
      <w:pPr>
        <w:spacing w:after="0" w:line="77" w:lineRule="exact"/>
        <w:rPr>
          <w:rFonts w:ascii="Arial" w:cs="Arial" w:eastAsia="Arial" w:hAnsi="Arial"/>
          <w:sz w:val="22"/>
          <w:szCs w:val="22"/>
          <w:color w:val="auto"/>
        </w:rPr>
      </w:pPr>
    </w:p>
    <w:p>
      <w:pPr>
        <w:jc w:val="both"/>
        <w:ind w:left="980" w:hanging="324"/>
        <w:spacing w:after="0" w:line="250"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reviewing and approving the reasonableness of performance measures and payout ranges under our annual incentive plan as these relate to our executive officers (subject to our CEO’s authority to make changes to such performance measures and payout ranges under certain circumstances during the course of a fiscal year) and setting payout ranges for our CEO;</w:t>
      </w:r>
    </w:p>
    <w:p>
      <w:pPr>
        <w:spacing w:after="0" w:line="80" w:lineRule="exact"/>
        <w:rPr>
          <w:rFonts w:ascii="Arial" w:cs="Arial" w:eastAsia="Arial" w:hAnsi="Arial"/>
          <w:sz w:val="22"/>
          <w:szCs w:val="22"/>
          <w:color w:val="auto"/>
        </w:rPr>
      </w:pPr>
    </w:p>
    <w:p>
      <w:pPr>
        <w:jc w:val="both"/>
        <w:ind w:left="980" w:hanging="324"/>
        <w:spacing w:after="0" w:line="253"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administration of our equity incentive plans with assistance from our human resources staff, granting awards under those plans to employees, including our executive officers, and to non-employee directors, and determining whether performance goals for performance awards have been achieved; and</w:t>
      </w:r>
    </w:p>
    <w:p>
      <w:pPr>
        <w:spacing w:after="0" w:line="77" w:lineRule="exact"/>
        <w:rPr>
          <w:rFonts w:ascii="Arial" w:cs="Arial" w:eastAsia="Arial" w:hAnsi="Arial"/>
          <w:sz w:val="22"/>
          <w:szCs w:val="22"/>
          <w:color w:val="auto"/>
        </w:rPr>
      </w:pPr>
    </w:p>
    <w:p>
      <w:pPr>
        <w:ind w:left="980" w:hanging="324"/>
        <w:spacing w:after="0"/>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making recommendations to our Board of Directors or stockholders on compensation-related matters.</w:t>
      </w:r>
    </w:p>
    <w:p>
      <w:pPr>
        <w:spacing w:after="0" w:line="1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carrying out these responsibilities, our Compensation Committee acts on recommendations from and consults with our CEO. In addition, our Compensation Committee retained an executive compensation consultant, Semler Brossy Consulting Group (“Semler Brossy”), during fiscal 2018 to perform a CEO compensation review and provide recommendations regarding a grant of restricted stock to our CEO that was approved in September of 2018.</w:t>
      </w:r>
    </w:p>
    <w:p>
      <w:pPr>
        <w:spacing w:after="0" w:line="8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9"/>
          <w:szCs w:val="19"/>
          <w:color w:val="auto"/>
        </w:rPr>
        <w:t>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w:t>
      </w:r>
    </w:p>
    <w:p>
      <w:pPr>
        <w:spacing w:after="0" w:line="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allowed by the “controlled company” exemption from the NYSE Corporate Governance Standards, our Compensation Committee is not comprised entirely of independent directors; two members, Messrs. Miller and Nemeroff, have not been determined by our Board of Directors to be independent directors. As also allowed by this “controlled company” exemption, our Compensation Committee does not have a written charter.</w:t>
      </w:r>
    </w:p>
    <w:p>
      <w:pPr>
        <w:spacing w:after="0" w:line="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Three members of our Compensation Committee, Ms. Chube and Messrs. Selig and Miller, are non-employee directors within the meaning of Rule 16b-3 under the Securities Exchange Act of 1934, as amended, and are authorized to act collectively with respect to awards made under our equity incentive plans to individuals subject to Section 16 of that Act, including our executive officers and directors.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Pension Plan Committee</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Our Pension Plan Committee acts as an administrator and named fiduciary of the Oil-Dri Corporation of America Pension Plan and is responsible for the management of the plan portfolio. The committee meets quarterly to conduct a review of the performance of the portfolio and the individual portfolio managers. Two directors are currently on the committee. The committee also includes certain employees of the Company who do not receive additional compensation in connection with their service on the committee.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Retirement Plans Committee</w:t>
      </w:r>
    </w:p>
    <w:p>
      <w:pPr>
        <w:spacing w:after="0" w:line="3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Our Retirement Plans Committee acts as administrator and named fiduciary of the Company’s defined contribution retirement plan. One director is currently on the committee. The committee also includes certain employees of the Company who do not receive additional compensation in connection with their service on the committee.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80"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u w:val="single" w:color="auto"/>
          <w:color w:val="auto"/>
        </w:rPr>
        <w:t>Executive Committee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Our Executive Committee has all of the powers and authority of our Board of Directors in the management of our business and other affairs, subject only to any limitations provided for in our Certificate of Incorporation and our By-Laws (each as amended from time to time) or imposed by applicable law or the NYSE Corporate Governance Standards. Our Executive Committee does not have a written charter. Our Executive Committee did not hold any meetings during fiscal 2018 and historically has only exercised its authority to act on behalf of the Board of Directors in limited circumstances.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Nominations</w:t>
      </w:r>
    </w:p>
    <w:p>
      <w:pPr>
        <w:spacing w:after="0" w:line="20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As allowed by the “controlled company” exemption from the NYSE Corporate Governance Standards, we do not have a standing nominating committee or other committee of our Board of Directors performing a similar function. As a “controlled company,” and with six of our nine current directors having served on our Board of Directors for at least 10 years, the Board of Directors believes it is appropriate for the Company not to maintain a separate nominating committee at this time. It has been our practice, as reflected in our Corporate Governance Guidelines, that our Chairman recommends to the entire Board of Directors candidates for nomination to the Board of Directors. Directors Daniel S. Jaffee, Joseph C. Miller and Michael A. Nemeroff, who have not been determined by the Board of Directors to be independent, participate along with the independent directors in the nominating process. Our Board of Directors may also solicit ideas for possible candidates for formal recommendation by the Chairman from a number of sources, including our executives, individuals personally known to members of the Board of Directors and executive search firms.</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We also will consider recommendations from stockholders of potential candidates for service on our Board of Directors. Stockholder recommendations of candidates for possible nomination to our Board of Directors must be in writing and must be given either by personal delivery or by United States mail, postage prepaid, to our Corporate Secretary no later than 90 days prior to the anniversary of the filing date of our proxy statement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member of our Board of Directors; and any other information relating to such candidate that would be required to be disclosed in solicitations of proxies for elections of directors, or would otherwise be required, pursuant to SEC rules. 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w:t>
      </w:r>
    </w:p>
    <w:p>
      <w:pPr>
        <w:spacing w:after="0" w:line="387"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74" w:right="239" w:bottom="1440" w:gutter="0" w:footer="0" w:header="0"/>
        </w:sectPr>
      </w:pPr>
    </w:p>
    <w:bookmarkStart w:id="22" w:name="page23"/>
    <w:bookmarkEnd w:id="22"/>
    <w:p>
      <w:pPr>
        <w:jc w:val="both"/>
        <w:ind w:firstLine="648"/>
        <w:spacing w:after="0" w:line="288" w:lineRule="auto"/>
        <w:rPr>
          <w:sz w:val="20"/>
          <w:szCs w:val="20"/>
          <w:color w:val="auto"/>
        </w:rPr>
      </w:pPr>
      <w:r>
        <w:rPr>
          <w:rFonts w:ascii="Arial" w:cs="Arial" w:eastAsia="Arial" w:hAnsi="Arial"/>
          <w:sz w:val="19"/>
          <w:szCs w:val="19"/>
          <w:color w:val="auto"/>
        </w:rPr>
        <w:t>In evaluating candidates for director, our Board of Directors seeks directors who will best represent the long-term interests of our stockholders. The view of our Board of Directors is that all directors should possess the highest personal and professional ethics, integrity and values. In evaluating the suitability of the candidates, the Board of Directors takes into consideration such factors as it deems appropriate. These factors may include, among other things, issues of character, judgment, independence, age, expertise, diversity of experience, absence of conflicts of interest, length of service and other commitments. Our Board of Directors evaluates these factors, among others, and considers each individual candidate in the context of the current perceived needs of our Board of Directors as a whole and of committees of the Board of Directors. Although we do not have a formal diversity policy, our Board of Directors considers diversity in evaluating candidates for membership to the Board of Directors. As outlined in our Corporate Governance Guidelines, the Board’s objective in choosing candidates is to assemble membership for each committee of the Board of Directors and our Board of Directors as a whole that represents diverse viewpoints that will guide the Company effectively in pursuit of its strategic goals.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Board Leadership Structure and Role in Risk Oversight</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Our Board of Directors does not have a policy regarding the separation of the roles of Chairman of the Board and Chief Executive Officer. Currently the roles are combined, but have been separate in the past. Under our Corporate Governance Guidelines, we believe that this issue is primarily a part of the larger succession planning process and that it is in the best interests of the Company for the Board of Directors to make a specific determination whenever either office becomes vacant or the needs of the Company change.</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As noted above under “Executive Sessions of Non-Management Directors,” non-management directors meet in executive sessions of our Board of Directors in which Mr. Daniel S. Jaffee, a management director, and other members of management do not participate. These sessions are scheduled for non-management directors at all regular meetings of our Board of Directors. Under our Corporate Governance Guidelines, the Chairman of our Audit Committee (currently Mr. Suckow) presides at all executive sessions of non-management and independent directors unless otherwise determined by the directors attending any given executive session. Our Board of Directors receives regular reports from our CEO, Chief Financial Officer (“CFO”), Chief Operating Officer (“COO”) and Chief Development Officer (“CDO”) and other members of our senior management regarding areas of significant risk to the Company, including operational, strategic, legal, regulatory and financial risks. Certain risks that are under the purview of a committee are monitored by that committee, which then reports to the full Board of Directors as appropriate. For example, our internal audit function, which identifies and manages a wide area of risk company-wide, reports to both the Audit Committee and senior management, who in turn report significant developments to the full Board of Directors.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to both the Compensation Committee and senior management, who in turn report significant developments to the full Board of Directors.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8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5"/>
          <w:szCs w:val="25"/>
          <w:b w:val="1"/>
          <w:bCs w:val="1"/>
          <w:color w:val="auto"/>
        </w:rPr>
        <w:t>Communication with the Board of Directors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annual meeting of stockholders provides an opportunity each year for stockholders to ask questions of, or otherwise communicate directly with, members of our Board of Directors. It has been our practice, as reflected in our Corporate Governance Guidelines, that all directors attend in person each annual meeting of stockholders. All but three of the members of the then Board of Directors attended the 2017 annual meeting in person.</w:t>
      </w:r>
    </w:p>
    <w:p>
      <w:pPr>
        <w:spacing w:after="0" w:line="1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addition, any stockholder or other interested party may communicate in writing with our Board of Directors, our Audit Committee, our non-management directors, or a particular director by sending a letter addressed to: Board of Directors, Audit Committee, Non-Management Directors or a particular director (as applicable) at Oil-Dri Corporation of America, c/o Corporate Secretary, 410 North Michigan Avenue, Suite 400, Chicago, Illinois 60611-4213. Stockholders may also report concerns anonymously in this manner.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Compensation</w:t>
      </w:r>
    </w:p>
    <w:p>
      <w:pPr>
        <w:spacing w:after="0" w:line="20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We seek to provide a competitive compensation program to attract and retain quality non-employee directors. The compensation received by our non-employee directors, other than Richard M. Jaffee (whose consulting agreement is described in the following paragraph), consists of an annual cash retainer of $20,000 (other than Ms. Chube who received a retainer of $15,000 reflecting a partial year of service on the Board, as she joined the Board at the second of four regularly scheduled meetings in calendar year 2018) and a $3,000 fee for each Board or committee meeting attended in person ($1,500 for attendance by phone). In addition, Mr. Suckow received an annual cash retainer of $15,000 as Chairman of our Audit Committee and Mr. Selig received an annual cash retainer of $7,500 as Chairman of our Compensation Committee. Employee directors do not receive additional compensation for their service on our Board of Directors. Mr. Miller also receives a pension benefit under our pension plan earned during his years of service as an employee. Directors are also reimbursed for expenses incurred in connection with their services to the Company and their attendance at meetings.</w:t>
      </w:r>
    </w:p>
    <w:p>
      <w:pPr>
        <w:spacing w:after="0" w:line="1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We had a consulting agreement with Richard M. Jaffee, former chairman of our Board of Directors, that was originally entered into in October 1989 and was amended four times. The initial term of the agreement (as amended) expired on January 31, 2011; however, pursuant to the terms thereof, it automatically renewed for successive one-year periods thereafter unless either party gave the other at least 90 days’ prior written notice of termination. No termination notice had been given by either party and thus the last renewal term of the agreement expired with his passing on January 27, 2018. Under the terms of the agreement, Mr. Jaffee performed all assignments given to him from time to time by our Board of Directors or our CEO. He received an annual consulting fee of $240,000; he did not receive a retainer or any meeting fees as director. We also provided him with an office and administrative support. Mr. Jaffee previously obtained lifetime medical coverage at no cost to him, secondary to the coverage provided by Medicare, under the terms of our Health Care Plan. In addition to that pre-existing benefit, the agreement provided assurances that in the event that our Health Care Plan could no longer cover him for costs above Medicare, we would either purchase coverage (at a cost to us of no more than $10,000 per year) or pay these additional medical expenses directly as if they would otherwise be covered by the Health Care Plan. We also paid Mr. Jaffee an annuity of $45,725 annually that he earned during an earlier five years (2001 to 2006) of his consulting agreement. All directors are eligible to defer cash compensation that they receive from the Company into our executive deferred compensation plan. Mr. Jaffee chose to defer the full amount of his consulting fees and his annuity into our executive deferred compensation plan in fiscal 2018. Mr. Jaffee also received a pension benefit under our pension plan earned during his years of service as an employee.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16" w:right="239" w:bottom="1440" w:gutter="0" w:footer="0" w:header="0"/>
        </w:sectPr>
      </w:pPr>
    </w:p>
    <w:bookmarkStart w:id="24" w:name="page25"/>
    <w:bookmarkEnd w:id="24"/>
    <w:p>
      <w:pPr>
        <w:jc w:val="center"/>
        <w:ind w:right="180"/>
        <w:spacing w:after="0"/>
        <w:rPr>
          <w:sz w:val="20"/>
          <w:szCs w:val="20"/>
          <w:color w:val="auto"/>
        </w:rPr>
      </w:pPr>
      <w:r>
        <w:rPr>
          <w:rFonts w:ascii="Arial" w:cs="Arial" w:eastAsia="Arial" w:hAnsi="Arial"/>
          <w:sz w:val="22"/>
          <w:szCs w:val="22"/>
          <w:color w:val="auto"/>
        </w:rPr>
        <w:t>The following table sets forth information about compensation paid to our directors for their service in fiscal 2018.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Compensation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Change in Pension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Value and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Nonqualified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Deferred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Option</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Non-Equity</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Compensation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Fees Earned or</w:t>
            </w: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Stock Awards</w:t>
            </w: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Awards</w:t>
            </w: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Incentive</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Earnings</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All Other</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Paid in Cash</w:t>
            </w:r>
          </w:p>
        </w:tc>
        <w:tc>
          <w:tcPr>
            <w:tcW w:w="30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ind w:right="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Compensation</w:t>
            </w:r>
          </w:p>
        </w:tc>
        <w:tc>
          <w:tcPr>
            <w:tcW w:w="160" w:type="dxa"/>
            <w:vAlign w:val="bottom"/>
          </w:tcPr>
          <w:p>
            <w:pPr>
              <w:spacing w:after="0"/>
              <w:rPr>
                <w:sz w:val="17"/>
                <w:szCs w:val="17"/>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Compensation</w:t>
            </w:r>
          </w:p>
        </w:tc>
        <w:tc>
          <w:tcPr>
            <w:tcW w:w="260" w:type="dxa"/>
            <w:vAlign w:val="bottom"/>
          </w:tcPr>
          <w:p>
            <w:pPr>
              <w:spacing w:after="0"/>
              <w:rPr>
                <w:sz w:val="17"/>
                <w:szCs w:val="17"/>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210"/>
        </w:trPr>
        <w:tc>
          <w:tcPr>
            <w:tcW w:w="242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104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53"/>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72"/>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 Jaffee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173,702</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Daniel S. Jaffee (5)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Ellen-Blair Chube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18,000</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J. Steven Cole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45,500</w:t>
            </w:r>
          </w:p>
        </w:tc>
        <w:tc>
          <w:tcPr>
            <w:tcW w:w="120" w:type="dxa"/>
            <w:vAlign w:val="bottom"/>
          </w:tcPr>
          <w:p>
            <w:pPr>
              <w:spacing w:after="0"/>
              <w:rPr>
                <w:sz w:val="21"/>
                <w:szCs w:val="21"/>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45,500</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Joseph C. Miller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38,000</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Michael A. Nemeroff</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30,500</w:t>
            </w:r>
          </w:p>
        </w:tc>
        <w:tc>
          <w:tcPr>
            <w:tcW w:w="120" w:type="dxa"/>
            <w:vAlign w:val="bottom"/>
          </w:tcPr>
          <w:p>
            <w:pPr>
              <w:spacing w:after="0"/>
              <w:rPr>
                <w:sz w:val="21"/>
                <w:szCs w:val="21"/>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30,500</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George C. Roeth (6)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42,205</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Allan H. Selig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21"/>
                <w:szCs w:val="21"/>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38,000</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E. Suckow</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68,000</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Lawrence E. Washow</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42,500</w:t>
            </w:r>
          </w:p>
        </w:tc>
        <w:tc>
          <w:tcPr>
            <w:tcW w:w="120" w:type="dxa"/>
            <w:vAlign w:val="bottom"/>
          </w:tcPr>
          <w:p>
            <w:pPr>
              <w:spacing w:after="0"/>
              <w:rPr>
                <w:sz w:val="21"/>
                <w:szCs w:val="21"/>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42,500</w:t>
            </w:r>
          </w:p>
        </w:tc>
      </w:tr>
    </w:tbl>
    <w:p>
      <w:pPr>
        <w:spacing w:after="0" w:line="9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were no stock awards to directors in fiscal 2018.</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were no option awards to directors in fiscal 2018, and our directors did not hold any options to purchase shares of our Common Stock as of July 31, 2018.</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shown consists of interest earned in excess of 120% of the applicable federal rate on the aggregate balances in our executive deferred compensation plan. Deferrals under this plan earn a return equal to our long-term cost of borrowing plus 1%.</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compensation paid to Mr. Jaffee prior to his passing in January 2018.</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Directors who are also employees do not receive additional compensation for their service on our Board of Directors. See the Summary Compensation Table that is a part of the Executive Compensation section of this Proxy Statement for information regarding Mr. Jaffee’s compensation as our President and Chief Executive Officer.</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payment in fiscal 2018 of a prorated retainer for Mr. Roeth’s partial year service in 2016.</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Directors’ Option Awards Outstanding Table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July 31, 2018, our directors did not hold any options to purchase shares of our Common Stock.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Other Board Practices</w:t>
      </w:r>
    </w:p>
    <w:p>
      <w:pPr>
        <w:spacing w:after="0" w:line="2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Our Corporate Governance Guidelines fix the director retirement age at 85 at the date of election. In connection with a director reaching such retirement age, the Board of Directors may, from time to time in its discretion, by majority vote, designate such director as a Director Emeritus or, in the case of a former Chairman of the Board, a Chairman Emeritus, in accordance with the terms of the Company’s By-Laws. The Board may make an exception to this requirement if it affirmatively determines that a director’s skills, experience or other relevant factors merit extended service as a director.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8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5"/>
          <w:szCs w:val="25"/>
          <w:b w:val="1"/>
          <w:bCs w:val="1"/>
          <w:color w:val="auto"/>
        </w:rPr>
        <w:t>Corporate Governance Guidelines and Code of Ethics</w:t>
      </w:r>
    </w:p>
    <w:p>
      <w:pPr>
        <w:spacing w:after="0" w:line="20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We have adopted Corporate Governance Guidelines and a Code of Ethics and Business Conduct. The Code of Ethics and Business Conduct applies to all of our employees, officers and directors. The Corporate Governance Guidelines and the Code of Ethics and Business Conduct are both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the “controlled company” exemption from the NYSE Corporate Governance Standards, we do not have a corporate governance committee.</w:t>
      </w:r>
    </w:p>
    <w:p>
      <w:pPr>
        <w:spacing w:after="0" w:line="1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take pride in being a company that emphasizes high moral and ethical values and conducts business with honesty, integrity and a passion for excellence. Our approach is centered on collaboration, communication, and transparency, and we believe in the value of an open and accessible corporate structure. We have a long history of operating under sound corporate governance practices, including the following:</w:t>
      </w:r>
    </w:p>
    <w:p>
      <w:pPr>
        <w:sectPr>
          <w:pgSz w:w="11900" w:h="16838" w:orient="portrait"/>
          <w:cols w:equalWidth="0" w:num="1">
            <w:col w:w="11420"/>
          </w:cols>
          <w:pgMar w:left="240" w:top="1116" w:right="239" w:bottom="1440" w:gutter="0" w:footer="0" w:header="0"/>
        </w:sectPr>
      </w:pPr>
    </w:p>
    <w:p>
      <w:pPr>
        <w:spacing w:after="0" w:line="121" w:lineRule="exact"/>
        <w:rPr>
          <w:sz w:val="20"/>
          <w:szCs w:val="20"/>
          <w:color w:val="auto"/>
        </w:rPr>
      </w:pPr>
    </w:p>
    <w:p>
      <w:pPr>
        <w:ind w:left="560" w:hanging="464"/>
        <w:spacing w:after="0"/>
        <w:tabs>
          <w:tab w:leader="none" w:pos="560"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Annual Election of All Directors.</w:t>
      </w:r>
    </w:p>
    <w:p>
      <w:pPr>
        <w:spacing w:after="0" w:line="287" w:lineRule="exact"/>
        <w:rPr>
          <w:rFonts w:ascii="Arial" w:cs="Arial" w:eastAsia="Arial" w:hAnsi="Arial"/>
          <w:sz w:val="22"/>
          <w:szCs w:val="22"/>
          <w:color w:val="auto"/>
        </w:rPr>
      </w:pPr>
    </w:p>
    <w:p>
      <w:pPr>
        <w:ind w:left="560" w:hanging="464"/>
        <w:spacing w:after="0" w:line="251" w:lineRule="auto"/>
        <w:tabs>
          <w:tab w:leader="none" w:pos="560"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Non-Management Directors Meet Regularly in Executive Session Without Management.</w:t>
      </w:r>
    </w:p>
    <w:p>
      <w:pPr>
        <w:spacing w:after="0" w:line="281" w:lineRule="exact"/>
        <w:rPr>
          <w:rFonts w:ascii="Arial" w:cs="Arial" w:eastAsia="Arial" w:hAnsi="Arial"/>
          <w:sz w:val="22"/>
          <w:szCs w:val="22"/>
          <w:color w:val="auto"/>
        </w:rPr>
      </w:pPr>
    </w:p>
    <w:p>
      <w:pPr>
        <w:ind w:left="560" w:right="200" w:hanging="464"/>
        <w:spacing w:after="0"/>
        <w:tabs>
          <w:tab w:leader="none" w:pos="560"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 xml:space="preserve">Board Meeting Attendance. </w:t>
      </w:r>
      <w:r>
        <w:rPr>
          <w:rFonts w:ascii="Arial" w:cs="Arial" w:eastAsia="Arial" w:hAnsi="Arial"/>
          <w:sz w:val="22"/>
          <w:szCs w:val="22"/>
          <w:color w:val="auto"/>
        </w:rPr>
        <w:t>Most of our directors</w:t>
      </w:r>
      <w:r>
        <w:rPr>
          <w:rFonts w:ascii="Arial" w:cs="Arial" w:eastAsia="Arial" w:hAnsi="Arial"/>
          <w:sz w:val="22"/>
          <w:szCs w:val="22"/>
          <w:i w:val="1"/>
          <w:iCs w:val="1"/>
          <w:color w:val="auto"/>
        </w:rPr>
        <w:t xml:space="preserve"> </w:t>
      </w:r>
      <w:r>
        <w:rPr>
          <w:rFonts w:ascii="Arial" w:cs="Arial" w:eastAsia="Arial" w:hAnsi="Arial"/>
          <w:sz w:val="22"/>
          <w:szCs w:val="22"/>
          <w:color w:val="auto"/>
        </w:rPr>
        <w:t>attended 100% of the meetings of the Board during the fiscal year.</w:t>
      </w:r>
    </w:p>
    <w:p>
      <w:pPr>
        <w:spacing w:after="0" w:line="267" w:lineRule="exact"/>
        <w:rPr>
          <w:rFonts w:ascii="Arial" w:cs="Arial" w:eastAsia="Arial" w:hAnsi="Arial"/>
          <w:sz w:val="22"/>
          <w:szCs w:val="22"/>
          <w:color w:val="auto"/>
        </w:rPr>
      </w:pPr>
    </w:p>
    <w:p>
      <w:pPr>
        <w:ind w:left="560" w:right="180" w:hanging="464"/>
        <w:spacing w:after="0" w:line="251" w:lineRule="auto"/>
        <w:tabs>
          <w:tab w:leader="none" w:pos="560"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 xml:space="preserve">Board Meeting Agenda. </w:t>
      </w:r>
      <w:r>
        <w:rPr>
          <w:rFonts w:ascii="Arial" w:cs="Arial" w:eastAsia="Arial" w:hAnsi="Arial"/>
          <w:sz w:val="22"/>
          <w:szCs w:val="22"/>
          <w:color w:val="auto"/>
        </w:rPr>
        <w:t>All directors may contribute to</w:t>
      </w:r>
      <w:r>
        <w:rPr>
          <w:rFonts w:ascii="Arial" w:cs="Arial" w:eastAsia="Arial" w:hAnsi="Arial"/>
          <w:sz w:val="22"/>
          <w:szCs w:val="22"/>
          <w:i w:val="1"/>
          <w:iCs w:val="1"/>
          <w:color w:val="auto"/>
        </w:rPr>
        <w:t xml:space="preserve"> </w:t>
      </w:r>
      <w:r>
        <w:rPr>
          <w:rFonts w:ascii="Arial" w:cs="Arial" w:eastAsia="Arial" w:hAnsi="Arial"/>
          <w:sz w:val="22"/>
          <w:szCs w:val="22"/>
          <w:color w:val="auto"/>
        </w:rPr>
        <w:t>the agenda for Board meetings.</w:t>
      </w:r>
    </w:p>
    <w:p>
      <w:pPr>
        <w:spacing w:after="0" w:line="254" w:lineRule="exact"/>
        <w:rPr>
          <w:rFonts w:ascii="Arial" w:cs="Arial" w:eastAsia="Arial" w:hAnsi="Arial"/>
          <w:sz w:val="22"/>
          <w:szCs w:val="22"/>
          <w:color w:val="auto"/>
        </w:rPr>
      </w:pPr>
    </w:p>
    <w:p>
      <w:pPr>
        <w:ind w:left="560" w:right="400" w:hanging="464"/>
        <w:spacing w:after="0" w:line="251" w:lineRule="auto"/>
        <w:tabs>
          <w:tab w:leader="none" w:pos="560"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 xml:space="preserve">Special Meetings. </w:t>
      </w:r>
      <w:r>
        <w:rPr>
          <w:rFonts w:ascii="Arial" w:cs="Arial" w:eastAsia="Arial" w:hAnsi="Arial"/>
          <w:sz w:val="22"/>
          <w:szCs w:val="22"/>
          <w:color w:val="auto"/>
        </w:rPr>
        <w:t>Shareholders have the right to call</w:t>
      </w:r>
      <w:r>
        <w:rPr>
          <w:rFonts w:ascii="Arial" w:cs="Arial" w:eastAsia="Arial" w:hAnsi="Arial"/>
          <w:sz w:val="22"/>
          <w:szCs w:val="22"/>
          <w:i w:val="1"/>
          <w:iCs w:val="1"/>
          <w:color w:val="auto"/>
        </w:rPr>
        <w:t xml:space="preserve"> </w:t>
      </w:r>
      <w:r>
        <w:rPr>
          <w:rFonts w:ascii="Arial" w:cs="Arial" w:eastAsia="Arial" w:hAnsi="Arial"/>
          <w:sz w:val="22"/>
          <w:szCs w:val="22"/>
          <w:color w:val="auto"/>
        </w:rPr>
        <w:t>special meetings.</w:t>
      </w:r>
    </w:p>
    <w:p>
      <w:pPr>
        <w:spacing w:after="0" w:line="254" w:lineRule="exact"/>
        <w:rPr>
          <w:rFonts w:ascii="Arial" w:cs="Arial" w:eastAsia="Arial" w:hAnsi="Arial"/>
          <w:sz w:val="22"/>
          <w:szCs w:val="22"/>
          <w:color w:val="auto"/>
        </w:rPr>
      </w:pPr>
    </w:p>
    <w:p>
      <w:pPr>
        <w:ind w:left="560" w:right="120" w:hanging="464"/>
        <w:spacing w:after="0" w:line="287" w:lineRule="auto"/>
        <w:tabs>
          <w:tab w:leader="none" w:pos="560"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 xml:space="preserve">Strong Codes of Ethics. </w:t>
      </w:r>
      <w:r>
        <w:rPr>
          <w:rFonts w:ascii="Arial" w:cs="Arial" w:eastAsia="Arial" w:hAnsi="Arial"/>
          <w:sz w:val="19"/>
          <w:szCs w:val="19"/>
          <w:color w:val="auto"/>
        </w:rPr>
        <w:t>We are committed to operating</w:t>
      </w:r>
      <w:r>
        <w:rPr>
          <w:rFonts w:ascii="Arial" w:cs="Arial" w:eastAsia="Arial" w:hAnsi="Arial"/>
          <w:sz w:val="19"/>
          <w:szCs w:val="19"/>
          <w:i w:val="1"/>
          <w:iCs w:val="1"/>
          <w:color w:val="auto"/>
        </w:rPr>
        <w:t xml:space="preserve"> </w:t>
      </w:r>
      <w:r>
        <w:rPr>
          <w:rFonts w:ascii="Arial" w:cs="Arial" w:eastAsia="Arial" w:hAnsi="Arial"/>
          <w:sz w:val="19"/>
          <w:szCs w:val="19"/>
          <w:color w:val="auto"/>
        </w:rPr>
        <w:t>our business with the highest level of integrity and have adopted a Code of Ethics and Business Conduct that applies to all of our employees, officers and directors.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329" w:hanging="329"/>
        <w:spacing w:after="0"/>
        <w:tabs>
          <w:tab w:leader="none" w:pos="329"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Confidential Voting.</w:t>
      </w:r>
    </w:p>
    <w:p>
      <w:pPr>
        <w:spacing w:after="0" w:line="287" w:lineRule="exact"/>
        <w:rPr>
          <w:rFonts w:ascii="Arial" w:cs="Arial" w:eastAsia="Arial" w:hAnsi="Arial"/>
          <w:sz w:val="22"/>
          <w:szCs w:val="22"/>
          <w:color w:val="auto"/>
        </w:rPr>
      </w:pPr>
    </w:p>
    <w:p>
      <w:pPr>
        <w:ind w:left="329" w:hanging="329"/>
        <w:spacing w:after="0"/>
        <w:tabs>
          <w:tab w:leader="none" w:pos="329"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A Majority of Board is Independent.</w:t>
      </w:r>
    </w:p>
    <w:p>
      <w:pPr>
        <w:spacing w:after="0" w:line="287" w:lineRule="exact"/>
        <w:rPr>
          <w:rFonts w:ascii="Arial" w:cs="Arial" w:eastAsia="Arial" w:hAnsi="Arial"/>
          <w:sz w:val="22"/>
          <w:szCs w:val="22"/>
          <w:color w:val="auto"/>
        </w:rPr>
      </w:pPr>
    </w:p>
    <w:p>
      <w:pPr>
        <w:ind w:left="329" w:right="300" w:hanging="329"/>
        <w:spacing w:after="0" w:line="258" w:lineRule="auto"/>
        <w:tabs>
          <w:tab w:leader="none" w:pos="329" w:val="left"/>
        </w:tabs>
        <w:numPr>
          <w:ilvl w:val="0"/>
          <w:numId w:val="36"/>
        </w:numPr>
        <w:rPr>
          <w:rFonts w:ascii="Arial" w:cs="Arial" w:eastAsia="Arial" w:hAnsi="Arial"/>
          <w:sz w:val="21"/>
          <w:szCs w:val="21"/>
          <w:color w:val="auto"/>
        </w:rPr>
      </w:pPr>
      <w:r>
        <w:rPr>
          <w:rFonts w:ascii="Arial" w:cs="Arial" w:eastAsia="Arial" w:hAnsi="Arial"/>
          <w:sz w:val="21"/>
          <w:szCs w:val="21"/>
          <w:i w:val="1"/>
          <w:iCs w:val="1"/>
          <w:color w:val="auto"/>
        </w:rPr>
        <w:t xml:space="preserve">Regular Board and Audit Committee Self-Evaluation Process. </w:t>
      </w:r>
      <w:r>
        <w:rPr>
          <w:rFonts w:ascii="Arial" w:cs="Arial" w:eastAsia="Arial" w:hAnsi="Arial"/>
          <w:sz w:val="21"/>
          <w:szCs w:val="21"/>
          <w:color w:val="auto"/>
        </w:rPr>
        <w:t>The Board and the Audit Committee evaluates</w:t>
      </w:r>
      <w:r>
        <w:rPr>
          <w:rFonts w:ascii="Arial" w:cs="Arial" w:eastAsia="Arial" w:hAnsi="Arial"/>
          <w:sz w:val="21"/>
          <w:szCs w:val="21"/>
          <w:i w:val="1"/>
          <w:iCs w:val="1"/>
          <w:color w:val="auto"/>
        </w:rPr>
        <w:t xml:space="preserve"> </w:t>
      </w:r>
      <w:r>
        <w:rPr>
          <w:rFonts w:ascii="Arial" w:cs="Arial" w:eastAsia="Arial" w:hAnsi="Arial"/>
          <w:sz w:val="21"/>
          <w:szCs w:val="21"/>
          <w:color w:val="auto"/>
        </w:rPr>
        <w:t>their performance each year.</w:t>
      </w:r>
    </w:p>
    <w:p>
      <w:pPr>
        <w:spacing w:after="0" w:line="200" w:lineRule="exact"/>
        <w:rPr>
          <w:rFonts w:ascii="Arial" w:cs="Arial" w:eastAsia="Arial" w:hAnsi="Arial"/>
          <w:sz w:val="21"/>
          <w:szCs w:val="21"/>
          <w:color w:val="auto"/>
        </w:rPr>
      </w:pPr>
    </w:p>
    <w:p>
      <w:pPr>
        <w:spacing w:after="0" w:line="317" w:lineRule="exact"/>
        <w:rPr>
          <w:rFonts w:ascii="Arial" w:cs="Arial" w:eastAsia="Arial" w:hAnsi="Arial"/>
          <w:sz w:val="21"/>
          <w:szCs w:val="21"/>
          <w:color w:val="auto"/>
        </w:rPr>
      </w:pPr>
    </w:p>
    <w:p>
      <w:pPr>
        <w:ind w:left="329" w:right="100" w:hanging="329"/>
        <w:spacing w:after="0"/>
        <w:tabs>
          <w:tab w:leader="none" w:pos="329"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 xml:space="preserve">Qualifications of Audit Committee. </w:t>
      </w:r>
      <w:r>
        <w:rPr>
          <w:rFonts w:ascii="Arial" w:cs="Arial" w:eastAsia="Arial" w:hAnsi="Arial"/>
          <w:sz w:val="22"/>
          <w:szCs w:val="22"/>
          <w:color w:val="auto"/>
        </w:rPr>
        <w:t>All of the Audit</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members are “financial experts,” as SEC rules define that term.</w:t>
      </w:r>
    </w:p>
    <w:p>
      <w:pPr>
        <w:spacing w:after="0" w:line="389" w:lineRule="exact"/>
        <w:rPr>
          <w:rFonts w:ascii="Arial" w:cs="Arial" w:eastAsia="Arial" w:hAnsi="Arial"/>
          <w:sz w:val="22"/>
          <w:szCs w:val="22"/>
          <w:color w:val="auto"/>
        </w:rPr>
      </w:pPr>
    </w:p>
    <w:p>
      <w:pPr>
        <w:ind w:left="329" w:hanging="329"/>
        <w:spacing w:after="0"/>
        <w:tabs>
          <w:tab w:leader="none" w:pos="329"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Shareholders May Take Action by Written Consent.</w:t>
      </w:r>
    </w:p>
    <w:p>
      <w:pPr>
        <w:spacing w:after="0" w:line="1410" w:lineRule="exact"/>
        <w:rPr>
          <w:sz w:val="20"/>
          <w:szCs w:val="20"/>
          <w:color w:val="auto"/>
        </w:rPr>
      </w:pPr>
    </w:p>
    <w:p>
      <w:pPr>
        <w:sectPr>
          <w:pgSz w:w="11900" w:h="16838" w:orient="portrait"/>
          <w:cols w:equalWidth="0" w:num="2">
            <w:col w:w="5500" w:space="471"/>
            <w:col w:w="5449"/>
          </w:cols>
          <w:pgMar w:left="240" w:top="1116" w:right="239" w:bottom="1440" w:gutter="0" w:footer="0" w:header="0"/>
          <w:type w:val="continuous"/>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Certain Relationships and Related Party Transactions</w:t>
      </w:r>
    </w:p>
    <w:p>
      <w:pPr>
        <w:spacing w:after="0" w:line="20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Our policy concerning related party transactions is included in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or her family receives personal benefits as a result of his or her position with the Company; transactions between the Company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our business. 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 Each transaction is then evaluated at an appropriate management level to determine if it</w:t>
      </w:r>
    </w:p>
    <w:p>
      <w:pPr>
        <w:sectPr>
          <w:pgSz w:w="11900" w:h="16838" w:orient="portrait"/>
          <w:cols w:equalWidth="0" w:num="1">
            <w:col w:w="11420"/>
          </w:cols>
          <w:pgMar w:left="240" w:top="1116" w:right="239" w:bottom="1440" w:gutter="0" w:footer="0" w:header="0"/>
          <w:type w:val="continuous"/>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116" w:right="239" w:bottom="1440" w:gutter="0" w:footer="0" w:header="0"/>
          <w:type w:val="continuous"/>
        </w:sectPr>
      </w:pPr>
    </w:p>
    <w:bookmarkStart w:id="26" w:name="page27"/>
    <w:bookmarkEnd w:id="26"/>
    <w:p>
      <w:pPr>
        <w:jc w:val="both"/>
        <w:spacing w:after="0" w:line="248" w:lineRule="auto"/>
        <w:rPr>
          <w:sz w:val="20"/>
          <w:szCs w:val="20"/>
          <w:color w:val="auto"/>
        </w:rPr>
      </w:pPr>
      <w:r>
        <w:rPr>
          <w:rFonts w:ascii="Arial" w:cs="Arial" w:eastAsia="Arial" w:hAnsi="Arial"/>
          <w:sz w:val="22"/>
          <w:szCs w:val="22"/>
          <w:color w:val="auto"/>
        </w:rPr>
        <w:t>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a company “controlled” by the family of its founder, from time to time we employ family members of current and former employees or directors, but only if they are at least as qualified as other applicants. All offers of employment made to family members of current employees must be approved by our CEO.</w:t>
      </w:r>
    </w:p>
    <w:p>
      <w:pPr>
        <w:spacing w:after="0" w:line="14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We employ Karen Jaffee Cofsky on a part-time basis as Vice President of Compensation and Benefits. She is the daughter of Richard M. Jaffee, former chairman of our Board of Directors, and the sister of Daniel S. Jaffee, our current Chairman of our Board of Directors and President and CEO of the Company. Mrs. Cofsky’s compensation is based on her education, experience and the responsibilities of her position. For fiscal 2018, Mrs. Cofsky received a salary of $97,367, restricted stock earnings of $42,760, an annual incentive bonus award of $27,160 and an executive deferred bonus award of $10,710 under our annual incentive plan.</w:t>
      </w:r>
    </w:p>
    <w:p>
      <w:pPr>
        <w:spacing w:after="0" w:line="2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Michael A. Nemeroff, a member of our Board of Directors and of its Compensation Committee, is the President and Chief Executive Officer as well as a director and shareholder of Vedder Price P.C., a law firm that regularly provides services to the Company. During fiscal 2018, we paid Vedder Price P.C. $229,078 for fees and cost reimbursements in connection with services provided to the Company.</w:t>
      </w:r>
    </w:p>
    <w:p>
      <w:pPr>
        <w:spacing w:after="0" w:line="1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George C. Roeth, a member of our Board of Directors, is the President and Chief Executive Officer of Central Garden &amp; Pet Company, which is a customer of the Company. Central Garden was a customer of the Company before Mr. Roeth joined Central Garden and before Mr. Roeth became a member of our Board of Directors. Total net sales to Central Garden and its subsidiaries were $388,379 in fiscal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80"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5"/>
          <w:szCs w:val="25"/>
          <w:b w:val="1"/>
          <w:bCs w:val="1"/>
          <w:color w:val="auto"/>
        </w:rPr>
        <w:t>Report of the Audit Committee of the Board of Directors</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Audit Committee is a standing committee of the Board of Directors comprised solely of independent directors in compliance with the NYSE Corporate Governance Standards. In accordance with its written charter (which is available on our website at www.oildri.com), the Audit Committee assists the Board of Directors in fulfilling its responsibility for monitoring the integrity of our accounting, auditing, financial reporting and internal control practices, and our compliance with legal and regulatory requirements.</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Our management is primarily responsible for our financial statements and reporting process, including compliance with accounting and financial reporting principles, internal control over financial reporting and disclosure controls and procedures. Grant Thornton, our independent registered public accounting firm, is responsible for auditing our consolidated financial statements in accordance with the auditing standards of the Public Company Accounting Oversight Board (United States) (the “PCAOB”) and for issuing a report on those statements. Grant Thornton is also responsible for expressing an opinion on the effectiveness of our internal control over financial reporting. The Audit Committee oversees the financial reporting process on behalf of the Board of Directors. The Audit Committee relies on the expertise and knowledge of our management, internal auditors and independent auditor in carrying out its oversight responsibilities.</w:t>
      </w:r>
    </w:p>
    <w:p>
      <w:pPr>
        <w:spacing w:after="0" w:line="14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Audit Committee reviewed and discussed our audited consolidated financial statements and related footnotes for fiscal 2018 and our independent auditor’s report on those financial statements with our management and internal audit manager.</w:t>
      </w:r>
    </w:p>
    <w:p>
      <w:pPr>
        <w:spacing w:after="0" w:line="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Auditing Standard No. 16 adopted by the PCAOB regarding “</w:t>
      </w:r>
      <w:r>
        <w:rPr>
          <w:rFonts w:ascii="Arial" w:cs="Arial" w:eastAsia="Arial" w:hAnsi="Arial"/>
          <w:sz w:val="22"/>
          <w:szCs w:val="22"/>
          <w:i w:val="1"/>
          <w:iCs w:val="1"/>
          <w:color w:val="auto"/>
        </w:rPr>
        <w:t>Communications with Audit Committees</w:t>
      </w:r>
      <w:r>
        <w:rPr>
          <w:rFonts w:ascii="Arial" w:cs="Arial" w:eastAsia="Arial" w:hAnsi="Arial"/>
          <w:sz w:val="22"/>
          <w:szCs w:val="22"/>
          <w:color w:val="auto"/>
        </w:rPr>
        <w:t>” requires certain matters to be discussed between the Audit Committee and the Company’s independent registered public accounting firm. The Audit Committee and Grant Thornton has satisfied this requirement.</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Audit Committee has received the written disclosures and the letter from Grant Thornton required by the applicable requirements of the PCAOB regarding the independent auditor’s communications with the Audit Committee concerning independence and has discussed with Grant Thornton its independence.</w:t>
      </w:r>
    </w:p>
    <w:p>
      <w:pPr>
        <w:spacing w:after="0" w:line="14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Based on the foregoing, the Audit Committee recommended to the Board of Directors that our audited consolidated financial statements for fiscal 2018 be included in our Annual Report on Form 10-K for fiscal 2018 filed with the SEC.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AUDIT COMMITTEE</w:t>
      </w:r>
    </w:p>
    <w:p>
      <w:pPr>
        <w:spacing w:after="0" w:line="200" w:lineRule="exact"/>
        <w:rPr>
          <w:sz w:val="20"/>
          <w:szCs w:val="20"/>
          <w:color w:val="auto"/>
        </w:rPr>
      </w:pPr>
    </w:p>
    <w:p>
      <w:pPr>
        <w:spacing w:after="0" w:line="3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Paul E. Suckow, Chairman</w:t>
      </w:r>
    </w:p>
    <w:p>
      <w:pPr>
        <w:spacing w:after="0" w:line="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J. Steven Cole</w:t>
      </w:r>
    </w:p>
    <w:p>
      <w:pPr>
        <w:spacing w:after="0" w:line="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Lawrence E. Washow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65"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5"/>
          <w:szCs w:val="25"/>
          <w:b w:val="1"/>
          <w:bCs w:val="1"/>
          <w:color w:val="auto"/>
        </w:rPr>
        <w:t>EXECUTIVE OFFICERS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gives certain information with respect to our current executive officers.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8100" w:type="dxa"/>
            <w:vAlign w:val="bottom"/>
            <w:tcBorders>
              <w:bottom w:val="single" w:sz="8" w:color="auto"/>
            </w:tcBorders>
          </w:tcPr>
          <w:p>
            <w:pPr>
              <w:ind w:left="360"/>
              <w:spacing w:after="0"/>
              <w:rPr>
                <w:sz w:val="20"/>
                <w:szCs w:val="20"/>
                <w:color w:val="auto"/>
              </w:rPr>
            </w:pPr>
            <w:r>
              <w:rPr>
                <w:rFonts w:ascii="Arial" w:cs="Arial" w:eastAsia="Arial" w:hAnsi="Arial"/>
                <w:sz w:val="22"/>
                <w:szCs w:val="22"/>
                <w:b w:val="1"/>
                <w:bCs w:val="1"/>
                <w:color w:val="auto"/>
              </w:rPr>
              <w:t>Principal Occupation for Last Five Years</w:t>
            </w: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6"/>
              </w:rPr>
              <w:t>Age</w:t>
            </w:r>
          </w:p>
        </w:tc>
      </w:tr>
      <w:tr>
        <w:trPr>
          <w:trHeight w:val="297"/>
        </w:trPr>
        <w:tc>
          <w:tcPr>
            <w:tcW w:w="2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Daniel S. Jaffee (1)</w:t>
            </w:r>
          </w:p>
        </w:tc>
        <w:tc>
          <w:tcPr>
            <w:tcW w:w="8100" w:type="dxa"/>
            <w:vAlign w:val="bottom"/>
            <w:shd w:val="clear" w:color="auto" w:fill="CCEEFF"/>
          </w:tcPr>
          <w:p>
            <w:pPr>
              <w:ind w:left="360"/>
              <w:spacing w:after="0"/>
              <w:rPr>
                <w:sz w:val="20"/>
                <w:szCs w:val="20"/>
                <w:color w:val="auto"/>
              </w:rPr>
            </w:pPr>
            <w:r>
              <w:rPr>
                <w:rFonts w:ascii="Arial" w:cs="Arial" w:eastAsia="Arial" w:hAnsi="Arial"/>
                <w:sz w:val="22"/>
                <w:szCs w:val="22"/>
                <w:color w:val="auto"/>
              </w:rPr>
              <w:t>President and Chief Executive Officer of the Company since 1997.</w:t>
            </w:r>
          </w:p>
        </w:tc>
        <w:tc>
          <w:tcPr>
            <w:tcW w:w="900" w:type="dxa"/>
            <w:vAlign w:val="bottom"/>
            <w:shd w:val="clear" w:color="auto" w:fill="CCEEFF"/>
          </w:tcPr>
          <w:p>
            <w:pPr>
              <w:jc w:val="center"/>
              <w:ind w:right="12"/>
              <w:spacing w:after="0"/>
              <w:rPr>
                <w:sz w:val="20"/>
                <w:szCs w:val="20"/>
                <w:color w:val="auto"/>
              </w:rPr>
            </w:pPr>
            <w:r>
              <w:rPr>
                <w:rFonts w:ascii="Arial" w:cs="Arial" w:eastAsia="Arial" w:hAnsi="Arial"/>
                <w:sz w:val="22"/>
                <w:szCs w:val="22"/>
                <w:color w:val="auto"/>
                <w:w w:val="89"/>
              </w:rPr>
              <w:t>54</w:t>
            </w:r>
          </w:p>
        </w:tc>
      </w:tr>
      <w:tr>
        <w:trPr>
          <w:trHeight w:val="249"/>
        </w:trPr>
        <w:tc>
          <w:tcPr>
            <w:tcW w:w="2420" w:type="dxa"/>
            <w:vAlign w:val="bottom"/>
          </w:tcPr>
          <w:p>
            <w:pPr>
              <w:ind w:left="40"/>
              <w:spacing w:after="0" w:line="248" w:lineRule="exact"/>
              <w:rPr>
                <w:sz w:val="20"/>
                <w:szCs w:val="20"/>
                <w:color w:val="auto"/>
              </w:rPr>
            </w:pPr>
            <w:r>
              <w:rPr>
                <w:rFonts w:ascii="Arial" w:cs="Arial" w:eastAsia="Arial" w:hAnsi="Arial"/>
                <w:sz w:val="22"/>
                <w:szCs w:val="22"/>
                <w:color w:val="auto"/>
              </w:rPr>
              <w:t>Mark E. Lewry</w:t>
            </w:r>
          </w:p>
        </w:tc>
        <w:tc>
          <w:tcPr>
            <w:tcW w:w="8100" w:type="dxa"/>
            <w:vAlign w:val="bottom"/>
          </w:tcPr>
          <w:p>
            <w:pPr>
              <w:ind w:left="360"/>
              <w:spacing w:after="0" w:line="248" w:lineRule="exact"/>
              <w:rPr>
                <w:sz w:val="20"/>
                <w:szCs w:val="20"/>
                <w:color w:val="auto"/>
              </w:rPr>
            </w:pPr>
            <w:r>
              <w:rPr>
                <w:rFonts w:ascii="Arial" w:cs="Arial" w:eastAsia="Arial" w:hAnsi="Arial"/>
                <w:sz w:val="22"/>
                <w:szCs w:val="22"/>
                <w:color w:val="auto"/>
                <w:w w:val="97"/>
              </w:rPr>
              <w:t>Chief Operating Officer of the Company since March 2014; Group President, The</w:t>
            </w:r>
          </w:p>
        </w:tc>
        <w:tc>
          <w:tcPr>
            <w:tcW w:w="900" w:type="dxa"/>
            <w:vAlign w:val="bottom"/>
          </w:tcPr>
          <w:p>
            <w:pPr>
              <w:jc w:val="center"/>
              <w:ind w:right="12"/>
              <w:spacing w:after="0" w:line="248" w:lineRule="exact"/>
              <w:rPr>
                <w:sz w:val="20"/>
                <w:szCs w:val="20"/>
                <w:color w:val="auto"/>
              </w:rPr>
            </w:pPr>
            <w:r>
              <w:rPr>
                <w:rFonts w:ascii="Arial" w:cs="Arial" w:eastAsia="Arial" w:hAnsi="Arial"/>
                <w:sz w:val="22"/>
                <w:szCs w:val="22"/>
                <w:color w:val="auto"/>
                <w:w w:val="89"/>
              </w:rPr>
              <w:t>60</w:t>
            </w:r>
          </w:p>
        </w:tc>
      </w:tr>
      <w:tr>
        <w:trPr>
          <w:trHeight w:val="283"/>
        </w:trPr>
        <w:tc>
          <w:tcPr>
            <w:tcW w:w="242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22"/>
                <w:szCs w:val="22"/>
                <w:color w:val="auto"/>
              </w:rPr>
              <w:t>Marmon Group/A Berkshire Hathaway Company from July 2011 to April 2013.</w:t>
            </w:r>
          </w:p>
        </w:tc>
        <w:tc>
          <w:tcPr>
            <w:tcW w:w="900" w:type="dxa"/>
            <w:vAlign w:val="bottom"/>
          </w:tcPr>
          <w:p>
            <w:pPr>
              <w:spacing w:after="0"/>
              <w:rPr>
                <w:sz w:val="24"/>
                <w:szCs w:val="24"/>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Michael A. McPherson</w:t>
            </w:r>
          </w:p>
        </w:tc>
        <w:tc>
          <w:tcPr>
            <w:tcW w:w="8100" w:type="dxa"/>
            <w:vAlign w:val="bottom"/>
            <w:shd w:val="clear" w:color="auto" w:fill="CCEEFF"/>
          </w:tcPr>
          <w:p>
            <w:pPr>
              <w:ind w:left="360"/>
              <w:spacing w:after="0"/>
              <w:rPr>
                <w:sz w:val="20"/>
                <w:szCs w:val="20"/>
                <w:color w:val="auto"/>
              </w:rPr>
            </w:pPr>
            <w:r>
              <w:rPr>
                <w:rFonts w:ascii="Arial" w:cs="Arial" w:eastAsia="Arial" w:hAnsi="Arial"/>
                <w:sz w:val="22"/>
                <w:szCs w:val="22"/>
                <w:color w:val="auto"/>
              </w:rPr>
              <w:t>Chief Development Officer &amp; Group Vice President, B2B of the Company since</w:t>
            </w:r>
          </w:p>
        </w:tc>
        <w:tc>
          <w:tcPr>
            <w:tcW w:w="900" w:type="dxa"/>
            <w:vAlign w:val="bottom"/>
            <w:shd w:val="clear" w:color="auto" w:fill="CCEEFF"/>
          </w:tcPr>
          <w:p>
            <w:pPr>
              <w:jc w:val="center"/>
              <w:ind w:right="12"/>
              <w:spacing w:after="0"/>
              <w:rPr>
                <w:sz w:val="20"/>
                <w:szCs w:val="20"/>
                <w:color w:val="auto"/>
              </w:rPr>
            </w:pPr>
            <w:r>
              <w:rPr>
                <w:rFonts w:ascii="Arial" w:cs="Arial" w:eastAsia="Arial" w:hAnsi="Arial"/>
                <w:sz w:val="22"/>
                <w:szCs w:val="22"/>
                <w:color w:val="auto"/>
                <w:w w:val="89"/>
              </w:rPr>
              <w:t>53</w:t>
            </w:r>
          </w:p>
        </w:tc>
      </w:tr>
      <w:tr>
        <w:trPr>
          <w:trHeight w:val="243"/>
        </w:trPr>
        <w:tc>
          <w:tcPr>
            <w:tcW w:w="2420" w:type="dxa"/>
            <w:vAlign w:val="bottom"/>
            <w:shd w:val="clear" w:color="auto" w:fill="CCEEFF"/>
          </w:tcPr>
          <w:p>
            <w:pPr>
              <w:spacing w:after="0"/>
              <w:rPr>
                <w:sz w:val="21"/>
                <w:szCs w:val="21"/>
                <w:color w:val="auto"/>
              </w:rPr>
            </w:pPr>
          </w:p>
        </w:tc>
        <w:tc>
          <w:tcPr>
            <w:tcW w:w="8100" w:type="dxa"/>
            <w:vAlign w:val="bottom"/>
            <w:shd w:val="clear" w:color="auto" w:fill="CCEEFF"/>
          </w:tcPr>
          <w:p>
            <w:pPr>
              <w:ind w:left="360"/>
              <w:spacing w:after="0" w:line="243" w:lineRule="exact"/>
              <w:rPr>
                <w:sz w:val="20"/>
                <w:szCs w:val="20"/>
                <w:color w:val="auto"/>
              </w:rPr>
            </w:pPr>
            <w:r>
              <w:rPr>
                <w:rFonts w:ascii="Arial" w:cs="Arial" w:eastAsia="Arial" w:hAnsi="Arial"/>
                <w:sz w:val="22"/>
                <w:szCs w:val="22"/>
                <w:color w:val="auto"/>
                <w:w w:val="95"/>
              </w:rPr>
              <w:t>August 2017; Chief Development Officer of the Company since October 2016; Vice</w:t>
            </w:r>
          </w:p>
        </w:tc>
        <w:tc>
          <w:tcPr>
            <w:tcW w:w="900" w:type="dxa"/>
            <w:vAlign w:val="bottom"/>
            <w:shd w:val="clear" w:color="auto" w:fill="CCEEFF"/>
          </w:tcPr>
          <w:p>
            <w:pPr>
              <w:spacing w:after="0"/>
              <w:rPr>
                <w:sz w:val="21"/>
                <w:szCs w:val="21"/>
                <w:color w:val="auto"/>
              </w:rPr>
            </w:pPr>
          </w:p>
        </w:tc>
      </w:tr>
      <w:tr>
        <w:trPr>
          <w:trHeight w:val="243"/>
        </w:trPr>
        <w:tc>
          <w:tcPr>
            <w:tcW w:w="2420" w:type="dxa"/>
            <w:vAlign w:val="bottom"/>
            <w:shd w:val="clear" w:color="auto" w:fill="CCEEFF"/>
          </w:tcPr>
          <w:p>
            <w:pPr>
              <w:spacing w:after="0"/>
              <w:rPr>
                <w:sz w:val="21"/>
                <w:szCs w:val="21"/>
                <w:color w:val="auto"/>
              </w:rPr>
            </w:pPr>
          </w:p>
        </w:tc>
        <w:tc>
          <w:tcPr>
            <w:tcW w:w="8100" w:type="dxa"/>
            <w:vAlign w:val="bottom"/>
            <w:shd w:val="clear" w:color="auto" w:fill="CCEEFF"/>
          </w:tcPr>
          <w:p>
            <w:pPr>
              <w:ind w:left="360"/>
              <w:spacing w:after="0" w:line="243" w:lineRule="exact"/>
              <w:rPr>
                <w:sz w:val="20"/>
                <w:szCs w:val="20"/>
                <w:color w:val="auto"/>
              </w:rPr>
            </w:pPr>
            <w:r>
              <w:rPr>
                <w:rFonts w:ascii="Arial" w:cs="Arial" w:eastAsia="Arial" w:hAnsi="Arial"/>
                <w:sz w:val="22"/>
                <w:szCs w:val="22"/>
                <w:color w:val="auto"/>
                <w:w w:val="92"/>
              </w:rPr>
              <w:t>President, Business-to-Business Marketing &amp; Business Development of the Company</w:t>
            </w:r>
          </w:p>
        </w:tc>
        <w:tc>
          <w:tcPr>
            <w:tcW w:w="900" w:type="dxa"/>
            <w:vAlign w:val="bottom"/>
            <w:shd w:val="clear" w:color="auto" w:fill="CCEEFF"/>
          </w:tcPr>
          <w:p>
            <w:pPr>
              <w:spacing w:after="0"/>
              <w:rPr>
                <w:sz w:val="21"/>
                <w:szCs w:val="21"/>
                <w:color w:val="auto"/>
              </w:rPr>
            </w:pPr>
          </w:p>
        </w:tc>
      </w:tr>
      <w:tr>
        <w:trPr>
          <w:trHeight w:val="243"/>
        </w:trPr>
        <w:tc>
          <w:tcPr>
            <w:tcW w:w="2420" w:type="dxa"/>
            <w:vAlign w:val="bottom"/>
            <w:shd w:val="clear" w:color="auto" w:fill="CCEEFF"/>
          </w:tcPr>
          <w:p>
            <w:pPr>
              <w:spacing w:after="0"/>
              <w:rPr>
                <w:sz w:val="21"/>
                <w:szCs w:val="21"/>
                <w:color w:val="auto"/>
              </w:rPr>
            </w:pPr>
          </w:p>
        </w:tc>
        <w:tc>
          <w:tcPr>
            <w:tcW w:w="8100" w:type="dxa"/>
            <w:vAlign w:val="bottom"/>
            <w:shd w:val="clear" w:color="auto" w:fill="CCEEFF"/>
          </w:tcPr>
          <w:p>
            <w:pPr>
              <w:ind w:left="360"/>
              <w:spacing w:after="0" w:line="243" w:lineRule="exact"/>
              <w:rPr>
                <w:sz w:val="20"/>
                <w:szCs w:val="20"/>
                <w:color w:val="auto"/>
              </w:rPr>
            </w:pPr>
            <w:r>
              <w:rPr>
                <w:rFonts w:ascii="Arial" w:cs="Arial" w:eastAsia="Arial" w:hAnsi="Arial"/>
                <w:sz w:val="22"/>
                <w:szCs w:val="22"/>
                <w:color w:val="auto"/>
              </w:rPr>
              <w:t>since December 2013; Vice President, Business-to-Business Marketing of the</w:t>
            </w:r>
          </w:p>
        </w:tc>
        <w:tc>
          <w:tcPr>
            <w:tcW w:w="900" w:type="dxa"/>
            <w:vAlign w:val="bottom"/>
            <w:shd w:val="clear" w:color="auto" w:fill="CCEEFF"/>
          </w:tcPr>
          <w:p>
            <w:pPr>
              <w:spacing w:after="0"/>
              <w:rPr>
                <w:sz w:val="21"/>
                <w:szCs w:val="21"/>
                <w:color w:val="auto"/>
              </w:rPr>
            </w:pPr>
          </w:p>
        </w:tc>
      </w:tr>
      <w:tr>
        <w:trPr>
          <w:trHeight w:val="292"/>
        </w:trPr>
        <w:tc>
          <w:tcPr>
            <w:tcW w:w="2420" w:type="dxa"/>
            <w:vAlign w:val="bottom"/>
            <w:shd w:val="clear" w:color="auto" w:fill="CCEEFF"/>
          </w:tcPr>
          <w:p>
            <w:pPr>
              <w:spacing w:after="0"/>
              <w:rPr>
                <w:sz w:val="24"/>
                <w:szCs w:val="24"/>
                <w:color w:val="auto"/>
              </w:rPr>
            </w:pPr>
          </w:p>
        </w:tc>
        <w:tc>
          <w:tcPr>
            <w:tcW w:w="8100" w:type="dxa"/>
            <w:vAlign w:val="bottom"/>
            <w:shd w:val="clear" w:color="auto" w:fill="CCEEFF"/>
          </w:tcPr>
          <w:p>
            <w:pPr>
              <w:ind w:left="360"/>
              <w:spacing w:after="0"/>
              <w:rPr>
                <w:sz w:val="20"/>
                <w:szCs w:val="20"/>
                <w:color w:val="auto"/>
              </w:rPr>
            </w:pPr>
            <w:r>
              <w:rPr>
                <w:rFonts w:ascii="Arial" w:cs="Arial" w:eastAsia="Arial" w:hAnsi="Arial"/>
                <w:sz w:val="22"/>
                <w:szCs w:val="22"/>
                <w:color w:val="auto"/>
              </w:rPr>
              <w:t>Company from December 2009 to December 2013.</w:t>
            </w:r>
          </w:p>
        </w:tc>
        <w:tc>
          <w:tcPr>
            <w:tcW w:w="900" w:type="dxa"/>
            <w:vAlign w:val="bottom"/>
            <w:shd w:val="clear" w:color="auto" w:fill="CCEEFF"/>
          </w:tcPr>
          <w:p>
            <w:pPr>
              <w:spacing w:after="0"/>
              <w:rPr>
                <w:sz w:val="24"/>
                <w:szCs w:val="24"/>
                <w:color w:val="auto"/>
              </w:rPr>
            </w:pPr>
          </w:p>
        </w:tc>
      </w:tr>
      <w:tr>
        <w:trPr>
          <w:trHeight w:val="249"/>
        </w:trPr>
        <w:tc>
          <w:tcPr>
            <w:tcW w:w="2420" w:type="dxa"/>
            <w:vAlign w:val="bottom"/>
          </w:tcPr>
          <w:p>
            <w:pPr>
              <w:ind w:left="40"/>
              <w:spacing w:after="0" w:line="248" w:lineRule="exact"/>
              <w:rPr>
                <w:sz w:val="20"/>
                <w:szCs w:val="20"/>
                <w:color w:val="auto"/>
              </w:rPr>
            </w:pPr>
            <w:r>
              <w:rPr>
                <w:rFonts w:ascii="Arial" w:cs="Arial" w:eastAsia="Arial" w:hAnsi="Arial"/>
                <w:sz w:val="22"/>
                <w:szCs w:val="22"/>
                <w:color w:val="auto"/>
              </w:rPr>
              <w:t>Laura G. Scheland</w:t>
            </w:r>
          </w:p>
        </w:tc>
        <w:tc>
          <w:tcPr>
            <w:tcW w:w="8100" w:type="dxa"/>
            <w:vAlign w:val="bottom"/>
          </w:tcPr>
          <w:p>
            <w:pPr>
              <w:ind w:left="360"/>
              <w:spacing w:after="0" w:line="248" w:lineRule="exact"/>
              <w:rPr>
                <w:sz w:val="20"/>
                <w:szCs w:val="20"/>
                <w:color w:val="auto"/>
              </w:rPr>
            </w:pPr>
            <w:r>
              <w:rPr>
                <w:rFonts w:ascii="Arial" w:cs="Arial" w:eastAsia="Arial" w:hAnsi="Arial"/>
                <w:sz w:val="22"/>
                <w:szCs w:val="22"/>
                <w:color w:val="auto"/>
                <w:w w:val="90"/>
              </w:rPr>
              <w:t>Vice President, General Counsel and Secretary of the Company since December 2017;</w:t>
            </w:r>
          </w:p>
        </w:tc>
        <w:tc>
          <w:tcPr>
            <w:tcW w:w="900" w:type="dxa"/>
            <w:vAlign w:val="bottom"/>
          </w:tcPr>
          <w:p>
            <w:pPr>
              <w:jc w:val="center"/>
              <w:ind w:right="12"/>
              <w:spacing w:after="0" w:line="248" w:lineRule="exact"/>
              <w:rPr>
                <w:sz w:val="20"/>
                <w:szCs w:val="20"/>
                <w:color w:val="auto"/>
              </w:rPr>
            </w:pPr>
            <w:r>
              <w:rPr>
                <w:rFonts w:ascii="Arial" w:cs="Arial" w:eastAsia="Arial" w:hAnsi="Arial"/>
                <w:sz w:val="22"/>
                <w:szCs w:val="22"/>
                <w:color w:val="auto"/>
                <w:w w:val="89"/>
              </w:rPr>
              <w:t>39</w:t>
            </w:r>
          </w:p>
        </w:tc>
      </w:tr>
      <w:tr>
        <w:trPr>
          <w:trHeight w:val="243"/>
        </w:trPr>
        <w:tc>
          <w:tcPr>
            <w:tcW w:w="2420" w:type="dxa"/>
            <w:vAlign w:val="bottom"/>
          </w:tcPr>
          <w:p>
            <w:pPr>
              <w:spacing w:after="0"/>
              <w:rPr>
                <w:sz w:val="21"/>
                <w:szCs w:val="21"/>
                <w:color w:val="auto"/>
              </w:rPr>
            </w:pPr>
          </w:p>
        </w:tc>
        <w:tc>
          <w:tcPr>
            <w:tcW w:w="8100" w:type="dxa"/>
            <w:vAlign w:val="bottom"/>
          </w:tcPr>
          <w:p>
            <w:pPr>
              <w:ind w:left="360"/>
              <w:spacing w:after="0" w:line="243" w:lineRule="exact"/>
              <w:rPr>
                <w:sz w:val="20"/>
                <w:szCs w:val="20"/>
                <w:color w:val="auto"/>
              </w:rPr>
            </w:pPr>
            <w:r>
              <w:rPr>
                <w:rFonts w:ascii="Arial" w:cs="Arial" w:eastAsia="Arial" w:hAnsi="Arial"/>
                <w:sz w:val="22"/>
                <w:szCs w:val="22"/>
                <w:color w:val="auto"/>
                <w:w w:val="91"/>
              </w:rPr>
              <w:t>Assistant General Counsel and Assistant Secretary of the Company from April 2013 to</w:t>
            </w:r>
          </w:p>
        </w:tc>
        <w:tc>
          <w:tcPr>
            <w:tcW w:w="900" w:type="dxa"/>
            <w:vAlign w:val="bottom"/>
          </w:tcPr>
          <w:p>
            <w:pPr>
              <w:spacing w:after="0"/>
              <w:rPr>
                <w:sz w:val="21"/>
                <w:szCs w:val="21"/>
                <w:color w:val="auto"/>
              </w:rPr>
            </w:pPr>
          </w:p>
        </w:tc>
      </w:tr>
      <w:tr>
        <w:trPr>
          <w:trHeight w:val="283"/>
        </w:trPr>
        <w:tc>
          <w:tcPr>
            <w:tcW w:w="242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22"/>
                <w:szCs w:val="22"/>
                <w:color w:val="auto"/>
              </w:rPr>
              <w:t>November 2017.</w:t>
            </w:r>
          </w:p>
        </w:tc>
        <w:tc>
          <w:tcPr>
            <w:tcW w:w="900" w:type="dxa"/>
            <w:vAlign w:val="bottom"/>
          </w:tcPr>
          <w:p>
            <w:pPr>
              <w:spacing w:after="0"/>
              <w:rPr>
                <w:sz w:val="24"/>
                <w:szCs w:val="24"/>
                <w:color w:val="auto"/>
              </w:rPr>
            </w:pPr>
          </w:p>
        </w:tc>
      </w:tr>
      <w:tr>
        <w:trPr>
          <w:trHeight w:val="306"/>
        </w:trPr>
        <w:tc>
          <w:tcPr>
            <w:tcW w:w="2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Daniel T. Smith</w:t>
            </w:r>
          </w:p>
        </w:tc>
        <w:tc>
          <w:tcPr>
            <w:tcW w:w="8100" w:type="dxa"/>
            <w:vAlign w:val="bottom"/>
            <w:shd w:val="clear" w:color="auto" w:fill="CCEEFF"/>
          </w:tcPr>
          <w:p>
            <w:pPr>
              <w:ind w:left="360"/>
              <w:spacing w:after="0"/>
              <w:rPr>
                <w:sz w:val="20"/>
                <w:szCs w:val="20"/>
                <w:color w:val="auto"/>
              </w:rPr>
            </w:pPr>
            <w:r>
              <w:rPr>
                <w:rFonts w:ascii="Arial" w:cs="Arial" w:eastAsia="Arial" w:hAnsi="Arial"/>
                <w:sz w:val="22"/>
                <w:szCs w:val="22"/>
                <w:color w:val="auto"/>
              </w:rPr>
              <w:t>Vice President, Chief Financial Officer of the Company since June 2012.</w:t>
            </w:r>
          </w:p>
        </w:tc>
        <w:tc>
          <w:tcPr>
            <w:tcW w:w="900" w:type="dxa"/>
            <w:vAlign w:val="bottom"/>
            <w:shd w:val="clear" w:color="auto" w:fill="CCEEFF"/>
          </w:tcPr>
          <w:p>
            <w:pPr>
              <w:jc w:val="center"/>
              <w:ind w:right="12"/>
              <w:spacing w:after="0"/>
              <w:rPr>
                <w:sz w:val="20"/>
                <w:szCs w:val="20"/>
                <w:color w:val="auto"/>
              </w:rPr>
            </w:pPr>
            <w:r>
              <w:rPr>
                <w:rFonts w:ascii="Arial" w:cs="Arial" w:eastAsia="Arial" w:hAnsi="Arial"/>
                <w:sz w:val="22"/>
                <w:szCs w:val="22"/>
                <w:color w:val="auto"/>
                <w:w w:val="89"/>
              </w:rPr>
              <w:t>59</w:t>
            </w:r>
          </w:p>
        </w:tc>
      </w:tr>
      <w:tr>
        <w:trPr>
          <w:trHeight w:val="249"/>
        </w:trPr>
        <w:tc>
          <w:tcPr>
            <w:tcW w:w="2420" w:type="dxa"/>
            <w:vAlign w:val="bottom"/>
          </w:tcPr>
          <w:p>
            <w:pPr>
              <w:ind w:left="40"/>
              <w:spacing w:after="0" w:line="248" w:lineRule="exact"/>
              <w:rPr>
                <w:sz w:val="20"/>
                <w:szCs w:val="20"/>
                <w:color w:val="auto"/>
              </w:rPr>
            </w:pPr>
            <w:r>
              <w:rPr>
                <w:rFonts w:ascii="Arial" w:cs="Arial" w:eastAsia="Arial" w:hAnsi="Arial"/>
                <w:sz w:val="22"/>
                <w:szCs w:val="22"/>
                <w:color w:val="auto"/>
              </w:rPr>
              <w:t>Mary E Sullivan</w:t>
            </w:r>
          </w:p>
        </w:tc>
        <w:tc>
          <w:tcPr>
            <w:tcW w:w="8100" w:type="dxa"/>
            <w:vAlign w:val="bottom"/>
          </w:tcPr>
          <w:p>
            <w:pPr>
              <w:ind w:left="360"/>
              <w:spacing w:after="0" w:line="248" w:lineRule="exact"/>
              <w:rPr>
                <w:sz w:val="20"/>
                <w:szCs w:val="20"/>
                <w:color w:val="auto"/>
              </w:rPr>
            </w:pPr>
            <w:r>
              <w:rPr>
                <w:rFonts w:ascii="Arial" w:cs="Arial" w:eastAsia="Arial" w:hAnsi="Arial"/>
                <w:sz w:val="22"/>
                <w:szCs w:val="22"/>
                <w:color w:val="auto"/>
                <w:w w:val="99"/>
              </w:rPr>
              <w:t>Vice President, Human Resources of the Company since October 2016; Human</w:t>
            </w:r>
          </w:p>
        </w:tc>
        <w:tc>
          <w:tcPr>
            <w:tcW w:w="900" w:type="dxa"/>
            <w:vAlign w:val="bottom"/>
          </w:tcPr>
          <w:p>
            <w:pPr>
              <w:jc w:val="center"/>
              <w:ind w:right="12"/>
              <w:spacing w:after="0" w:line="248" w:lineRule="exact"/>
              <w:rPr>
                <w:sz w:val="20"/>
                <w:szCs w:val="20"/>
                <w:color w:val="auto"/>
              </w:rPr>
            </w:pPr>
            <w:r>
              <w:rPr>
                <w:rFonts w:ascii="Arial" w:cs="Arial" w:eastAsia="Arial" w:hAnsi="Arial"/>
                <w:sz w:val="22"/>
                <w:szCs w:val="22"/>
                <w:color w:val="auto"/>
                <w:w w:val="89"/>
              </w:rPr>
              <w:t>61</w:t>
            </w:r>
          </w:p>
        </w:tc>
      </w:tr>
      <w:tr>
        <w:trPr>
          <w:trHeight w:val="275"/>
        </w:trPr>
        <w:tc>
          <w:tcPr>
            <w:tcW w:w="2420" w:type="dxa"/>
            <w:vAlign w:val="bottom"/>
          </w:tcPr>
          <w:p>
            <w:pPr>
              <w:spacing w:after="0"/>
              <w:rPr>
                <w:sz w:val="23"/>
                <w:szCs w:val="23"/>
                <w:color w:val="auto"/>
              </w:rPr>
            </w:pPr>
          </w:p>
        </w:tc>
        <w:tc>
          <w:tcPr>
            <w:tcW w:w="8100" w:type="dxa"/>
            <w:vAlign w:val="bottom"/>
          </w:tcPr>
          <w:p>
            <w:pPr>
              <w:ind w:left="360"/>
              <w:spacing w:after="0"/>
              <w:rPr>
                <w:sz w:val="20"/>
                <w:szCs w:val="20"/>
                <w:color w:val="auto"/>
              </w:rPr>
            </w:pPr>
            <w:r>
              <w:rPr>
                <w:rFonts w:ascii="Arial" w:cs="Arial" w:eastAsia="Arial" w:hAnsi="Arial"/>
                <w:sz w:val="22"/>
                <w:szCs w:val="22"/>
                <w:color w:val="auto"/>
                <w:w w:val="90"/>
              </w:rPr>
              <w:t>Resources Director Central US and Canada at Staples, Inc. from 2007 to October 2016.</w:t>
            </w:r>
          </w:p>
        </w:tc>
        <w:tc>
          <w:tcPr>
            <w:tcW w:w="900" w:type="dxa"/>
            <w:vAlign w:val="bottom"/>
          </w:tcPr>
          <w:p>
            <w:pPr>
              <w:spacing w:after="0"/>
              <w:rPr>
                <w:sz w:val="23"/>
                <w:szCs w:val="23"/>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All of our executive officers are appointed annually and serve at the pleasure of our Board of Directors.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(1) Of the persons in this table, only Mr. Daniel Jaffee is also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6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5"/>
          <w:szCs w:val="25"/>
          <w:b w:val="1"/>
          <w:bCs w:val="1"/>
          <w:color w:val="auto"/>
        </w:rPr>
        <w:t>EXECUTIVE COMPENSATION</w:t>
      </w:r>
    </w:p>
    <w:p>
      <w:pPr>
        <w:spacing w:after="0" w:line="2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is a “smaller reporting company” (or SRC) under the rules promulgated by the SEC and complies with the disclosure requirements specifically applicable to SRCs. This section and the tables contained herein reflect the scaled disclosure available to SRCs.</w:t>
      </w:r>
    </w:p>
    <w:p>
      <w:pPr>
        <w:spacing w:after="0" w:line="14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this Executive Compensation section, we discuss compensation of the Company’s named executive officers. The Company’s named executive officers and their titles as of the end of fiscal year 2018 are: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3340" w:type="dxa"/>
            <w:vAlign w:val="bottom"/>
            <w:gridSpan w:val="2"/>
          </w:tcPr>
          <w:p>
            <w:pPr>
              <w:ind w:left="40"/>
              <w:spacing w:after="0"/>
              <w:rPr>
                <w:sz w:val="20"/>
                <w:szCs w:val="20"/>
                <w:color w:val="auto"/>
              </w:rPr>
            </w:pPr>
            <w:r>
              <w:rPr>
                <w:rFonts w:ascii="Arial" w:cs="Arial" w:eastAsia="Arial" w:hAnsi="Arial"/>
                <w:sz w:val="22"/>
                <w:szCs w:val="22"/>
                <w:b w:val="1"/>
                <w:bCs w:val="1"/>
                <w:color w:val="auto"/>
              </w:rPr>
              <w:t>Name</w:t>
            </w:r>
          </w:p>
        </w:tc>
        <w:tc>
          <w:tcPr>
            <w:tcW w:w="8080" w:type="dxa"/>
            <w:vAlign w:val="bottom"/>
          </w:tcPr>
          <w:p>
            <w:pPr>
              <w:ind w:left="20"/>
              <w:spacing w:after="0"/>
              <w:rPr>
                <w:sz w:val="20"/>
                <w:szCs w:val="20"/>
                <w:color w:val="auto"/>
              </w:rPr>
            </w:pPr>
            <w:r>
              <w:rPr>
                <w:rFonts w:ascii="Arial" w:cs="Arial" w:eastAsia="Arial" w:hAnsi="Arial"/>
                <w:sz w:val="22"/>
                <w:szCs w:val="22"/>
                <w:b w:val="1"/>
                <w:bCs w:val="1"/>
                <w:color w:val="auto"/>
              </w:rPr>
              <w:t>Title</w:t>
            </w:r>
          </w:p>
        </w:tc>
      </w:tr>
      <w:tr>
        <w:trPr>
          <w:trHeight w:val="281"/>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22"/>
                <w:szCs w:val="22"/>
                <w:b w:val="1"/>
                <w:bCs w:val="1"/>
                <w:color w:val="auto"/>
              </w:rPr>
              <w:t>Daniel S. Jaffee</w:t>
            </w:r>
          </w:p>
        </w:tc>
        <w:tc>
          <w:tcPr>
            <w:tcW w:w="240" w:type="dxa"/>
            <w:vAlign w:val="bottom"/>
          </w:tcPr>
          <w:p>
            <w:pPr>
              <w:spacing w:after="0"/>
              <w:rPr>
                <w:sz w:val="24"/>
                <w:szCs w:val="24"/>
                <w:color w:val="auto"/>
              </w:rPr>
            </w:pPr>
          </w:p>
        </w:tc>
        <w:tc>
          <w:tcPr>
            <w:tcW w:w="80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President and Chief Executive Officer (CEO)</w:t>
            </w:r>
          </w:p>
        </w:tc>
      </w:tr>
      <w:tr>
        <w:trPr>
          <w:trHeight w:val="297"/>
        </w:trPr>
        <w:tc>
          <w:tcPr>
            <w:tcW w:w="3340" w:type="dxa"/>
            <w:vAlign w:val="bottom"/>
            <w:gridSpan w:val="2"/>
          </w:tcPr>
          <w:p>
            <w:pPr>
              <w:ind w:left="40"/>
              <w:spacing w:after="0"/>
              <w:rPr>
                <w:sz w:val="20"/>
                <w:szCs w:val="20"/>
                <w:color w:val="auto"/>
              </w:rPr>
            </w:pPr>
            <w:r>
              <w:rPr>
                <w:rFonts w:ascii="Arial" w:cs="Arial" w:eastAsia="Arial" w:hAnsi="Arial"/>
                <w:sz w:val="22"/>
                <w:szCs w:val="22"/>
                <w:b w:val="1"/>
                <w:bCs w:val="1"/>
                <w:color w:val="auto"/>
              </w:rPr>
              <w:t>Mark E. Lewry</w:t>
            </w:r>
          </w:p>
        </w:tc>
        <w:tc>
          <w:tcPr>
            <w:tcW w:w="8080" w:type="dxa"/>
            <w:vAlign w:val="bottom"/>
          </w:tcPr>
          <w:p>
            <w:pPr>
              <w:ind w:left="20"/>
              <w:spacing w:after="0"/>
              <w:rPr>
                <w:sz w:val="20"/>
                <w:szCs w:val="20"/>
                <w:color w:val="auto"/>
              </w:rPr>
            </w:pPr>
            <w:r>
              <w:rPr>
                <w:rFonts w:ascii="Arial" w:cs="Arial" w:eastAsia="Arial" w:hAnsi="Arial"/>
                <w:sz w:val="22"/>
                <w:szCs w:val="22"/>
                <w:color w:val="auto"/>
              </w:rPr>
              <w:t>Chief Operating Officer (COO)</w:t>
            </w:r>
          </w:p>
        </w:tc>
      </w:tr>
      <w:tr>
        <w:trPr>
          <w:trHeight w:val="297"/>
        </w:trPr>
        <w:tc>
          <w:tcPr>
            <w:tcW w:w="3340" w:type="dxa"/>
            <w:vAlign w:val="bottom"/>
            <w:gridSpan w:val="2"/>
          </w:tcPr>
          <w:p>
            <w:pPr>
              <w:ind w:left="40"/>
              <w:spacing w:after="0"/>
              <w:rPr>
                <w:sz w:val="20"/>
                <w:szCs w:val="20"/>
                <w:color w:val="auto"/>
              </w:rPr>
            </w:pPr>
            <w:r>
              <w:rPr>
                <w:rFonts w:ascii="Arial" w:cs="Arial" w:eastAsia="Arial" w:hAnsi="Arial"/>
                <w:sz w:val="22"/>
                <w:szCs w:val="22"/>
                <w:b w:val="1"/>
                <w:bCs w:val="1"/>
                <w:color w:val="auto"/>
              </w:rPr>
              <w:t>Michael A. McPherson</w:t>
            </w:r>
          </w:p>
        </w:tc>
        <w:tc>
          <w:tcPr>
            <w:tcW w:w="8080" w:type="dxa"/>
            <w:vAlign w:val="bottom"/>
          </w:tcPr>
          <w:p>
            <w:pPr>
              <w:ind w:left="20"/>
              <w:spacing w:after="0"/>
              <w:rPr>
                <w:sz w:val="20"/>
                <w:szCs w:val="20"/>
                <w:color w:val="auto"/>
              </w:rPr>
            </w:pPr>
            <w:r>
              <w:rPr>
                <w:rFonts w:ascii="Arial" w:cs="Arial" w:eastAsia="Arial" w:hAnsi="Arial"/>
                <w:sz w:val="22"/>
                <w:szCs w:val="22"/>
                <w:color w:val="auto"/>
              </w:rPr>
              <w:t>Chief Development Officer &amp; Group Vice President, B2B (CDO)</w:t>
            </w:r>
          </w:p>
        </w:tc>
      </w:tr>
      <w:tr>
        <w:trPr>
          <w:trHeight w:val="539"/>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80" w:type="dxa"/>
            <w:vAlign w:val="bottom"/>
          </w:tcPr>
          <w:p>
            <w:pPr>
              <w:ind w:left="700"/>
              <w:spacing w:after="0"/>
              <w:rPr>
                <w:sz w:val="20"/>
                <w:szCs w:val="20"/>
                <w:color w:val="auto"/>
              </w:rPr>
            </w:pPr>
            <w:r>
              <w:rPr>
                <w:rFonts w:ascii="Arial" w:cs="Arial" w:eastAsia="Arial" w:hAnsi="Arial"/>
                <w:sz w:val="25"/>
                <w:szCs w:val="25"/>
                <w:b w:val="1"/>
                <w:bCs w:val="1"/>
                <w:color w:val="auto"/>
              </w:rPr>
              <w:t>Summary Compensation Table</w:t>
            </w:r>
          </w:p>
        </w:tc>
      </w:tr>
    </w:tbl>
    <w:p>
      <w:pPr>
        <w:spacing w:after="0" w:line="15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following table summarizes the total compensation earned by the named executive officers for services provided to the Company during the years detailed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Change in</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35"/>
        </w:trPr>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Non-Equity</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Deferred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Option</w:t>
            </w:r>
          </w:p>
        </w:tc>
        <w:tc>
          <w:tcPr>
            <w:tcW w:w="1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Incentive Plan</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All Other</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Fiscal</w:t>
            </w: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Salary</w:t>
            </w:r>
          </w:p>
        </w:tc>
        <w:tc>
          <w:tcPr>
            <w:tcW w:w="180" w:type="dxa"/>
            <w:vAlign w:val="bottom"/>
          </w:tcPr>
          <w:p>
            <w:pPr>
              <w:spacing w:after="0"/>
              <w:rPr>
                <w:sz w:val="11"/>
                <w:szCs w:val="11"/>
                <w:color w:val="auto"/>
              </w:rPr>
            </w:pPr>
          </w:p>
        </w:tc>
        <w:tc>
          <w:tcPr>
            <w:tcW w:w="760" w:type="dxa"/>
            <w:vAlign w:val="bottom"/>
          </w:tcPr>
          <w:p>
            <w:pPr>
              <w:jc w:val="right"/>
              <w:ind w:right="243"/>
              <w:spacing w:after="0" w:line="135" w:lineRule="exact"/>
              <w:rPr>
                <w:sz w:val="20"/>
                <w:szCs w:val="20"/>
                <w:color w:val="auto"/>
              </w:rPr>
            </w:pPr>
            <w:r>
              <w:rPr>
                <w:rFonts w:ascii="Arial" w:cs="Arial" w:eastAsia="Arial" w:hAnsi="Arial"/>
                <w:sz w:val="13"/>
                <w:szCs w:val="13"/>
                <w:b w:val="1"/>
                <w:bCs w:val="1"/>
                <w:color w:val="auto"/>
              </w:rPr>
              <w:t>Bonus</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3"/>
                <w:szCs w:val="13"/>
                <w:b w:val="1"/>
                <w:bCs w:val="1"/>
                <w:color w:val="auto"/>
              </w:rPr>
              <w:t>Stock Awards</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Awards</w:t>
            </w:r>
          </w:p>
        </w:tc>
        <w:tc>
          <w:tcPr>
            <w:tcW w:w="1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Compensation</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Earnings</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180" w:type="dxa"/>
            <w:vAlign w:val="bottom"/>
          </w:tcPr>
          <w:p>
            <w:pPr>
              <w:spacing w:after="0"/>
              <w:rPr>
                <w:sz w:val="11"/>
                <w:szCs w:val="11"/>
                <w:color w:val="auto"/>
              </w:rPr>
            </w:pPr>
          </w:p>
        </w:tc>
        <w:tc>
          <w:tcPr>
            <w:tcW w:w="840" w:type="dxa"/>
            <w:vAlign w:val="bottom"/>
          </w:tcPr>
          <w:p>
            <w:pPr>
              <w:jc w:val="right"/>
              <w:ind w:right="283"/>
              <w:spacing w:after="0" w:line="135" w:lineRule="exact"/>
              <w:rPr>
                <w:sz w:val="20"/>
                <w:szCs w:val="20"/>
                <w:color w:val="auto"/>
              </w:rPr>
            </w:pPr>
            <w:r>
              <w:rPr>
                <w:rFonts w:ascii="Arial" w:cs="Arial" w:eastAsia="Arial" w:hAnsi="Arial"/>
                <w:sz w:val="13"/>
                <w:szCs w:val="13"/>
                <w:b w:val="1"/>
                <w:bCs w:val="1"/>
                <w:color w:val="auto"/>
              </w:rPr>
              <w:t>Total</w:t>
            </w:r>
          </w:p>
        </w:tc>
      </w:tr>
      <w:tr>
        <w:trPr>
          <w:trHeight w:val="135"/>
        </w:trPr>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20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ind w:right="323"/>
              <w:spacing w:after="0" w:line="135"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303"/>
              <w:spacing w:after="0" w:line="135"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46"/>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ind w:left="340"/>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69"/>
              <w:spacing w:after="0" w:line="135" w:lineRule="exact"/>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6"/>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363"/>
              <w:spacing w:after="0" w:line="135" w:lineRule="exact"/>
              <w:rPr>
                <w:sz w:val="20"/>
                <w:szCs w:val="20"/>
                <w:color w:val="auto"/>
              </w:rPr>
            </w:pPr>
            <w:r>
              <w:rPr>
                <w:rFonts w:ascii="Arial" w:cs="Arial" w:eastAsia="Arial" w:hAnsi="Arial"/>
                <w:sz w:val="13"/>
                <w:szCs w:val="13"/>
                <w:b w:val="1"/>
                <w:bCs w:val="1"/>
                <w:color w:val="auto"/>
              </w:rPr>
              <w:t>($)</w:t>
            </w:r>
          </w:p>
        </w:tc>
      </w:tr>
      <w:tr>
        <w:trPr>
          <w:trHeight w:val="17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8"/>
              </w:rPr>
              <w:t>Name and Principal Position</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(1)</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rPr>
              <w:t>(2)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7"/>
              </w:rPr>
              <w:t>(4)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rPr>
              <w:t>(5)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Daniel S. Jaffee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700,000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539,384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6"/>
                <w:szCs w:val="16"/>
                <w:color w:val="auto"/>
              </w:rPr>
              <w:t>8,752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72,250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1,320,386</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President and CEO</w:t>
            </w:r>
          </w:p>
        </w:tc>
        <w:tc>
          <w:tcPr>
            <w:tcW w:w="580" w:type="dxa"/>
            <w:vAlign w:val="bottom"/>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80"/>
              <w:spacing w:after="0"/>
              <w:rPr>
                <w:sz w:val="20"/>
                <w:szCs w:val="20"/>
                <w:color w:val="auto"/>
              </w:rPr>
            </w:pPr>
            <w:r>
              <w:rPr>
                <w:rFonts w:ascii="Arial" w:cs="Arial" w:eastAsia="Arial" w:hAnsi="Arial"/>
                <w:sz w:val="16"/>
                <w:szCs w:val="16"/>
                <w:color w:val="auto"/>
              </w:rPr>
              <w:t>650,000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340"/>
              <w:spacing w:after="0"/>
              <w:rPr>
                <w:sz w:val="20"/>
                <w:szCs w:val="20"/>
                <w:color w:val="auto"/>
              </w:rPr>
            </w:pPr>
            <w:r>
              <w:rPr>
                <w:rFonts w:ascii="Arial" w:cs="Arial" w:eastAsia="Arial" w:hAnsi="Arial"/>
                <w:sz w:val="16"/>
                <w:szCs w:val="16"/>
                <w:color w:val="auto"/>
              </w:rPr>
              <w:t>477,750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9"/>
              <w:spacing w:after="0"/>
              <w:rPr>
                <w:sz w:val="20"/>
                <w:szCs w:val="20"/>
                <w:color w:val="auto"/>
              </w:rPr>
            </w:pPr>
            <w:r>
              <w:rPr>
                <w:rFonts w:ascii="Arial" w:cs="Arial" w:eastAsia="Arial" w:hAnsi="Arial"/>
                <w:sz w:val="16"/>
                <w:szCs w:val="16"/>
                <w:color w:val="auto"/>
              </w:rPr>
              <w:t>10,778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6"/>
              <w:spacing w:after="0"/>
              <w:rPr>
                <w:sz w:val="20"/>
                <w:szCs w:val="20"/>
                <w:color w:val="auto"/>
              </w:rPr>
            </w:pPr>
            <w:r>
              <w:rPr>
                <w:rFonts w:ascii="Arial" w:cs="Arial" w:eastAsia="Arial" w:hAnsi="Arial"/>
                <w:sz w:val="16"/>
                <w:szCs w:val="16"/>
                <w:color w:val="auto"/>
              </w:rPr>
              <w:t>84,944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1,223,472</w:t>
            </w: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Mark E. Lewry</w:t>
            </w:r>
          </w:p>
        </w:tc>
        <w:tc>
          <w:tcPr>
            <w:tcW w:w="580" w:type="dxa"/>
            <w:vAlign w:val="bottom"/>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8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340"/>
              <w:spacing w:after="0"/>
              <w:rPr>
                <w:sz w:val="20"/>
                <w:szCs w:val="20"/>
                <w:color w:val="auto"/>
              </w:rPr>
            </w:pPr>
            <w:r>
              <w:rPr>
                <w:rFonts w:ascii="Arial" w:cs="Arial" w:eastAsia="Arial" w:hAnsi="Arial"/>
                <w:sz w:val="16"/>
                <w:szCs w:val="16"/>
                <w:color w:val="auto"/>
              </w:rPr>
              <w:t>165,000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9"/>
              <w:spacing w:after="0"/>
              <w:rPr>
                <w:sz w:val="20"/>
                <w:szCs w:val="20"/>
                <w:color w:val="auto"/>
              </w:rPr>
            </w:pPr>
            <w:r>
              <w:rPr>
                <w:rFonts w:ascii="Arial" w:cs="Arial" w:eastAsia="Arial" w:hAnsi="Arial"/>
                <w:sz w:val="16"/>
                <w:szCs w:val="16"/>
                <w:color w:val="auto"/>
              </w:rPr>
              <w:t>10,376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6"/>
              <w:spacing w:after="0"/>
              <w:rPr>
                <w:sz w:val="20"/>
                <w:szCs w:val="20"/>
                <w:color w:val="auto"/>
              </w:rPr>
            </w:pPr>
            <w:r>
              <w:rPr>
                <w:rFonts w:ascii="Arial" w:cs="Arial" w:eastAsia="Arial" w:hAnsi="Arial"/>
                <w:sz w:val="16"/>
                <w:szCs w:val="16"/>
                <w:color w:val="auto"/>
              </w:rPr>
              <w:t>27,914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503,290</w:t>
            </w: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COO</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375,000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236,250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6"/>
                <w:szCs w:val="16"/>
                <w:color w:val="auto"/>
              </w:rPr>
              <w:t>7,536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26,148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644,934</w:t>
            </w:r>
          </w:p>
        </w:tc>
      </w:tr>
      <w:tr>
        <w:trPr>
          <w:trHeight w:val="270"/>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Michael A. McPherson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167,968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166,759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6"/>
                <w:szCs w:val="16"/>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17,764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628,654</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CDO</w:t>
            </w:r>
          </w:p>
        </w:tc>
        <w:tc>
          <w:tcPr>
            <w:tcW w:w="580" w:type="dxa"/>
            <w:vAlign w:val="bottom"/>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80"/>
              <w:spacing w:after="0"/>
              <w:rPr>
                <w:sz w:val="20"/>
                <w:szCs w:val="20"/>
                <w:color w:val="auto"/>
              </w:rPr>
            </w:pPr>
            <w:r>
              <w:rPr>
                <w:rFonts w:ascii="Arial" w:cs="Arial" w:eastAsia="Arial" w:hAnsi="Arial"/>
                <w:sz w:val="16"/>
                <w:szCs w:val="16"/>
                <w:color w:val="auto"/>
              </w:rPr>
              <w:t>197,513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136,760</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340"/>
              <w:spacing w:after="0"/>
              <w:rPr>
                <w:sz w:val="20"/>
                <w:szCs w:val="20"/>
                <w:color w:val="auto"/>
              </w:rPr>
            </w:pPr>
            <w:r>
              <w:rPr>
                <w:rFonts w:ascii="Arial" w:cs="Arial" w:eastAsia="Arial" w:hAnsi="Arial"/>
                <w:sz w:val="16"/>
                <w:szCs w:val="16"/>
                <w:color w:val="auto"/>
              </w:rPr>
              <w:t>108,722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9"/>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6"/>
              <w:spacing w:after="0"/>
              <w:rPr>
                <w:sz w:val="20"/>
                <w:szCs w:val="20"/>
                <w:color w:val="auto"/>
              </w:rPr>
            </w:pPr>
            <w:r>
              <w:rPr>
                <w:rFonts w:ascii="Arial" w:cs="Arial" w:eastAsia="Arial" w:hAnsi="Arial"/>
                <w:sz w:val="16"/>
                <w:szCs w:val="16"/>
                <w:color w:val="auto"/>
              </w:rPr>
              <w:t>14,187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457,950</w:t>
            </w:r>
          </w:p>
        </w:tc>
      </w:tr>
    </w:tbl>
    <w:p>
      <w:pPr>
        <w:spacing w:after="0" w:line="194" w:lineRule="exact"/>
        <w:rPr>
          <w:sz w:val="20"/>
          <w:szCs w:val="20"/>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reported reflect the grant date fair value of awards computed in accordance with ASC 718. The grant date fair value is the number of shares granted multiplied by the closing price of our Common Stock on the award date. The grant date fair value of an award reflects the accounting expense and may not represent the actual value that will be realized.</w:t>
      </w:r>
    </w:p>
    <w:p>
      <w:pPr>
        <w:spacing w:after="0" w:line="3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were no option awards granted to the named executive officers during fiscal 2018 or fiscal 2017.</w:t>
      </w:r>
    </w:p>
    <w:p>
      <w:pPr>
        <w:spacing w:after="0" w:line="319" w:lineRule="exact"/>
        <w:rPr>
          <w:rFonts w:ascii="Arial" w:cs="Arial" w:eastAsia="Arial" w:hAnsi="Arial"/>
          <w:sz w:val="18"/>
          <w:szCs w:val="18"/>
          <w:color w:val="auto"/>
        </w:rPr>
      </w:pPr>
    </w:p>
    <w:p>
      <w:pPr>
        <w:jc w:val="both"/>
        <w:ind w:left="660" w:hanging="328"/>
        <w:spacing w:after="0" w:line="289"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2018 amounts reflect: (i) annual incentive awards equal to 110% of target cash bonuses, as adjusted by our CEO for individual performance per the discretionary provisions of our annual incentive plan; (ii) executive deferred bonuses equal to 110% of target bonus to our named executive officers (other than our CEO), as adjusted by our CEO for individual performance per the discretionary provisions of our annual incentive plan; and (iii) a cash award equal to 110% of target bonus to our CEO intended by our Compensation Committee to be an award comparable to the executive bonus award our CEO would have received had he been a participant in the executive deferred bonus award portion of our annual incentive plan for fiscal 2018. Cash bonuses earned are paid following completion of the specified fiscal year. Executive deferred bonuses are awarded based on performance during the specified fiscal year and generally vest (become payable) according to a vesting schedule established by our Compensation Committee for each fiscal year’s award. Executive deferred bonus awards awarded for fiscal 2018 performance are deferred and will be paid in full at the end of three years (July 31, 2021), provided the named executive officer is still employed by us at that time.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65" w:right="239" w:bottom="1440" w:gutter="0" w:footer="0" w:header="0"/>
        </w:sectPr>
      </w:pPr>
    </w:p>
    <w:bookmarkStart w:id="30" w:name="page31"/>
    <w:bookmarkEnd w:id="30"/>
    <w:p>
      <w:pPr>
        <w:ind w:left="660" w:hanging="328"/>
        <w:spacing w:after="0" w:line="297" w:lineRule="auto"/>
        <w:tabs>
          <w:tab w:leader="none" w:pos="59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prior year’s values in this column have been updated to exclude the change in pension value, as permitted under the scaled disclosure for SRCs. The amounts shown for Mr. Jaffee represents earnings from our executive deferred compensation plan that exceed 120% of the applicable federal rate. The amounts shown for Mr. Lewry represents earnings from our executive deferred compensation plan and the executive deferred bonus portion of our annual incentive plan that exceed 120% of the applicable federal rate. The amounts shown for Mr. McPherson represents earnings from the executive deferred bonus portion of our annual incentive plan that exceed 120% of the applicable federal rate.</w:t>
      </w:r>
    </w:p>
    <w:p>
      <w:pPr>
        <w:spacing w:after="0" w:line="158"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shown in this column for fiscal 2018 are described in the following table:</w:t>
      </w:r>
    </w:p>
    <w:p>
      <w:pPr>
        <w:spacing w:after="0" w:line="334"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All Other Compensation Table</w:t>
      </w:r>
    </w:p>
    <w:p>
      <w:pPr>
        <w:spacing w:after="0" w:line="58"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Dividends on</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Interest Earned</w:t>
            </w: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Unvested Restricted</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on Executive</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401(k) Plan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Perquisites</w:t>
            </w:r>
          </w:p>
        </w:tc>
        <w:tc>
          <w:tcPr>
            <w:tcW w:w="16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Deferred Bonus</w:t>
            </w: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Company Matching</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34"/>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592"/>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Contributions</w:t>
            </w:r>
          </w:p>
        </w:tc>
        <w:tc>
          <w:tcPr>
            <w:tcW w:w="220" w:type="dxa"/>
            <w:vAlign w:val="bottom"/>
          </w:tcPr>
          <w:p>
            <w:pPr>
              <w:spacing w:after="0"/>
              <w:rPr>
                <w:sz w:val="17"/>
                <w:szCs w:val="17"/>
                <w:color w:val="auto"/>
              </w:rPr>
            </w:pPr>
          </w:p>
        </w:tc>
        <w:tc>
          <w:tcPr>
            <w:tcW w:w="820" w:type="dxa"/>
            <w:vAlign w:val="bottom"/>
          </w:tcPr>
          <w:p>
            <w:pPr>
              <w:jc w:val="right"/>
              <w:ind w:right="274"/>
              <w:spacing w:after="0"/>
              <w:rPr>
                <w:sz w:val="20"/>
                <w:szCs w:val="20"/>
                <w:color w:val="auto"/>
              </w:rPr>
            </w:pPr>
            <w:r>
              <w:rPr>
                <w:rFonts w:ascii="Arial" w:cs="Arial" w:eastAsia="Arial" w:hAnsi="Arial"/>
                <w:sz w:val="16"/>
                <w:szCs w:val="16"/>
                <w:b w:val="1"/>
                <w:bCs w:val="1"/>
                <w:color w:val="auto"/>
              </w:rPr>
              <w:t>Total</w:t>
            </w:r>
          </w:p>
        </w:tc>
      </w:tr>
      <w:tr>
        <w:trPr>
          <w:trHeight w:val="210"/>
        </w:trPr>
        <w:tc>
          <w:tcPr>
            <w:tcW w:w="226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(A)</w:t>
            </w:r>
          </w:p>
        </w:tc>
        <w:tc>
          <w:tcPr>
            <w:tcW w:w="16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(B)</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 (D)</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582"/>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54"/>
              <w:spacing w:after="0"/>
              <w:rPr>
                <w:sz w:val="20"/>
                <w:szCs w:val="20"/>
                <w:color w:val="auto"/>
              </w:rPr>
            </w:pPr>
            <w:r>
              <w:rPr>
                <w:rFonts w:ascii="Arial" w:cs="Arial" w:eastAsia="Arial" w:hAnsi="Arial"/>
                <w:sz w:val="16"/>
                <w:szCs w:val="16"/>
                <w:b w:val="1"/>
                <w:bCs w:val="1"/>
                <w:color w:val="auto"/>
              </w:rPr>
              <w:t>($)</w:t>
            </w:r>
          </w:p>
        </w:tc>
      </w:tr>
      <w:tr>
        <w:trPr>
          <w:trHeight w:val="33"/>
        </w:trPr>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Daniel S. Jaffee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72,250</w:t>
            </w:r>
          </w:p>
        </w:tc>
      </w:tr>
      <w:tr>
        <w:trPr>
          <w:trHeight w:val="243"/>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Mark E. Lewry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6,030</w:t>
            </w:r>
          </w:p>
        </w:tc>
        <w:tc>
          <w:tcPr>
            <w:tcW w:w="120" w:type="dxa"/>
            <w:vAlign w:val="bottom"/>
          </w:tcPr>
          <w:p>
            <w:pPr>
              <w:spacing w:after="0"/>
              <w:rPr>
                <w:sz w:val="21"/>
                <w:szCs w:val="21"/>
                <w:color w:val="auto"/>
              </w:rPr>
            </w:pP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6,372</w:t>
            </w:r>
          </w:p>
        </w:tc>
        <w:tc>
          <w:tcPr>
            <w:tcW w:w="100" w:type="dxa"/>
            <w:vAlign w:val="bottom"/>
          </w:tcPr>
          <w:p>
            <w:pPr>
              <w:spacing w:after="0"/>
              <w:rPr>
                <w:sz w:val="21"/>
                <w:szCs w:val="21"/>
                <w:color w:val="auto"/>
              </w:rPr>
            </w:pPr>
          </w:p>
        </w:tc>
        <w:tc>
          <w:tcPr>
            <w:tcW w:w="800" w:type="dxa"/>
            <w:vAlign w:val="bottom"/>
          </w:tcPr>
          <w:p>
            <w:pPr>
              <w:jc w:val="right"/>
              <w:ind w:right="595"/>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2"/>
              <w:spacing w:after="0"/>
              <w:rPr>
                <w:sz w:val="20"/>
                <w:szCs w:val="20"/>
                <w:color w:val="auto"/>
              </w:rPr>
            </w:pPr>
            <w:r>
              <w:rPr>
                <w:rFonts w:ascii="Arial" w:cs="Arial" w:eastAsia="Arial" w:hAnsi="Arial"/>
                <w:sz w:val="18"/>
                <w:szCs w:val="18"/>
                <w:color w:val="auto"/>
              </w:rPr>
              <w:t>4,472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27,914</w:t>
            </w:r>
          </w:p>
        </w:tc>
      </w:tr>
      <w:tr>
        <w:trPr>
          <w:trHeight w:val="27"/>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A. McPherson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6,257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17,764</w:t>
            </w:r>
          </w:p>
        </w:tc>
      </w:tr>
      <w:tr>
        <w:trPr>
          <w:trHeight w:val="27"/>
        </w:trPr>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left="980" w:hanging="324"/>
        <w:spacing w:after="0" w:line="259"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Perquisites for the named executive officers generally consist of auto allowances, paid parking, airline executive club memberships, remote Internet access costs and periodical subscriptions. The amounts shown reflect the actual cost to us for providing these perquisites. The perquisites received by Mr. Jaffee consisted of the following, which were paid by the Company: $6,300 auto allowance and $4,225 for parking, remote Internet access and related fees, and periodical subscriptions.</w:t>
      </w:r>
    </w:p>
    <w:p>
      <w:pPr>
        <w:spacing w:after="0" w:line="321"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Amounts shown represent dividend payments on unvested shares of restricted stock held by the named executive officers that are reportable as either dividend or ordinary income.</w:t>
      </w:r>
    </w:p>
    <w:p>
      <w:pPr>
        <w:spacing w:after="0" w:line="305"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Executive deferred bonuses awarded under our annual incentive plan earn interest at a rate equal to our long-term cost of borrowing plus 1%. The amounts shown are the interest earned on all unvested executive deferred bonus awards that do not exceed 120% of the applicable federal rate, regardless of the fiscal year in which the awards were earned. For earnings that exceed 120% of the applicable federal rate, see the “Change in Nonqualified Deferred Compensation Earnings” column in the Summary Compensation Table.</w:t>
      </w:r>
    </w:p>
    <w:p>
      <w:pPr>
        <w:spacing w:after="0" w:line="306" w:lineRule="exact"/>
        <w:rPr>
          <w:rFonts w:ascii="Arial" w:cs="Arial" w:eastAsia="Arial" w:hAnsi="Arial"/>
          <w:sz w:val="17"/>
          <w:szCs w:val="17"/>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amount shown for Mr. Jaffee is zero because he has requested to not be eligible for executive deferred bonus awards.</w:t>
      </w:r>
    </w:p>
    <w:p>
      <w:pPr>
        <w:spacing w:after="0" w:line="18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McPherson participated in a special bonus program put in place in fiscal year 2014 in connection with the formation of our subsidiary in China. Mr. McPherson received a bonus in fiscal 2018 in accordance with the terms of the bonus program based upon the performance of our animal health division over the course of fiscal years 2014 through 2018. The bonus represents the sole and final payment to Mr. McPherson under the terms of such bonus program.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Narrative Disclosure to Summary Compensation Table</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Company’s NEOs’ compensation in fiscal year 2018 was comprised of base salary, an annual performance-based cash incentive award, executive deferred bonus award, retirement benefits, and health and welfare benefits and perquisites. Additionally, the Company maintains a long-term equity incentive plan.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Employment Agreements and Base Salary.</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We employ all executives at-will, without written employment agreements or a prospective severance plan. The base salaries of our NEOs are reviewed annually.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22"/>
          <w:szCs w:val="22"/>
          <w:i w:val="1"/>
          <w:iCs w:val="1"/>
          <w:color w:val="auto"/>
        </w:rPr>
        <w:t>Annual Incentive Plan.</w:t>
      </w:r>
    </w:p>
    <w:p>
      <w:pPr>
        <w:spacing w:after="0" w:line="26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Company’s annual incentive plan is comprised of opportunities for performance-based cash incentive awards and executive deferred bonus awards (with the latter available for senior managers, including the Company’s executive officers).</w:t>
      </w:r>
    </w:p>
    <w:p>
      <w:pPr>
        <w:spacing w:after="0" w:line="14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At the beginning of each fiscal year, our CEO presents to our Compensation Committee his proposal for the annual performance measures that will determine the calculation of the performance-based cash incentive award for that year, along with specific performance targets and payout ranges. Our Compensation Committee has the general authority to review and determine the reasonableness of the performance measures, targets and payout ranges (and any changes thereto) as they relate to the total compensation of our executive officers. If we do not fully achieve our corporate financial performance target but meet certain financial performance thresholds, a bonus of less than 100% of target bonus may be paid. If we exceed our corporate financial performance target, bonuses above 100% of target may be paid; however, no employee can receive a bonus greater than 200% of target under this plan. Non-exempt employees would earn 100% of target bonus at the threshold level and at the other applicable levels.</w:t>
      </w: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performance measure under the annual incentive plan for fiscal 2018 was our adjusted pre-tax, pre-bonus income as compared with our fiscal 2018 adjusted corporate budget. Our fiscal 2018 corporate financial performance met the threshold for payment of a performance-based cash incentive award and exceeded the target achievement level approved by the Compensation Committee. Our adjusted, pre-tax, pre-bonus income resulted in payment of cash incentive awards equal to 110% of target bonus, as adjusted by our CEO for individual performance per the discretionary provisions of our annual incentive plan.</w:t>
      </w:r>
    </w:p>
    <w:p>
      <w:pPr>
        <w:spacing w:after="0" w:line="18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Our annual incentive plan also provides the opportunity for our senior managers, including our executive officers, to earn an executive deferred bonus award. Our fiscal 2018 corporate financial performance also met the threshold level for earning executive deferred bonus awards and exceeded the approved target achievement level. Our adjusted, pre-tax, pre-bonus income resulted in executive deferred bonus awards to our executive officers (other than our CEO, who has elected not to participate in the executive deferred bonus award portion of the Company’s annual incentive plan) for fiscal year 2018 at 110% of target bonus. Executive deferred bonus awards awarded for fiscal 2018 performance are deferred and will be paid in full at the end of three years (July 31, 2021), provided the named executive officer is still employed by us at that time.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Equity Incentive Awards.</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During fiscal 2018, none of our named executive officers received an equity incentive award under the terms of the Oil-Dri Corporation of America 2006 Long Term Incentive Plan (the “Long Term Incentive Plan”).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Retirement and Other Benefits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We provide to our executives a defined benefit pension plan and supplemental executive retirement plan, as described below, as well as a defined contribution retirement plan. Additionally, we provide health and welfare benefits, including medical and dental coverage and life and long-term disability insurance, which are available to our executive officers on the same terms as they are available to other employees. We provide limited perquisites to the NEOs to assist them in carrying out their duties. As noted in the “All Other Compensation” column of the Summary Compensation Table, these perquisites may include a car allowance and paid parking.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80" w:right="239" w:bottom="1440" w:gutter="0" w:footer="0" w:header="0"/>
        </w:sectPr>
      </w:pPr>
    </w:p>
    <w:bookmarkStart w:id="32" w:name="page33"/>
    <w:bookmarkEnd w:id="32"/>
    <w:p>
      <w:pPr>
        <w:spacing w:after="0"/>
        <w:rPr>
          <w:sz w:val="20"/>
          <w:szCs w:val="20"/>
          <w:color w:val="auto"/>
        </w:rPr>
      </w:pPr>
      <w:r>
        <w:rPr>
          <w:rFonts w:ascii="Arial" w:cs="Arial" w:eastAsia="Arial" w:hAnsi="Arial"/>
          <w:sz w:val="22"/>
          <w:szCs w:val="22"/>
          <w:i w:val="1"/>
          <w:iCs w:val="1"/>
          <w:color w:val="auto"/>
        </w:rPr>
        <w:t>Compensation Updates Following the 2018 Fiscal Year End</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From time to time, the Compensation Committee has engaged a compensation consultant in connection with its compensation decisions. At the end of fiscal 2018, the Compensation Committee engaged Semler Brossy to advise the Committee and provide surveys and other information with respect to the compensation of the Company’s CEO. Semler Brossy assisted the Compensation Committee in benchmarking chief executive officer compensation for a peer group of companies comparable to Oil-Dri Corporation of America and assessing the reasonableness and value of an additional equity award (described below).</w:t>
      </w:r>
    </w:p>
    <w:p>
      <w:pPr>
        <w:spacing w:after="0" w:line="1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Following this review and in keeping with the Company’s compensation philosophy of providing compensation packages that attract, retain and motivate the people we need to carry out our strategic plan, mission, goals and values, the Compensation Committee undertook the actions described in the paragraphs below.</w:t>
      </w:r>
    </w:p>
    <w:p>
      <w:pPr>
        <w:spacing w:after="0" w:line="14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Although as in past years, our CEO chose not to be a participant in the executive deferred bonus award portion of our annual incentive plan for 2018, following the 2018 fiscal year end, our Compensation Committee considered the dollar value of an executive deferred bonus award that the CEO would have received had he been a participant in that portion of our annual incentive plan as a reference in awarding him a cash award equal to 110% of target bonus in order to provide him with a comparable award. The award fulfills the intention of the Compensation Committee to grant Mr. Jaffee an award equal to the executive deferred bonus award that he would have received had he not chosen to be excluded from that portion of our annual incentive plan for fiscal 2018.</w:t>
      </w:r>
    </w:p>
    <w:p>
      <w:pPr>
        <w:spacing w:after="0" w:line="1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Following the 2018 fiscal year end, our Compensation Committee made a multi-year equity incentive award of 125,000 restricted shares of Class B Stock to our CEO under the terms of our Long Term Incentive Plan. The restricted shares will vest in 25,000 share increments over five years starting on October 19, 2021, provided that Mr. Jaffee is employed by the Company on the vesting dates. Mr. Jaffee received similar sized multi-year awards in 2010 and in 2015. The final shares of the 2015 award vest on October 19, 2020. Under the terms of this grant, if Mr. Jaffee’s employment is terminated before the restricted shares vest (other than due to his death, disability, or termination without cause or his termination of his employment for good reason), the restricted shares will be forfeited. Because this award was granted in fiscal 2019, it is not reflected in the Summary Compensation table above for fiscal 2018.</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Outstanding Equity Awards at Fiscal 2018 Year End</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following table provides information on the unvested restricted stock held by the named executive officers as of July 31, 2018. None of the named executive officers held any unexercised stock options as of July 31, 2018.</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540" w:type="dxa"/>
            <w:vAlign w:val="bottom"/>
            <w:gridSpan w:val="3"/>
          </w:tcPr>
          <w:p>
            <w:pPr>
              <w:jc w:val="right"/>
              <w:ind w:right="232"/>
              <w:spacing w:after="0"/>
              <w:rPr>
                <w:sz w:val="20"/>
                <w:szCs w:val="20"/>
                <w:color w:val="auto"/>
              </w:rPr>
            </w:pPr>
            <w:r>
              <w:rPr>
                <w:rFonts w:ascii="Arial" w:cs="Arial" w:eastAsia="Arial" w:hAnsi="Arial"/>
                <w:sz w:val="18"/>
                <w:szCs w:val="18"/>
                <w:b w:val="1"/>
                <w:bCs w:val="1"/>
                <w:color w:val="auto"/>
              </w:rPr>
              <w:t>Stock Awards</w:t>
            </w:r>
          </w:p>
        </w:tc>
        <w:tc>
          <w:tcPr>
            <w:tcW w:w="260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Market Value of Shares or Units of Stock That</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2"/>
              </w:rPr>
              <w:t>Number of Shares or Units of Stock That Have</w:t>
            </w:r>
          </w:p>
        </w:tc>
        <w:tc>
          <w:tcPr>
            <w:tcW w:w="820" w:type="dxa"/>
            <w:vAlign w:val="bottom"/>
          </w:tcPr>
          <w:p>
            <w:pPr>
              <w:spacing w:after="0"/>
              <w:rPr>
                <w:sz w:val="17"/>
                <w:szCs w:val="17"/>
                <w:color w:val="auto"/>
              </w:rPr>
            </w:pPr>
          </w:p>
        </w:tc>
        <w:tc>
          <w:tcPr>
            <w:tcW w:w="2600" w:type="dxa"/>
            <w:vAlign w:val="bottom"/>
          </w:tcPr>
          <w:p>
            <w:pPr>
              <w:jc w:val="center"/>
              <w:ind w:right="734"/>
              <w:spacing w:after="0"/>
              <w:rPr>
                <w:sz w:val="20"/>
                <w:szCs w:val="20"/>
                <w:color w:val="auto"/>
              </w:rPr>
            </w:pPr>
            <w:r>
              <w:rPr>
                <w:rFonts w:ascii="Arial" w:cs="Arial" w:eastAsia="Arial" w:hAnsi="Arial"/>
                <w:sz w:val="16"/>
                <w:szCs w:val="16"/>
                <w:b w:val="1"/>
                <w:bCs w:val="1"/>
                <w:color w:val="auto"/>
                <w:w w:val="90"/>
              </w:rPr>
              <w:t>Have Not Vested</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jc w:val="center"/>
              <w:ind w:left="554"/>
              <w:spacing w:after="0"/>
              <w:rPr>
                <w:sz w:val="20"/>
                <w:szCs w:val="20"/>
                <w:color w:val="auto"/>
              </w:rPr>
            </w:pPr>
            <w:r>
              <w:rPr>
                <w:rFonts w:ascii="Arial" w:cs="Arial" w:eastAsia="Arial" w:hAnsi="Arial"/>
                <w:sz w:val="16"/>
                <w:szCs w:val="16"/>
                <w:b w:val="1"/>
                <w:bCs w:val="1"/>
                <w:color w:val="auto"/>
                <w:w w:val="90"/>
              </w:rPr>
              <w:t>Not Vested</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0" w:type="dxa"/>
            <w:vAlign w:val="bottom"/>
          </w:tcPr>
          <w:p>
            <w:pPr>
              <w:jc w:val="center"/>
              <w:ind w:right="734"/>
              <w:spacing w:after="0"/>
              <w:rPr>
                <w:sz w:val="20"/>
                <w:szCs w:val="20"/>
                <w:color w:val="auto"/>
              </w:rPr>
            </w:pPr>
            <w:r>
              <w:rPr>
                <w:rFonts w:ascii="Arial" w:cs="Arial" w:eastAsia="Arial" w:hAnsi="Arial"/>
                <w:sz w:val="16"/>
                <w:szCs w:val="16"/>
                <w:b w:val="1"/>
                <w:bCs w:val="1"/>
                <w:color w:val="auto"/>
                <w:w w:val="91"/>
              </w:rPr>
              <w:t>($)</w:t>
            </w:r>
          </w:p>
        </w:tc>
      </w:tr>
      <w:tr>
        <w:trPr>
          <w:trHeight w:val="210"/>
        </w:trPr>
        <w:tc>
          <w:tcPr>
            <w:tcW w:w="448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2800" w:type="dxa"/>
            <w:vAlign w:val="bottom"/>
          </w:tcPr>
          <w:p>
            <w:pPr>
              <w:jc w:val="center"/>
              <w:ind w:left="554"/>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0" w:type="dxa"/>
            <w:vAlign w:val="bottom"/>
          </w:tcPr>
          <w:p>
            <w:pPr>
              <w:jc w:val="center"/>
              <w:ind w:right="734"/>
              <w:spacing w:after="0"/>
              <w:rPr>
                <w:sz w:val="20"/>
                <w:szCs w:val="20"/>
                <w:color w:val="auto"/>
              </w:rPr>
            </w:pPr>
            <w:r>
              <w:rPr>
                <w:rFonts w:ascii="Arial" w:cs="Arial" w:eastAsia="Arial" w:hAnsi="Arial"/>
                <w:sz w:val="16"/>
                <w:szCs w:val="16"/>
                <w:b w:val="1"/>
                <w:bCs w:val="1"/>
                <w:color w:val="auto"/>
                <w:w w:val="91"/>
              </w:rPr>
              <w:t>(1)</w:t>
            </w:r>
          </w:p>
        </w:tc>
      </w:tr>
      <w:tr>
        <w:trPr>
          <w:trHeight w:val="33"/>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S. Jaffee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3,177,000</w:t>
            </w:r>
          </w:p>
        </w:tc>
      </w:tr>
      <w:tr>
        <w:trPr>
          <w:trHeight w:val="270"/>
        </w:trPr>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E. Lewry</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508,320</w:t>
            </w:r>
          </w:p>
        </w:tc>
      </w:tr>
      <w:tr>
        <w:trPr>
          <w:trHeight w:val="32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A. McPherson</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169,440</w:t>
            </w:r>
          </w:p>
        </w:tc>
      </w:tr>
      <w:tr>
        <w:trPr>
          <w:trHeight w:val="459"/>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jc w:val="right"/>
              <w:ind w:right="1394"/>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ectPr>
          <w:pgSz w:w="11900" w:h="16838" w:orient="portrait"/>
          <w:cols w:equalWidth="0" w:num="1">
            <w:col w:w="11420"/>
          </w:cols>
          <w:pgMar w:left="240" w:top="780" w:right="239" w:bottom="1440" w:gutter="0" w:footer="0" w:header="0"/>
        </w:sectPr>
      </w:pPr>
    </w:p>
    <w:bookmarkStart w:id="33" w:name="page34"/>
    <w:bookmarkEnd w:id="33"/>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value of our Class B Stock and Common Stock has been calculated using the closing sale price of our Common Stock on July 31, 2018, the last trading day of fiscal 2018, which was $42.36.</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Restricted shares of Class B Stock that vest in 25,000 share increments subject to performance restrictions no earlier than on each of the five subsequent anniversaries of October 19, 2015.</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Restricted shares of Common Stock that are scheduled to “cliff” vest on April 7, 2019.</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Restricted shares of Common Stock that are scheduled to “cliff” vest on October 19, 2020.</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Pension Benefits for Fiscal 2018</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Defined Benefit Pension Plan.</w:t>
      </w:r>
    </w:p>
    <w:p>
      <w:pPr>
        <w:spacing w:after="0" w:line="17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All U.S.-based employees participate in our non-contributory, tax-qualified, defined benefit pension plan commencing on the first February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or August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that follows the date when an employee achieves one year of service and age 21. For salaried employees, including the named executive officers, the pension plan provides for pensions based on credited years of service (capped at 30 years) and Final Average Compensation.</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normal form of benefit is a life annuity with five years certain, payable at normal retirement age. The standard form of payment for a participant who is married is a 50% joint and survivor annuity. Other forms of benefit are available. Each form of benefit has approximately the same relative value. The formula for computation of the normal form of benefit is: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2260" w:type="dxa"/>
            <w:vAlign w:val="bottom"/>
          </w:tcPr>
          <w:p>
            <w:pPr>
              <w:jc w:val="center"/>
              <w:ind w:right="32"/>
              <w:spacing w:after="0"/>
              <w:rPr>
                <w:sz w:val="20"/>
                <w:szCs w:val="20"/>
                <w:color w:val="auto"/>
              </w:rPr>
            </w:pPr>
            <w:r>
              <w:rPr>
                <w:rFonts w:ascii="Arial" w:cs="Arial" w:eastAsia="Arial" w:hAnsi="Arial"/>
                <w:sz w:val="22"/>
                <w:szCs w:val="22"/>
                <w:color w:val="auto"/>
                <w:w w:val="89"/>
              </w:rPr>
              <w:t>(0.55% of Final Average</w:t>
            </w: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4400" w:type="dxa"/>
            <w:vAlign w:val="bottom"/>
          </w:tcPr>
          <w:p>
            <w:pPr>
              <w:jc w:val="center"/>
              <w:spacing w:after="0"/>
              <w:rPr>
                <w:sz w:val="20"/>
                <w:szCs w:val="20"/>
                <w:color w:val="auto"/>
              </w:rPr>
            </w:pPr>
            <w:r>
              <w:rPr>
                <w:rFonts w:ascii="Arial" w:cs="Arial" w:eastAsia="Arial" w:hAnsi="Arial"/>
                <w:sz w:val="22"/>
                <w:szCs w:val="22"/>
                <w:color w:val="auto"/>
                <w:w w:val="89"/>
              </w:rPr>
              <w:t>(0.55% of Final Average Compensation that</w:t>
            </w:r>
          </w:p>
        </w:tc>
        <w:tc>
          <w:tcPr>
            <w:tcW w:w="2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1520" w:type="dxa"/>
            <w:vAlign w:val="bottom"/>
          </w:tcPr>
          <w:p>
            <w:pPr>
              <w:jc w:val="center"/>
              <w:spacing w:after="0"/>
              <w:rPr>
                <w:sz w:val="20"/>
                <w:szCs w:val="20"/>
                <w:color w:val="auto"/>
              </w:rPr>
            </w:pPr>
            <w:r>
              <w:rPr>
                <w:rFonts w:ascii="Arial" w:cs="Arial" w:eastAsia="Arial" w:hAnsi="Arial"/>
                <w:sz w:val="22"/>
                <w:szCs w:val="22"/>
                <w:color w:val="auto"/>
                <w:w w:val="87"/>
              </w:rPr>
              <w:t>Years of</w:t>
            </w:r>
          </w:p>
        </w:tc>
        <w:tc>
          <w:tcPr>
            <w:tcW w:w="0" w:type="dxa"/>
            <w:vAlign w:val="bottom"/>
          </w:tcPr>
          <w:p>
            <w:pPr>
              <w:spacing w:after="0"/>
              <w:rPr>
                <w:sz w:val="1"/>
                <w:szCs w:val="1"/>
                <w:color w:val="auto"/>
              </w:rPr>
            </w:pPr>
          </w:p>
        </w:tc>
      </w:tr>
      <w:tr>
        <w:trPr>
          <w:trHeight w:val="275"/>
        </w:trPr>
        <w:tc>
          <w:tcPr>
            <w:tcW w:w="2260" w:type="dxa"/>
            <w:vAlign w:val="bottom"/>
          </w:tcPr>
          <w:p>
            <w:pPr>
              <w:jc w:val="center"/>
              <w:ind w:right="32"/>
              <w:spacing w:after="0"/>
              <w:rPr>
                <w:sz w:val="20"/>
                <w:szCs w:val="20"/>
                <w:color w:val="auto"/>
              </w:rPr>
            </w:pPr>
            <w:r>
              <w:rPr>
                <w:rFonts w:ascii="Arial" w:cs="Arial" w:eastAsia="Arial" w:hAnsi="Arial"/>
                <w:sz w:val="22"/>
                <w:szCs w:val="22"/>
                <w:color w:val="auto"/>
                <w:w w:val="88"/>
              </w:rPr>
              <w:t>Compensation)</w:t>
            </w:r>
          </w:p>
        </w:tc>
        <w:tc>
          <w:tcPr>
            <w:tcW w:w="340" w:type="dxa"/>
            <w:vAlign w:val="bottom"/>
            <w:vMerge w:val="continue"/>
          </w:tcPr>
          <w:p>
            <w:pPr>
              <w:spacing w:after="0"/>
              <w:rPr>
                <w:sz w:val="23"/>
                <w:szCs w:val="23"/>
                <w:color w:val="auto"/>
              </w:rPr>
            </w:pPr>
          </w:p>
        </w:tc>
        <w:tc>
          <w:tcPr>
            <w:tcW w:w="4400" w:type="dxa"/>
            <w:vAlign w:val="bottom"/>
          </w:tcPr>
          <w:p>
            <w:pPr>
              <w:jc w:val="center"/>
              <w:spacing w:after="0"/>
              <w:rPr>
                <w:sz w:val="20"/>
                <w:szCs w:val="20"/>
                <w:color w:val="auto"/>
              </w:rPr>
            </w:pPr>
            <w:r>
              <w:rPr>
                <w:rFonts w:ascii="Arial" w:cs="Arial" w:eastAsia="Arial" w:hAnsi="Arial"/>
                <w:sz w:val="22"/>
                <w:szCs w:val="22"/>
                <w:color w:val="auto"/>
                <w:w w:val="87"/>
              </w:rPr>
              <w:t>exceeds Social Security Covered Compensation)</w:t>
            </w:r>
          </w:p>
        </w:tc>
        <w:tc>
          <w:tcPr>
            <w:tcW w:w="280" w:type="dxa"/>
            <w:vAlign w:val="bottom"/>
            <w:vMerge w:val="continue"/>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22"/>
                <w:szCs w:val="22"/>
                <w:color w:val="auto"/>
                <w:w w:val="88"/>
              </w:rPr>
              <w:t>Credited Service</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Final Average Compensation is the monthly average of the participant’s compensation paid during the highest paid consecutive five years during the last 10 years of employment. Compensation for pension plan purposes consists of certain cash compensation, principally base salary and commissions. Social Security Covered Compensation is the average of the taxable wage bases in effect for each calendar year in the 35-year period ending with the year the participant attains Social Security retirement age.</w:t>
      </w:r>
    </w:p>
    <w:p>
      <w:pPr>
        <w:spacing w:after="0" w:line="1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participant’s right to an accrued benefit becomes non-forfeitable after five years of vesting service. Normal retirement age under the plan is age 65, or the age of the participant when he or she completes five years of vesting service, if later. Salaried participants who have 10 years of service can receive actuarially reduced early retirement benefits as early as age 55. The present value of the accumulated benefit is the same regardless of whether a participant begins to receive benefits at age 65 or at an earlier age. We do not subsidize early retirement benefits.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 married participant with a non-forfeitable benefit dies prior to commencement of benefit payments, the participant’s spouse will be entitled to a survivor annuity equal to the amount the spouse would have been entitled to receive under a 50% joint and survivor annuity.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SERP.</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Our SERP provides benefits that would have been provided under our pension plan absent Code limitations on benefits and on compensation for purposes of calculating benefits, offset by the actual pension benefits. All employees whose pension plan benefits are limited by those Code limitations may participate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49" w:right="239" w:bottom="1440" w:gutter="0" w:footer="0" w:header="0"/>
        </w:sectPr>
      </w:pPr>
    </w:p>
    <w:bookmarkStart w:id="34" w:name="page35"/>
    <w:bookmarkEnd w:id="34"/>
    <w:p>
      <w:pPr>
        <w:jc w:val="both"/>
        <w:spacing w:after="0" w:line="297" w:lineRule="auto"/>
        <w:rPr>
          <w:sz w:val="20"/>
          <w:szCs w:val="20"/>
          <w:color w:val="auto"/>
        </w:rPr>
      </w:pPr>
      <w:r>
        <w:rPr>
          <w:rFonts w:ascii="Arial" w:cs="Arial" w:eastAsia="Arial" w:hAnsi="Arial"/>
          <w:sz w:val="19"/>
          <w:szCs w:val="19"/>
          <w:color w:val="auto"/>
        </w:rPr>
        <w:t>in the SERP. Daniel S. Jaffee, our CEO, and Mark E. Lewry, our COO, were the only participants in fiscal 2018; however, Mr. Lewry will not be vested in the plan until March 31, 2019. Benefits provided under the SERP are paid in five equal annual installments beginning six months after the participant’s separation from service; however, if upon termination of employment the present value of the participant’s accumulated benefits does not exceed $50,000, payment will be made in a lump sum, as soon as administratively feasible after the first day of the calendar month that follows six months of separation from service.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Nonqualified Deferred Compensation for Fiscal 2018</w:t>
      </w:r>
    </w:p>
    <w:p>
      <w:pPr>
        <w:spacing w:after="0" w:line="20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We provide an executive deferred compensation plan in which all executive officers and other senior managers are eligible to participate. Participating executives may defer up to 50% of base salary and 100% of annual cash incentive bonus into the plan. The Company makes no contributions. Executives’ deferrals earn interest at a rate equal to our long-term cost of borrowing plus 1%. Participants are entitled to receive a distribution from their account balances at the earlier of the end of their elected deferral period or upon death or termination of employment prior to age 55. Accounts are distributed in a single lump sum, or in certain circumstances, annual installments over a period of up to 15 years as elected by the participant. In the event of an unforeseen emergency, a participant may apply to the administrative committee of the plan for payment of an amount from the participant’s account balance sufficient to satisfy the emergency need. The plan will terminate upon a change in control of the Company. Immediately prior to such a change in control, or as soon as possible following a change in control, each participant will be paid his account balance. Our executive deferred compensation plan is unfunded and subject to the claims of our creditors.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Benefits upon Termination or Change in Control</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w:t>
      </w:r>
    </w:p>
    <w:p>
      <w:pPr>
        <w:spacing w:after="0" w:line="14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We do not have a prospective severance plan that covers any of the named executive officers and generally have no employment or prospective severance agreements with the named executive officers.</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Our only other provisions for benefits upon termination of employment or change in control are in existing compensation plans and apply to all participants in those plans.</w:t>
      </w:r>
    </w:p>
    <w:p>
      <w:pPr>
        <w:spacing w:after="0" w:line="148" w:lineRule="exact"/>
        <w:rPr>
          <w:sz w:val="20"/>
          <w:szCs w:val="20"/>
          <w:color w:val="auto"/>
        </w:rPr>
      </w:pPr>
    </w:p>
    <w:p>
      <w:pPr>
        <w:jc w:val="both"/>
        <w:ind w:left="980" w:hanging="324"/>
        <w:spacing w:after="0" w:line="310" w:lineRule="auto"/>
        <w:tabs>
          <w:tab w:leader="none" w:pos="980" w:val="left"/>
        </w:tabs>
        <w:numPr>
          <w:ilvl w:val="0"/>
          <w:numId w:val="42"/>
        </w:numPr>
        <w:rPr>
          <w:rFonts w:ascii="Arial" w:cs="Arial" w:eastAsia="Arial" w:hAnsi="Arial"/>
          <w:sz w:val="23"/>
          <w:szCs w:val="23"/>
          <w:color w:val="auto"/>
        </w:rPr>
      </w:pPr>
      <w:r>
        <w:rPr>
          <w:rFonts w:ascii="Arial" w:cs="Arial" w:eastAsia="Arial" w:hAnsi="Arial"/>
          <w:sz w:val="20"/>
          <w:szCs w:val="20"/>
          <w:color w:val="auto"/>
        </w:rPr>
        <w:t>Our annual incentive plan provides for immediate vesting, as allowed by law, of a participant’s executive deferred bonus award account upon the participant’s death, disability, or change in control of the Company. Upon retirement, a participant’s executive deferred bonus award account shall become immediately vested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w:t>
      </w:r>
    </w:p>
    <w:p>
      <w:pPr>
        <w:spacing w:after="0" w:line="131" w:lineRule="exact"/>
        <w:rPr>
          <w:rFonts w:ascii="Arial" w:cs="Arial" w:eastAsia="Arial" w:hAnsi="Arial"/>
          <w:sz w:val="23"/>
          <w:szCs w:val="23"/>
          <w:color w:val="auto"/>
        </w:rPr>
      </w:pPr>
    </w:p>
    <w:p>
      <w:pPr>
        <w:jc w:val="both"/>
        <w:ind w:left="980" w:hanging="324"/>
        <w:spacing w:after="0" w:line="310" w:lineRule="auto"/>
        <w:tabs>
          <w:tab w:leader="none" w:pos="980" w:val="left"/>
        </w:tabs>
        <w:numPr>
          <w:ilvl w:val="0"/>
          <w:numId w:val="42"/>
        </w:numPr>
        <w:rPr>
          <w:rFonts w:ascii="Arial" w:cs="Arial" w:eastAsia="Arial" w:hAnsi="Arial"/>
          <w:sz w:val="23"/>
          <w:szCs w:val="23"/>
          <w:color w:val="auto"/>
        </w:rPr>
      </w:pPr>
      <w:r>
        <w:rPr>
          <w:rFonts w:ascii="Arial" w:cs="Arial" w:eastAsia="Arial" w:hAnsi="Arial"/>
          <w:sz w:val="20"/>
          <w:szCs w:val="20"/>
          <w:color w:val="auto"/>
        </w:rPr>
        <w:t>Our Incentive Plan and the agreements issued under it provide for immediate vesting of restricted stock and immediate vesting and exercisability of stock options upon a participant’s death, disability or a change in control of the Company. Upon retirement, all stock options become immediately vested and exercisable if the following conditions are met: (i) the participant’s age plus years of service is equal to or greater than 80, (ii) the participant is eligible for an immediate benefit from the Company’s pension plan and (iii) there is reasonable anticipation of no further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80" w:right="239" w:bottom="1440" w:gutter="0" w:footer="0" w:header="0"/>
        </w:sectPr>
      </w:pPr>
    </w:p>
    <w:bookmarkStart w:id="35" w:name="page36"/>
    <w:bookmarkEnd w:id="35"/>
    <w:p>
      <w:pPr>
        <w:jc w:val="both"/>
        <w:ind w:left="980"/>
        <w:spacing w:after="0" w:line="271" w:lineRule="auto"/>
        <w:rPr>
          <w:sz w:val="20"/>
          <w:szCs w:val="20"/>
          <w:color w:val="auto"/>
        </w:rPr>
      </w:pPr>
      <w:r>
        <w:rPr>
          <w:rFonts w:ascii="Arial" w:cs="Arial" w:eastAsia="Arial" w:hAnsi="Arial"/>
          <w:sz w:val="21"/>
          <w:szCs w:val="21"/>
          <w:color w:val="auto"/>
        </w:rPr>
        <w:t>services or services of less than 20% of the participant’s pre-retirement level to the Company. Upon any of these termination events, the participant, or his beneficiary in the case of the participant’s death, may exercise any outstanding stock options for a period of three years or until their expiration dates, whichever occurs first.</w:t>
      </w:r>
    </w:p>
    <w:p>
      <w:pPr>
        <w:spacing w:after="0" w:line="1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table below does not include amounts payable to the named executive officers under plans that are generally available on the same basis to all of our salaried employees, such as payments under the pension plan, the 401(k) plan, the life insurance plan, the disability insurance plan and payment of prorated annual incentive compensation. For information regarding pension plan benefits see “Pension Benefits for Fiscal 2018” above.</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table also does not include balances under our executive deferred compensation plan. Those balances and the circumstances under which the named executive officers may receive distributions from that plan are disclosed in the Nonqualified Deferred Compensation Table and the introduction to that table.</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noted, the amounts shown assume that each named executive officer’s employment terminated on July 31, 2018, the last day of our most recently completed fiscal year, and when applicable, the closing sale price of our Common Stock on July 31, 2018, the last trading day of fiscal 2018, which was $42.36.</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40" w:type="dxa"/>
            <w:vAlign w:val="bottom"/>
            <w:gridSpan w:val="3"/>
          </w:tcPr>
          <w:p>
            <w:pPr>
              <w:jc w:val="center"/>
              <w:ind w:right="340"/>
              <w:spacing w:after="0"/>
              <w:rPr>
                <w:sz w:val="20"/>
                <w:szCs w:val="20"/>
                <w:color w:val="auto"/>
              </w:rPr>
            </w:pPr>
            <w:r>
              <w:rPr>
                <w:rFonts w:ascii="Arial" w:cs="Arial" w:eastAsia="Arial" w:hAnsi="Arial"/>
                <w:sz w:val="22"/>
                <w:szCs w:val="22"/>
                <w:b w:val="1"/>
                <w:bCs w:val="1"/>
                <w:color w:val="auto"/>
                <w:w w:val="90"/>
              </w:rPr>
              <w:t>Annual Incentive Plan</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gridSpan w:val="2"/>
          </w:tcPr>
          <w:p>
            <w:pPr>
              <w:jc w:val="center"/>
              <w:ind w:right="620"/>
              <w:spacing w:after="0" w:line="243" w:lineRule="exact"/>
              <w:rPr>
                <w:sz w:val="20"/>
                <w:szCs w:val="20"/>
                <w:color w:val="auto"/>
              </w:rPr>
            </w:pPr>
            <w:r>
              <w:rPr>
                <w:rFonts w:ascii="Arial" w:cs="Arial" w:eastAsia="Arial" w:hAnsi="Arial"/>
                <w:sz w:val="22"/>
                <w:szCs w:val="22"/>
                <w:b w:val="1"/>
                <w:bCs w:val="1"/>
                <w:color w:val="auto"/>
                <w:w w:val="88"/>
              </w:rPr>
              <w:t>Deferred Bonus</w:t>
            </w:r>
          </w:p>
        </w:tc>
        <w:tc>
          <w:tcPr>
            <w:tcW w:w="200" w:type="dxa"/>
            <w:vAlign w:val="bottom"/>
          </w:tcPr>
          <w:p>
            <w:pPr>
              <w:spacing w:after="0"/>
              <w:rPr>
                <w:sz w:val="21"/>
                <w:szCs w:val="21"/>
                <w:color w:val="auto"/>
              </w:rPr>
            </w:pPr>
          </w:p>
        </w:tc>
        <w:tc>
          <w:tcPr>
            <w:tcW w:w="2200" w:type="dxa"/>
            <w:vAlign w:val="bottom"/>
            <w:gridSpan w:val="2"/>
          </w:tcPr>
          <w:p>
            <w:pPr>
              <w:jc w:val="center"/>
              <w:ind w:right="520"/>
              <w:spacing w:after="0" w:line="243" w:lineRule="exact"/>
              <w:rPr>
                <w:sz w:val="20"/>
                <w:szCs w:val="20"/>
                <w:color w:val="auto"/>
              </w:rPr>
            </w:pPr>
            <w:r>
              <w:rPr>
                <w:rFonts w:ascii="Arial" w:cs="Arial" w:eastAsia="Arial" w:hAnsi="Arial"/>
                <w:sz w:val="22"/>
                <w:szCs w:val="22"/>
                <w:b w:val="1"/>
                <w:bCs w:val="1"/>
                <w:color w:val="auto"/>
                <w:w w:val="90"/>
              </w:rPr>
              <w:t>2006 Long Term</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gridSpan w:val="2"/>
          </w:tcPr>
          <w:p>
            <w:pPr>
              <w:jc w:val="center"/>
              <w:ind w:right="600"/>
              <w:spacing w:after="0" w:line="243" w:lineRule="exact"/>
              <w:rPr>
                <w:sz w:val="20"/>
                <w:szCs w:val="20"/>
                <w:color w:val="auto"/>
              </w:rPr>
            </w:pPr>
            <w:r>
              <w:rPr>
                <w:rFonts w:ascii="Arial" w:cs="Arial" w:eastAsia="Arial" w:hAnsi="Arial"/>
                <w:sz w:val="22"/>
                <w:szCs w:val="22"/>
                <w:b w:val="1"/>
                <w:bCs w:val="1"/>
                <w:color w:val="auto"/>
                <w:w w:val="86"/>
              </w:rPr>
              <w:t>Account</w:t>
            </w:r>
          </w:p>
        </w:tc>
        <w:tc>
          <w:tcPr>
            <w:tcW w:w="200" w:type="dxa"/>
            <w:vAlign w:val="bottom"/>
          </w:tcPr>
          <w:p>
            <w:pPr>
              <w:spacing w:after="0"/>
              <w:rPr>
                <w:sz w:val="21"/>
                <w:szCs w:val="21"/>
                <w:color w:val="auto"/>
              </w:rPr>
            </w:pPr>
          </w:p>
        </w:tc>
        <w:tc>
          <w:tcPr>
            <w:tcW w:w="2200" w:type="dxa"/>
            <w:vAlign w:val="bottom"/>
            <w:gridSpan w:val="2"/>
          </w:tcPr>
          <w:p>
            <w:pPr>
              <w:jc w:val="center"/>
              <w:ind w:right="520"/>
              <w:spacing w:after="0" w:line="243" w:lineRule="exact"/>
              <w:rPr>
                <w:sz w:val="20"/>
                <w:szCs w:val="20"/>
                <w:color w:val="auto"/>
              </w:rPr>
            </w:pPr>
            <w:r>
              <w:rPr>
                <w:rFonts w:ascii="Arial" w:cs="Arial" w:eastAsia="Arial" w:hAnsi="Arial"/>
                <w:sz w:val="22"/>
                <w:szCs w:val="22"/>
                <w:b w:val="1"/>
                <w:bCs w:val="1"/>
                <w:color w:val="auto"/>
                <w:w w:val="89"/>
              </w:rPr>
              <w:t>Incentive Plan</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tcPr>
          <w:p>
            <w:pPr>
              <w:jc w:val="center"/>
              <w:ind w:right="172"/>
              <w:spacing w:after="0" w:line="243" w:lineRule="exact"/>
              <w:rPr>
                <w:sz w:val="20"/>
                <w:szCs w:val="20"/>
                <w:color w:val="auto"/>
              </w:rPr>
            </w:pPr>
            <w:r>
              <w:rPr>
                <w:rFonts w:ascii="Arial" w:cs="Arial" w:eastAsia="Arial" w:hAnsi="Arial"/>
                <w:sz w:val="22"/>
                <w:szCs w:val="22"/>
                <w:b w:val="1"/>
                <w:bCs w:val="1"/>
                <w:color w:val="auto"/>
                <w:w w:val="96"/>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center"/>
              <w:ind w:right="92"/>
              <w:spacing w:after="0" w:line="243" w:lineRule="exact"/>
              <w:rPr>
                <w:sz w:val="20"/>
                <w:szCs w:val="20"/>
                <w:color w:val="auto"/>
              </w:rPr>
            </w:pPr>
            <w:r>
              <w:rPr>
                <w:rFonts w:ascii="Arial" w:cs="Arial" w:eastAsia="Arial" w:hAnsi="Arial"/>
                <w:sz w:val="22"/>
                <w:szCs w:val="22"/>
                <w:b w:val="1"/>
                <w:bCs w:val="1"/>
                <w:color w:val="auto"/>
                <w:w w:val="96"/>
              </w:rPr>
              <w:t>($)</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512"/>
              <w:spacing w:after="0" w:line="243" w:lineRule="exact"/>
              <w:rPr>
                <w:sz w:val="20"/>
                <w:szCs w:val="20"/>
                <w:color w:val="auto"/>
              </w:rPr>
            </w:pPr>
            <w:r>
              <w:rPr>
                <w:rFonts w:ascii="Arial" w:cs="Arial" w:eastAsia="Arial" w:hAnsi="Arial"/>
                <w:sz w:val="22"/>
                <w:szCs w:val="22"/>
                <w:b w:val="1"/>
                <w:bCs w:val="1"/>
                <w:color w:val="auto"/>
              </w:rPr>
              <w:t>Total</w:t>
            </w:r>
          </w:p>
        </w:tc>
      </w:tr>
      <w:tr>
        <w:trPr>
          <w:trHeight w:val="291"/>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center"/>
              <w:ind w:right="172"/>
              <w:spacing w:after="0"/>
              <w:rPr>
                <w:sz w:val="20"/>
                <w:szCs w:val="20"/>
                <w:color w:val="auto"/>
              </w:rPr>
            </w:pPr>
            <w:r>
              <w:rPr>
                <w:rFonts w:ascii="Arial" w:cs="Arial" w:eastAsia="Arial" w:hAnsi="Arial"/>
                <w:sz w:val="22"/>
                <w:szCs w:val="22"/>
                <w:b w:val="1"/>
                <w:bCs w:val="1"/>
                <w:color w:val="auto"/>
                <w:w w:val="96"/>
              </w:rPr>
              <w:t>(1)</w:t>
            </w: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b w:val="1"/>
                <w:bCs w:val="1"/>
                <w:color w:val="auto"/>
                <w:w w:val="96"/>
              </w:rPr>
              <w:t>(2)</w:t>
            </w:r>
          </w:p>
        </w:tc>
        <w:tc>
          <w:tcPr>
            <w:tcW w:w="3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w:t>
            </w:r>
          </w:p>
        </w:tc>
      </w:tr>
      <w:tr>
        <w:trPr>
          <w:trHeight w:val="29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2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9"/>
        </w:trPr>
        <w:tc>
          <w:tcPr>
            <w:tcW w:w="4660" w:type="dxa"/>
            <w:vAlign w:val="bottom"/>
            <w:gridSpan w:val="2"/>
          </w:tcPr>
          <w:p>
            <w:pPr>
              <w:ind w:left="40"/>
              <w:spacing w:after="0"/>
              <w:rPr>
                <w:sz w:val="20"/>
                <w:szCs w:val="20"/>
                <w:color w:val="auto"/>
              </w:rPr>
            </w:pPr>
            <w:r>
              <w:rPr>
                <w:rFonts w:ascii="Arial" w:cs="Arial" w:eastAsia="Arial" w:hAnsi="Arial"/>
                <w:sz w:val="22"/>
                <w:szCs w:val="22"/>
                <w:color w:val="auto"/>
              </w:rPr>
              <w:t>Change in Control, Death, Disability</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360" w:type="dxa"/>
            <w:vAlign w:val="bottom"/>
            <w:gridSpan w:val="2"/>
          </w:tcPr>
          <w:p>
            <w:pPr>
              <w:jc w:val="right"/>
              <w:ind w:right="440"/>
              <w:spacing w:after="0"/>
              <w:rPr>
                <w:sz w:val="20"/>
                <w:szCs w:val="20"/>
                <w:color w:val="auto"/>
              </w:rPr>
            </w:pPr>
            <w:r>
              <w:rPr>
                <w:rFonts w:ascii="Arial" w:cs="Arial" w:eastAsia="Arial" w:hAnsi="Arial"/>
                <w:sz w:val="22"/>
                <w:szCs w:val="22"/>
                <w:color w:val="auto"/>
              </w:rPr>
              <w:t>—</w:t>
            </w: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3,177,000</w:t>
            </w:r>
          </w:p>
        </w:tc>
        <w:tc>
          <w:tcPr>
            <w:tcW w:w="34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3,177,000</w:t>
            </w:r>
          </w:p>
        </w:tc>
      </w:tr>
      <w:tr>
        <w:trPr>
          <w:trHeight w:val="346"/>
        </w:trPr>
        <w:tc>
          <w:tcPr>
            <w:tcW w:w="4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9"/>
        </w:trPr>
        <w:tc>
          <w:tcPr>
            <w:tcW w:w="4660" w:type="dxa"/>
            <w:vAlign w:val="bottom"/>
            <w:gridSpan w:val="2"/>
          </w:tcPr>
          <w:p>
            <w:pPr>
              <w:ind w:left="40"/>
              <w:spacing w:after="0"/>
              <w:rPr>
                <w:sz w:val="20"/>
                <w:szCs w:val="20"/>
                <w:color w:val="auto"/>
              </w:rPr>
            </w:pPr>
            <w:r>
              <w:rPr>
                <w:rFonts w:ascii="Arial" w:cs="Arial" w:eastAsia="Arial" w:hAnsi="Arial"/>
                <w:sz w:val="22"/>
                <w:szCs w:val="22"/>
                <w:color w:val="auto"/>
              </w:rPr>
              <w:t>Mark E. Lewry</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6"/>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Change in Control, Death, Disability</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261,634</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508,320</w:t>
            </w: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769,954</w:t>
            </w:r>
          </w:p>
        </w:tc>
      </w:tr>
      <w:tr>
        <w:trPr>
          <w:trHeight w:val="338"/>
        </w:trPr>
        <w:tc>
          <w:tcPr>
            <w:tcW w:w="4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Michael A. McPherson</w:t>
            </w:r>
          </w:p>
        </w:tc>
        <w:tc>
          <w:tcPr>
            <w:tcW w:w="2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0"/>
        </w:trPr>
        <w:tc>
          <w:tcPr>
            <w:tcW w:w="4660" w:type="dxa"/>
            <w:vAlign w:val="bottom"/>
            <w:gridSpan w:val="2"/>
          </w:tcPr>
          <w:p>
            <w:pPr>
              <w:ind w:left="40"/>
              <w:spacing w:after="0"/>
              <w:rPr>
                <w:sz w:val="20"/>
                <w:szCs w:val="20"/>
                <w:color w:val="auto"/>
              </w:rPr>
            </w:pPr>
            <w:r>
              <w:rPr>
                <w:rFonts w:ascii="Arial" w:cs="Arial" w:eastAsia="Arial" w:hAnsi="Arial"/>
                <w:sz w:val="22"/>
                <w:szCs w:val="22"/>
                <w:color w:val="auto"/>
              </w:rPr>
              <w:t>Change in Control, Death, Disability</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020" w:type="dxa"/>
            <w:vAlign w:val="bottom"/>
          </w:tcPr>
          <w:p>
            <w:pPr>
              <w:jc w:val="right"/>
              <w:spacing w:after="0"/>
              <w:rPr>
                <w:sz w:val="20"/>
                <w:szCs w:val="20"/>
                <w:color w:val="auto"/>
              </w:rPr>
            </w:pPr>
            <w:r>
              <w:rPr>
                <w:rFonts w:ascii="Arial" w:cs="Arial" w:eastAsia="Arial" w:hAnsi="Arial"/>
                <w:sz w:val="22"/>
                <w:szCs w:val="22"/>
                <w:color w:val="auto"/>
              </w:rPr>
              <w:t>134,886</w:t>
            </w:r>
          </w:p>
        </w:tc>
        <w:tc>
          <w:tcPr>
            <w:tcW w:w="3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169,440</w:t>
            </w:r>
          </w:p>
        </w:tc>
        <w:tc>
          <w:tcPr>
            <w:tcW w:w="34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304,326</w:t>
            </w:r>
          </w:p>
        </w:tc>
      </w:tr>
    </w:tbl>
    <w:p>
      <w:pPr>
        <w:spacing w:after="0" w:line="178" w:lineRule="exact"/>
        <w:rPr>
          <w:sz w:val="20"/>
          <w:szCs w:val="20"/>
          <w:color w:val="auto"/>
        </w:rPr>
      </w:pPr>
    </w:p>
    <w:p>
      <w:pPr>
        <w:jc w:val="both"/>
        <w:ind w:left="660" w:hanging="328"/>
        <w:spacing w:after="0" w:line="279"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amounts shown reflect each named executive officer’s balance in his executive deferred bonus account of our annual incentive plan. The amounts include executive deferred bonuses awarded for fiscal 2018 that were approved subsequent to July 31, 2018. As explained above, our annual incentive plan provides for immediate vesting and payment, as allowed by law, of a participant’s executive deferred bonus award account upon the participant’s death, disability, retirement under certain circumstances, or change in control of the Company.</w:t>
      </w:r>
    </w:p>
    <w:p>
      <w:pPr>
        <w:spacing w:after="0" w:line="130"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shown represent, as of July 31, 2018: (a) the market price of any unvested shares of restricted stock; and/or (b) the excess of the market price of the shares of stock underlying unvested stock options over the option exercise price. As of July 31, 2018, none of the named executive officers had any unvested stock options. As explained above, previously unvested shares of restricted stock and stock options become immediately vested upon the events listed.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8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5"/>
          <w:szCs w:val="25"/>
          <w:b w:val="1"/>
          <w:bCs w:val="1"/>
          <w:color w:val="auto"/>
        </w:rPr>
        <w:t>STOCK OWNERSHIP</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Principal Stockholders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table sets forth information as of October 15, 2018,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named executive officers.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6"/>
          </w:tcPr>
          <w:p>
            <w:pPr>
              <w:jc w:val="right"/>
              <w:ind w:right="550"/>
              <w:spacing w:after="0"/>
              <w:rPr>
                <w:sz w:val="20"/>
                <w:szCs w:val="20"/>
                <w:color w:val="auto"/>
              </w:rPr>
            </w:pPr>
            <w:r>
              <w:rPr>
                <w:rFonts w:ascii="Arial" w:cs="Arial" w:eastAsia="Arial" w:hAnsi="Arial"/>
                <w:sz w:val="18"/>
                <w:szCs w:val="18"/>
                <w:b w:val="1"/>
                <w:bCs w:val="1"/>
                <w:color w:val="auto"/>
              </w:rPr>
              <w:t>Amount and Nature of Beneficial Ownership (1)</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Voting Power of</w:t>
            </w: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Number of Shares of</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Percentage of</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Common Stock and</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49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Title of Class</w:t>
            </w:r>
          </w:p>
        </w:tc>
        <w:tc>
          <w:tcPr>
            <w:tcW w:w="1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Class B Stock</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Stock of Class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Class B Stock</w:t>
            </w:r>
          </w:p>
        </w:tc>
      </w:tr>
      <w:tr>
        <w:trPr>
          <w:trHeight w:val="27"/>
        </w:trPr>
        <w:tc>
          <w:tcPr>
            <w:tcW w:w="4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Richard M. Jaffee Revocable Trust dated June 21, 1974 (2)</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410 N. Michigan Avenue</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291,020</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10.44%</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Chicago, IL 60611</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97"/>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Shirley H. Jaffee Revocable Trust dated July 12, 1993 (2)</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410 N. Michigan Avenue</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118,538</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Chicago, IL 60611</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97"/>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Daniel S. Jaffee (3)</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410 N. Michigan Avenue</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505,061</w:t>
            </w:r>
          </w:p>
        </w:tc>
        <w:tc>
          <w:tcPr>
            <w:tcW w:w="660" w:type="dxa"/>
            <w:vAlign w:val="bottom"/>
          </w:tcPr>
          <w:p>
            <w:pPr>
              <w:ind w:left="1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18.13%</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Chicago, IL 60611</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97"/>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Jaffee Investment Partnership, L.P.</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410 N. Michigan Avenue</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1,250,000</w:t>
            </w:r>
          </w:p>
        </w:tc>
        <w:tc>
          <w:tcPr>
            <w:tcW w:w="660" w:type="dxa"/>
            <w:vAlign w:val="bottom"/>
          </w:tcPr>
          <w:p>
            <w:pPr>
              <w:ind w:left="1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55.08%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44.86%</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Chicago, IL 60611</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97"/>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Dimensional Fund Advisors LP</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392,494</w:t>
            </w:r>
          </w:p>
        </w:tc>
        <w:tc>
          <w:tcPr>
            <w:tcW w:w="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Building One</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6300 Bee Cave Road</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4940" w:type="dxa"/>
            <w:vAlign w:val="bottom"/>
            <w:gridSpan w:val="2"/>
          </w:tcPr>
          <w:p>
            <w:pPr>
              <w:ind w:left="300"/>
              <w:spacing w:after="0"/>
              <w:rPr>
                <w:sz w:val="20"/>
                <w:szCs w:val="20"/>
                <w:color w:val="auto"/>
              </w:rPr>
            </w:pPr>
            <w:r>
              <w:rPr>
                <w:rFonts w:ascii="Arial" w:cs="Arial" w:eastAsia="Arial" w:hAnsi="Arial"/>
                <w:sz w:val="16"/>
                <w:szCs w:val="16"/>
                <w:color w:val="auto"/>
              </w:rPr>
              <w:t>Austin, TX 78746</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97"/>
        </w:trPr>
        <w:tc>
          <w:tcPr>
            <w:tcW w:w="4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GAMCO Asset Management Inc. et al.</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838,534</w:t>
            </w:r>
          </w:p>
        </w:tc>
        <w:tc>
          <w:tcPr>
            <w:tcW w:w="660" w:type="dxa"/>
            <w:vAlign w:val="bottom"/>
          </w:tcPr>
          <w:p>
            <w:pPr>
              <w:ind w:left="1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One Corporate Center</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Rye, NY 10580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97"/>
        </w:trPr>
        <w:tc>
          <w:tcPr>
            <w:tcW w:w="4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Renaissance Technologies LLC</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406,125</w:t>
            </w:r>
          </w:p>
        </w:tc>
        <w:tc>
          <w:tcPr>
            <w:tcW w:w="660" w:type="dxa"/>
            <w:vAlign w:val="bottom"/>
          </w:tcPr>
          <w:p>
            <w:pPr>
              <w:ind w:left="1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800 Third Avenue</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New York, NY 10022</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97"/>
        </w:trPr>
        <w:tc>
          <w:tcPr>
            <w:tcW w:w="4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T. Rowe Price Associates, Inc.</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596,534</w:t>
            </w:r>
          </w:p>
        </w:tc>
        <w:tc>
          <w:tcPr>
            <w:tcW w:w="660" w:type="dxa"/>
            <w:vAlign w:val="bottom"/>
          </w:tcPr>
          <w:p>
            <w:pPr>
              <w:ind w:lef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100 East Pratt Street</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Baltimore, MD 21202</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765"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765" w:right="239" w:bottom="1440" w:gutter="0" w:footer="0" w:header="0"/>
          <w:type w:val="continuous"/>
        </w:sectPr>
      </w:pPr>
    </w:p>
    <w:bookmarkStart w:id="37" w:name="page38"/>
    <w:bookmarkEnd w:id="37"/>
    <w:p>
      <w:pPr>
        <w:jc w:val="both"/>
        <w:ind w:left="328" w:hanging="328"/>
        <w:spacing w:after="0" w:line="290" w:lineRule="auto"/>
        <w:tabs>
          <w:tab w:leader="none" w:pos="328" w:val="left"/>
        </w:tabs>
        <w:numPr>
          <w:ilvl w:val="0"/>
          <w:numId w:val="44"/>
        </w:numPr>
        <w:rPr>
          <w:rFonts w:ascii="Arial" w:cs="Arial" w:eastAsia="Arial" w:hAnsi="Arial"/>
          <w:sz w:val="16"/>
          <w:szCs w:val="16"/>
          <w:color w:val="auto"/>
        </w:rPr>
      </w:pPr>
      <w:r>
        <w:rPr>
          <w:rFonts w:ascii="Arial" w:cs="Arial" w:eastAsia="Arial" w:hAnsi="Arial"/>
          <w:sz w:val="16"/>
          <w:szCs w:val="16"/>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15, 2018,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5,172,007 shares of Common Stock and 2,269,238 shares of Class B Stock outstanding as of the close of business on October 15, 2018. Shares of Common Stock and Class B Stock subject to options, warrants or other rights that are exercisable or convertible within 60 days after October 15, 2018,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25" w:lineRule="exact"/>
        <w:rPr>
          <w:rFonts w:ascii="Arial" w:cs="Arial" w:eastAsia="Arial" w:hAnsi="Arial"/>
          <w:sz w:val="16"/>
          <w:szCs w:val="16"/>
          <w:color w:val="auto"/>
        </w:rPr>
      </w:pPr>
    </w:p>
    <w:p>
      <w:pPr>
        <w:ind w:left="328" w:hanging="328"/>
        <w:spacing w:after="0"/>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Daniel S. Jaffee, Karen Jaffee Cofsky, Susan Jaffee and Nancy E. Jaffee are co-trustees of the trust.</w:t>
      </w:r>
    </w:p>
    <w:p>
      <w:pPr>
        <w:spacing w:after="0" w:line="184" w:lineRule="exact"/>
        <w:rPr>
          <w:rFonts w:ascii="Arial" w:cs="Arial" w:eastAsia="Arial" w:hAnsi="Arial"/>
          <w:sz w:val="18"/>
          <w:szCs w:val="18"/>
          <w:color w:val="auto"/>
        </w:rPr>
      </w:pPr>
    </w:p>
    <w:p>
      <w:pPr>
        <w:ind w:left="328" w:hanging="328"/>
        <w:spacing w:after="0"/>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Daniel S. Jaffee is the son of Richard M. Jaffee and Shirley H. Jaffee.</w:t>
      </w:r>
    </w:p>
    <w:p>
      <w:pPr>
        <w:spacing w:after="0" w:line="184" w:lineRule="exact"/>
        <w:rPr>
          <w:rFonts w:ascii="Arial" w:cs="Arial" w:eastAsia="Arial" w:hAnsi="Arial"/>
          <w:sz w:val="18"/>
          <w:szCs w:val="18"/>
          <w:color w:val="auto"/>
        </w:rPr>
      </w:pPr>
    </w:p>
    <w:p>
      <w:pPr>
        <w:ind w:left="328" w:hanging="328"/>
        <w:spacing w:after="0"/>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Does not include shares beneficially owned by Jaffee Investment Partnership, L.P.</w:t>
      </w:r>
    </w:p>
    <w:p>
      <w:pPr>
        <w:spacing w:after="0" w:line="184" w:lineRule="exact"/>
        <w:rPr>
          <w:rFonts w:ascii="Arial" w:cs="Arial" w:eastAsia="Arial" w:hAnsi="Arial"/>
          <w:sz w:val="18"/>
          <w:szCs w:val="18"/>
          <w:color w:val="auto"/>
        </w:rPr>
      </w:pPr>
    </w:p>
    <w:p>
      <w:pPr>
        <w:jc w:val="both"/>
        <w:ind w:left="328" w:hanging="328"/>
        <w:spacing w:after="0" w:line="302" w:lineRule="auto"/>
        <w:tabs>
          <w:tab w:leader="none" w:pos="328"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Consists of 505,061 shares of Class B Stock directly owned by Daniel S. Jaffee (200,000 of which are restricted shares), 2 shares of Class B Stock owned by his spouse, 5,625 shares of Class B Stock he owns as trustee for his children and 125 shares of Class B Stock held in joint tenancy with his spouse. Of the 200,000 restricted shares of Class B Stock: (a) 25,000 shares became non-forfeitable on October 19, 2018 and (b) an additional 25,000 shares become non-forfeitable no earlier than on each of the subsequent anniversaries of October 19th during the years 2019-2025.</w:t>
      </w:r>
    </w:p>
    <w:p>
      <w:pPr>
        <w:spacing w:after="0" w:line="113" w:lineRule="exact"/>
        <w:rPr>
          <w:rFonts w:ascii="Arial" w:cs="Arial" w:eastAsia="Arial" w:hAnsi="Arial"/>
          <w:sz w:val="16"/>
          <w:szCs w:val="16"/>
          <w:color w:val="auto"/>
        </w:rPr>
      </w:pPr>
    </w:p>
    <w:p>
      <w:pPr>
        <w:jc w:val="both"/>
        <w:ind w:left="328" w:hanging="328"/>
        <w:spacing w:after="0" w:line="312" w:lineRule="auto"/>
        <w:tabs>
          <w:tab w:leader="none" w:pos="328" w:val="left"/>
        </w:tabs>
        <w:numPr>
          <w:ilvl w:val="0"/>
          <w:numId w:val="44"/>
        </w:numPr>
        <w:rPr>
          <w:rFonts w:ascii="Arial" w:cs="Arial" w:eastAsia="Arial" w:hAnsi="Arial"/>
          <w:sz w:val="16"/>
          <w:szCs w:val="16"/>
          <w:color w:val="auto"/>
        </w:rPr>
      </w:pPr>
      <w:r>
        <w:rPr>
          <w:rFonts w:ascii="Arial" w:cs="Arial" w:eastAsia="Arial" w:hAnsi="Arial"/>
          <w:sz w:val="16"/>
          <w:szCs w:val="16"/>
          <w:color w:val="auto"/>
        </w:rPr>
        <w:t>Jaffee Investment Partnership, L.P. is managed by its general partners, generally acting by a majority vote. Daniel S. Jaffee has a majority of the general partner votes and therefore, generally has voting control of all of the Oil-Dri shares owned by the partnership. As a result, Mr. Jaffee, might be deemed to have, but disclaims, beneficial ownership of the partnership’s shares, which are not reflected in his share ownership shown in this table.</w:t>
      </w:r>
    </w:p>
    <w:p>
      <w:pPr>
        <w:spacing w:after="0" w:line="106" w:lineRule="exact"/>
        <w:rPr>
          <w:rFonts w:ascii="Arial" w:cs="Arial" w:eastAsia="Arial" w:hAnsi="Arial"/>
          <w:sz w:val="16"/>
          <w:szCs w:val="16"/>
          <w:color w:val="auto"/>
        </w:rPr>
      </w:pPr>
    </w:p>
    <w:p>
      <w:pPr>
        <w:jc w:val="both"/>
        <w:ind w:left="328" w:hanging="328"/>
        <w:spacing w:after="0" w:line="270" w:lineRule="auto"/>
        <w:tabs>
          <w:tab w:leader="none" w:pos="3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Information is as provided by the reporting persons in a Schedule 13G/A filed with the SEC on February 9, 2018. Based on such Schedule 13G/A, Dimensional Fund Advisors LP (“Dimensional”), a registered investment adviser, furnishes investment advice to four investment companies registered under the Investment Company Act of 1940 and serves as investment manager to certain other commingled group trusts and separate accounts. These investment companies, trusts and accounts are the “Funds.” In certain cases, subsidiaries of Dimensional may act as adviser or sub-adviser to certain Funds. In its role as investment advisor, sub-adviser and/or manager, Dimensional or its subsidiaries may possess voting and/or investment power over the shares of Common Stock owned by the Funds, and may be deemed to be the beneficial owner of those shares under applicable SEC rules. Although such Schedule 13G/A identifies Dimensional as having sole voting power over 385,232 shares of Common Stock and sole dispositive power over 392,494 shares of Common Stock, Dimensional disclaims beneficial ownership of such shares and reports that all of these shares are owned by the Funds.</w:t>
      </w:r>
    </w:p>
    <w:p>
      <w:pPr>
        <w:spacing w:after="0" w:line="141" w:lineRule="exact"/>
        <w:rPr>
          <w:rFonts w:ascii="Arial" w:cs="Arial" w:eastAsia="Arial" w:hAnsi="Arial"/>
          <w:sz w:val="17"/>
          <w:szCs w:val="17"/>
          <w:color w:val="auto"/>
        </w:rPr>
      </w:pPr>
    </w:p>
    <w:p>
      <w:pPr>
        <w:jc w:val="both"/>
        <w:ind w:left="328" w:hanging="328"/>
        <w:spacing w:after="0" w:line="268" w:lineRule="auto"/>
        <w:tabs>
          <w:tab w:leader="none" w:pos="3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Information is as provided by the reporting persons in a Schedule 13D/A filed with the SEC on April 10, 2017. Such Schedule 13D/A filed by Gabelli Funds, LLC (“Gabelli Funds”), GAMCO Asset Management, Inc. (“GAMCO”), Teton Advisors, Inc. (“Teton Advisors”), GGCP, Inc. (“GGCP”), GAMCO Investors, Inc. (“GBL”), Associated Capital Group, Inc. (“AC”) and Mario J. Gabelli reports: (a) 138,100 shares of Common Stock beneficially owned by Gabelli Funds; (b) 570,334 shares of Common Stock beneficially owned by GAMCO; (c) 128,300 shares of Common Stock beneficially owned by Teton Advisors; (d) 300 shares of Common Stock beneficially owned by Gabelli &amp; Company Investment Advisers, Inc. and (e) 1,500 shares of Common Stock beneficially owned by AC. The Schedule 13D/A reports that each such entity has sole voting and sole dispositive power over the shares reported as beneficially owned by it, except that: (i) GAMCO does not have the authority to vote 47,000 of the reported shares; (ii) Gabelli Funds has sole dispositive and voting power with respect to the shares held by such funds so long as the aggregate voting interest of all joint filers does not exceed 25% of their total voting interest in the Company and, in that event, the proxy voting committee of each fund shall respectively vote that fund’s shares; (iii) at any time, the proxy voting committee of each fund shall of each such fund may take and exercise in its sole discretion the entire voting power with respect to the shares held by such fund under special circumstances such as regulatory considerations; and (iv) the power of Mario J. Gabelli, AC, GBL and GGCP is indirect with respect to securities beneficially owned directly by other reporting persons.</w:t>
      </w:r>
    </w:p>
    <w:p>
      <w:pPr>
        <w:spacing w:after="0" w:line="147" w:lineRule="exact"/>
        <w:rPr>
          <w:rFonts w:ascii="Arial" w:cs="Arial" w:eastAsia="Arial" w:hAnsi="Arial"/>
          <w:sz w:val="17"/>
          <w:szCs w:val="17"/>
          <w:color w:val="auto"/>
        </w:rPr>
      </w:pPr>
    </w:p>
    <w:p>
      <w:pPr>
        <w:jc w:val="both"/>
        <w:ind w:left="328" w:hanging="328"/>
        <w:spacing w:after="0" w:line="259"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Information is as provided by the reporting persons in a Schedule 13G/A filed with the SEC on February 14, 2018. Such Schedule 13G/A filed by Renaissance Technologies LLC, an investment adviser (“RTC”), and Renaissance Technologies Holdings Corporation, majority owner of RTC (“RTHC”), reports that RTC and RTHC have sole voting power over 402,432 shares of Common Stock, sole dispositive power over 405,303 shares of Common Stock, and shared dispositive power over 822 shares of Common Stock.</w:t>
      </w:r>
    </w:p>
    <w:p>
      <w:pPr>
        <w:spacing w:after="0" w:line="39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8"/>
          </w:cols>
          <w:pgMar w:left="572" w:top="949" w:right="239" w:bottom="1440" w:gutter="0" w:footer="0" w:header="0"/>
        </w:sectPr>
      </w:pPr>
    </w:p>
    <w:bookmarkStart w:id="38" w:name="page39"/>
    <w:bookmarkEnd w:id="38"/>
    <w:p>
      <w:pPr>
        <w:jc w:val="both"/>
        <w:ind w:left="328" w:hanging="328"/>
        <w:spacing w:after="0" w:line="257"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Information is as provided by the reporting persons in a Schedule 13G/A filed with the SEC on February 14, 2018. Such Schedule 13G/A filed by T. Rowe Price Associates, Inc., a registered investment adviser (“Price Associates”), and T. Rowe Price Small-Cap Value Fund, Inc. reports that Price Associates held sole voting power over 84,334 shares of Common Stock and sole dispositive power over 596,534 shares of Common Stock, and T. Rowe Price Small-Cap Value Fund, Inc. held sole voting power over 512,200 shares of Common Stock. Price Associates expressly disclaims that it is, in fact, the beneficial owner of such securities.</w:t>
      </w:r>
    </w:p>
    <w:p>
      <w:pPr>
        <w:spacing w:after="0" w:line="21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8"/>
          </w:cols>
          <w:pgMar w:left="572" w:top="773"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5"/>
          <w:szCs w:val="25"/>
          <w:b w:val="1"/>
          <w:bCs w:val="1"/>
          <w:color w:val="auto"/>
        </w:rPr>
        <w:t>Security Ownership of Management</w:t>
      </w:r>
    </w:p>
    <w:p>
      <w:pPr>
        <w:spacing w:after="0" w:line="20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following table shows the number of shares of Common Stock and Class B Stock beneficially owned as of October 15, 2018 by our directors, by the named executive officers and by our directors and named executive officers as a group.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6"/>
              </w:rPr>
              <w:t>Percentage of</w:t>
            </w:r>
          </w:p>
        </w:tc>
        <w:tc>
          <w:tcPr>
            <w:tcW w:w="2260" w:type="dxa"/>
            <w:vAlign w:val="bottom"/>
            <w:gridSpan w:val="3"/>
          </w:tcPr>
          <w:p>
            <w:pPr>
              <w:jc w:val="center"/>
              <w:ind w:right="200"/>
              <w:spacing w:after="0"/>
              <w:rPr>
                <w:sz w:val="20"/>
                <w:szCs w:val="20"/>
                <w:color w:val="auto"/>
              </w:rPr>
            </w:pPr>
            <w:r>
              <w:rPr>
                <w:rFonts w:ascii="Arial" w:cs="Arial" w:eastAsia="Arial" w:hAnsi="Arial"/>
                <w:sz w:val="20"/>
                <w:szCs w:val="20"/>
                <w:b w:val="1"/>
                <w:bCs w:val="1"/>
                <w:color w:val="auto"/>
                <w:w w:val="89"/>
              </w:rPr>
              <w:t>Number of Shares</w:t>
            </w: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6"/>
              </w:rPr>
              <w:t>Percentage of</w:t>
            </w:r>
          </w:p>
        </w:tc>
      </w:tr>
      <w:tr>
        <w:trPr>
          <w:trHeight w:val="230"/>
        </w:trPr>
        <w:tc>
          <w:tcPr>
            <w:tcW w:w="3120" w:type="dxa"/>
            <w:vAlign w:val="bottom"/>
            <w:gridSpan w:val="2"/>
          </w:tcPr>
          <w:p>
            <w:pPr>
              <w:ind w:left="340"/>
              <w:spacing w:after="0"/>
              <w:rPr>
                <w:sz w:val="20"/>
                <w:szCs w:val="20"/>
                <w:color w:val="auto"/>
              </w:rPr>
            </w:pPr>
            <w:r>
              <w:rPr>
                <w:rFonts w:ascii="Arial" w:cs="Arial" w:eastAsia="Arial" w:hAnsi="Arial"/>
                <w:sz w:val="20"/>
                <w:szCs w:val="20"/>
                <w:b w:val="1"/>
                <w:bCs w:val="1"/>
                <w:color w:val="auto"/>
              </w:rPr>
              <w:t>Name of Beneficial Owner</w:t>
            </w:r>
          </w:p>
        </w:tc>
        <w:tc>
          <w:tcPr>
            <w:tcW w:w="2460" w:type="dxa"/>
            <w:vAlign w:val="bottom"/>
            <w:gridSpan w:val="3"/>
          </w:tcPr>
          <w:p>
            <w:pPr>
              <w:jc w:val="center"/>
              <w:ind w:right="180"/>
              <w:spacing w:after="0"/>
              <w:rPr>
                <w:sz w:val="20"/>
                <w:szCs w:val="20"/>
                <w:color w:val="auto"/>
              </w:rPr>
            </w:pPr>
            <w:r>
              <w:rPr>
                <w:rFonts w:ascii="Arial" w:cs="Arial" w:eastAsia="Arial" w:hAnsi="Arial"/>
                <w:sz w:val="20"/>
                <w:szCs w:val="20"/>
                <w:b w:val="1"/>
                <w:bCs w:val="1"/>
                <w:color w:val="auto"/>
                <w:w w:val="89"/>
              </w:rPr>
              <w:t>Number of Shares of</w:t>
            </w:r>
          </w:p>
        </w:tc>
        <w:tc>
          <w:tcPr>
            <w:tcW w:w="19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9"/>
              </w:rPr>
              <w:t>Outstanding</w:t>
            </w:r>
          </w:p>
        </w:tc>
        <w:tc>
          <w:tcPr>
            <w:tcW w:w="2260" w:type="dxa"/>
            <w:vAlign w:val="bottom"/>
            <w:gridSpan w:val="3"/>
          </w:tcPr>
          <w:p>
            <w:pPr>
              <w:jc w:val="center"/>
              <w:ind w:right="180"/>
              <w:spacing w:after="0"/>
              <w:rPr>
                <w:sz w:val="20"/>
                <w:szCs w:val="20"/>
                <w:color w:val="auto"/>
              </w:rPr>
            </w:pPr>
            <w:r>
              <w:rPr>
                <w:rFonts w:ascii="Arial" w:cs="Arial" w:eastAsia="Arial" w:hAnsi="Arial"/>
                <w:sz w:val="20"/>
                <w:szCs w:val="20"/>
                <w:b w:val="1"/>
                <w:bCs w:val="1"/>
                <w:color w:val="auto"/>
                <w:w w:val="86"/>
              </w:rPr>
              <w:t>of Class B Stock</w:t>
            </w: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9"/>
              </w:rPr>
              <w:t>Outstanding</w:t>
            </w:r>
          </w:p>
        </w:tc>
      </w:tr>
      <w:tr>
        <w:trPr>
          <w:trHeight w:val="256"/>
        </w:trPr>
        <w:tc>
          <w:tcPr>
            <w:tcW w:w="2920" w:type="dxa"/>
            <w:vAlign w:val="bottom"/>
          </w:tcPr>
          <w:p>
            <w:pPr>
              <w:ind w:left="1340"/>
              <w:spacing w:after="0"/>
              <w:rPr>
                <w:sz w:val="20"/>
                <w:szCs w:val="20"/>
                <w:color w:val="auto"/>
              </w:rPr>
            </w:pPr>
            <w:r>
              <w:rPr>
                <w:rFonts w:ascii="Arial" w:cs="Arial" w:eastAsia="Arial" w:hAnsi="Arial"/>
                <w:sz w:val="20"/>
                <w:szCs w:val="20"/>
                <w:b w:val="1"/>
                <w:bCs w:val="1"/>
                <w:color w:val="auto"/>
              </w:rPr>
              <w:t>(1)</w:t>
            </w:r>
          </w:p>
        </w:tc>
        <w:tc>
          <w:tcPr>
            <w:tcW w:w="200" w:type="dxa"/>
            <w:vAlign w:val="bottom"/>
          </w:tcPr>
          <w:p>
            <w:pPr>
              <w:spacing w:after="0"/>
              <w:rPr>
                <w:sz w:val="22"/>
                <w:szCs w:val="22"/>
                <w:color w:val="auto"/>
              </w:rPr>
            </w:pPr>
          </w:p>
        </w:tc>
        <w:tc>
          <w:tcPr>
            <w:tcW w:w="2460" w:type="dxa"/>
            <w:vAlign w:val="bottom"/>
            <w:gridSpan w:val="3"/>
          </w:tcPr>
          <w:p>
            <w:pPr>
              <w:jc w:val="center"/>
              <w:ind w:right="160"/>
              <w:spacing w:after="0"/>
              <w:rPr>
                <w:sz w:val="20"/>
                <w:szCs w:val="20"/>
                <w:color w:val="auto"/>
              </w:rPr>
            </w:pPr>
            <w:r>
              <w:rPr>
                <w:rFonts w:ascii="Arial" w:cs="Arial" w:eastAsia="Arial" w:hAnsi="Arial"/>
                <w:sz w:val="20"/>
                <w:szCs w:val="20"/>
                <w:b w:val="1"/>
                <w:bCs w:val="1"/>
                <w:color w:val="auto"/>
                <w:w w:val="88"/>
              </w:rPr>
              <w:t>Common Stock</w:t>
            </w:r>
          </w:p>
        </w:tc>
        <w:tc>
          <w:tcPr>
            <w:tcW w:w="19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8"/>
              </w:rPr>
              <w:t>Common Stock</w:t>
            </w:r>
          </w:p>
        </w:tc>
        <w:tc>
          <w:tcPr>
            <w:tcW w:w="1380" w:type="dxa"/>
            <w:vAlign w:val="bottom"/>
          </w:tcPr>
          <w:p>
            <w:pPr>
              <w:jc w:val="center"/>
              <w:ind w:left="594"/>
              <w:spacing w:after="0"/>
              <w:rPr>
                <w:sz w:val="20"/>
                <w:szCs w:val="20"/>
                <w:color w:val="auto"/>
              </w:rPr>
            </w:pPr>
            <w:r>
              <w:rPr>
                <w:rFonts w:ascii="Arial" w:cs="Arial" w:eastAsia="Arial" w:hAnsi="Arial"/>
                <w:sz w:val="20"/>
                <w:szCs w:val="20"/>
                <w:b w:val="1"/>
                <w:bCs w:val="1"/>
                <w:color w:val="auto"/>
                <w:w w:val="97"/>
              </w:rPr>
              <w:t>(2)</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6"/>
              </w:rPr>
              <w:t>Class B Stock</w:t>
            </w:r>
          </w:p>
        </w:tc>
      </w:tr>
      <w:tr>
        <w:trPr>
          <w:trHeight w:val="23"/>
        </w:trPr>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91"/>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(3)</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505,061</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(3)</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22.26%</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Ellen-Blair Chube</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J. Steven Cole</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28,000</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(4)</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Joseph C. Miller</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20,534</w:t>
            </w:r>
          </w:p>
        </w:tc>
        <w:tc>
          <w:tcPr>
            <w:tcW w:w="640" w:type="dxa"/>
            <w:vAlign w:val="bottom"/>
          </w:tcPr>
          <w:p>
            <w:pPr>
              <w:jc w:val="center"/>
              <w:spacing w:after="0"/>
              <w:rPr>
                <w:sz w:val="20"/>
                <w:szCs w:val="20"/>
                <w:color w:val="auto"/>
              </w:rPr>
            </w:pPr>
            <w:r>
              <w:rPr>
                <w:rFonts w:ascii="Arial" w:cs="Arial" w:eastAsia="Arial" w:hAnsi="Arial"/>
                <w:sz w:val="22"/>
                <w:szCs w:val="22"/>
                <w:color w:val="auto"/>
                <w:w w:val="96"/>
              </w:rPr>
              <w:t>(5)</w:t>
            </w: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Michael A. Nemeroff</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21,901</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(6)</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George C. Roeth</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1,500</w:t>
            </w:r>
          </w:p>
        </w:tc>
        <w:tc>
          <w:tcPr>
            <w:tcW w:w="640" w:type="dxa"/>
            <w:vAlign w:val="bottom"/>
          </w:tcPr>
          <w:p>
            <w:pPr>
              <w:jc w:val="center"/>
              <w:spacing w:after="0"/>
              <w:rPr>
                <w:sz w:val="20"/>
                <w:szCs w:val="20"/>
                <w:color w:val="auto"/>
              </w:rPr>
            </w:pPr>
            <w:r>
              <w:rPr>
                <w:rFonts w:ascii="Arial" w:cs="Arial" w:eastAsia="Arial" w:hAnsi="Arial"/>
                <w:sz w:val="22"/>
                <w:szCs w:val="22"/>
                <w:color w:val="auto"/>
                <w:w w:val="96"/>
              </w:rPr>
              <w:t>(7)</w:t>
            </w: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Allan H. Selig</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34,000</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(6)</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Paul E. Suckow</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20,128</w:t>
            </w:r>
          </w:p>
        </w:tc>
        <w:tc>
          <w:tcPr>
            <w:tcW w:w="640" w:type="dxa"/>
            <w:vAlign w:val="bottom"/>
          </w:tcPr>
          <w:p>
            <w:pPr>
              <w:jc w:val="center"/>
              <w:spacing w:after="0"/>
              <w:rPr>
                <w:sz w:val="20"/>
                <w:szCs w:val="20"/>
                <w:color w:val="auto"/>
              </w:rPr>
            </w:pPr>
            <w:r>
              <w:rPr>
                <w:rFonts w:ascii="Arial" w:cs="Arial" w:eastAsia="Arial" w:hAnsi="Arial"/>
                <w:sz w:val="22"/>
                <w:szCs w:val="22"/>
                <w:color w:val="auto"/>
                <w:w w:val="96"/>
              </w:rPr>
              <w:t>(6)</w:t>
            </w: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Lawrence E. Washow</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8,000</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(6)</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Mark E. Lewry</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12,000</w:t>
            </w:r>
          </w:p>
        </w:tc>
        <w:tc>
          <w:tcPr>
            <w:tcW w:w="640" w:type="dxa"/>
            <w:vAlign w:val="bottom"/>
          </w:tcPr>
          <w:p>
            <w:pPr>
              <w:jc w:val="center"/>
              <w:spacing w:after="0"/>
              <w:rPr>
                <w:sz w:val="20"/>
                <w:szCs w:val="20"/>
                <w:color w:val="auto"/>
              </w:rPr>
            </w:pPr>
            <w:r>
              <w:rPr>
                <w:rFonts w:ascii="Arial" w:cs="Arial" w:eastAsia="Arial" w:hAnsi="Arial"/>
                <w:sz w:val="22"/>
                <w:szCs w:val="22"/>
                <w:color w:val="auto"/>
                <w:w w:val="96"/>
              </w:rPr>
              <w:t>(8)</w:t>
            </w: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Michael A. McPherson</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4,000</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(9)</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r>
      <w:tr>
        <w:trPr>
          <w:trHeight w:val="249"/>
        </w:trPr>
        <w:tc>
          <w:tcPr>
            <w:tcW w:w="3120" w:type="dxa"/>
            <w:vAlign w:val="bottom"/>
            <w:gridSpan w:val="2"/>
          </w:tcPr>
          <w:p>
            <w:pPr>
              <w:ind w:left="40"/>
              <w:spacing w:after="0" w:line="248" w:lineRule="exact"/>
              <w:rPr>
                <w:sz w:val="20"/>
                <w:szCs w:val="20"/>
                <w:color w:val="auto"/>
              </w:rPr>
            </w:pPr>
            <w:r>
              <w:rPr>
                <w:rFonts w:ascii="Arial" w:cs="Arial" w:eastAsia="Arial" w:hAnsi="Arial"/>
                <w:sz w:val="22"/>
                <w:szCs w:val="22"/>
                <w:color w:val="auto"/>
              </w:rPr>
              <w:t>All Directors and Executive</w:t>
            </w:r>
          </w:p>
        </w:tc>
        <w:tc>
          <w:tcPr>
            <w:tcW w:w="1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5"/>
        </w:trPr>
        <w:tc>
          <w:tcPr>
            <w:tcW w:w="3120" w:type="dxa"/>
            <w:vAlign w:val="bottom"/>
            <w:gridSpan w:val="2"/>
          </w:tcPr>
          <w:p>
            <w:pPr>
              <w:ind w:left="40"/>
              <w:spacing w:after="0"/>
              <w:rPr>
                <w:sz w:val="20"/>
                <w:szCs w:val="20"/>
                <w:color w:val="auto"/>
              </w:rPr>
            </w:pPr>
            <w:r>
              <w:rPr>
                <w:rFonts w:ascii="Arial" w:cs="Arial" w:eastAsia="Arial" w:hAnsi="Arial"/>
                <w:sz w:val="22"/>
                <w:szCs w:val="22"/>
                <w:color w:val="auto"/>
                <w:w w:val="95"/>
              </w:rPr>
              <w:t>Officers as a Group (14 persons)</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168,314</w:t>
            </w:r>
          </w:p>
        </w:tc>
        <w:tc>
          <w:tcPr>
            <w:tcW w:w="640" w:type="dxa"/>
            <w:vAlign w:val="bottom"/>
          </w:tcPr>
          <w:p>
            <w:pPr>
              <w:jc w:val="center"/>
              <w:spacing w:after="0"/>
              <w:rPr>
                <w:sz w:val="20"/>
                <w:szCs w:val="20"/>
                <w:color w:val="auto"/>
              </w:rPr>
            </w:pPr>
            <w:r>
              <w:rPr>
                <w:rFonts w:ascii="Arial" w:cs="Arial" w:eastAsia="Arial" w:hAnsi="Arial"/>
                <w:sz w:val="22"/>
                <w:szCs w:val="22"/>
                <w:color w:val="auto"/>
                <w:w w:val="91"/>
              </w:rPr>
              <w:t>(10)</w:t>
            </w:r>
          </w:p>
        </w:tc>
        <w:tc>
          <w:tcPr>
            <w:tcW w:w="2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22"/>
                <w:szCs w:val="22"/>
                <w:color w:val="auto"/>
              </w:rPr>
              <w:t>3.25%</w:t>
            </w:r>
          </w:p>
        </w:tc>
        <w:tc>
          <w:tcPr>
            <w:tcW w:w="200" w:type="dxa"/>
            <w:vAlign w:val="bottom"/>
          </w:tcPr>
          <w:p>
            <w:pPr>
              <w:spacing w:after="0"/>
              <w:rPr>
                <w:sz w:val="23"/>
                <w:szCs w:val="23"/>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505,061</w:t>
            </w:r>
          </w:p>
        </w:tc>
        <w:tc>
          <w:tcPr>
            <w:tcW w:w="660" w:type="dxa"/>
            <w:vAlign w:val="bottom"/>
          </w:tcPr>
          <w:p>
            <w:pPr>
              <w:jc w:val="right"/>
              <w:ind w:right="52"/>
              <w:spacing w:after="0"/>
              <w:rPr>
                <w:sz w:val="20"/>
                <w:szCs w:val="20"/>
                <w:color w:val="auto"/>
              </w:rPr>
            </w:pPr>
            <w:r>
              <w:rPr>
                <w:rFonts w:ascii="Arial" w:cs="Arial" w:eastAsia="Arial" w:hAnsi="Arial"/>
                <w:sz w:val="22"/>
                <w:szCs w:val="22"/>
                <w:color w:val="auto"/>
              </w:rPr>
              <w:t>(11)</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22.26%</w:t>
            </w:r>
          </w:p>
        </w:tc>
      </w:tr>
    </w:tbl>
    <w:p>
      <w:pPr>
        <w:spacing w:after="0" w:line="300" w:lineRule="exact"/>
        <w:rPr>
          <w:sz w:val="20"/>
          <w:szCs w:val="20"/>
          <w:color w:val="auto"/>
        </w:rPr>
      </w:pPr>
    </w:p>
    <w:p>
      <w:pPr>
        <w:ind w:left="640" w:hanging="128"/>
        <w:spacing w:after="0"/>
        <w:tabs>
          <w:tab w:leader="none" w:pos="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Does not exceed 1%</w:t>
      </w:r>
    </w:p>
    <w:p>
      <w:pPr>
        <w:spacing w:after="0" w:line="198"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15, 2018,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5,172,007 shares of Common Stock and 2,269,238 shares of Class B Stock outstanding as of the close of business on October 15, 2018. Shares of Common Stock and Class B Stock subject to options, warrants or other rights that are exercisable or convertible within 60 days after October 15, 2018,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41"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for Daniel S. Jaffee, none of our directors or named executive officers own any shares of Class B Stock.</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Does not include shares beneficially owned by Jaffee Investment Partnership, L.P. For information regarding the shares beneficially owned by Daniel S. Jaffee, see the table under “Principal Stockholders” above and the notes thereto.</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26,700 shares of Common Stock owned by Mr. Cole (1,500 of which are restricted shares that are scheduled to “cliff” vest in full on December 13, 2018) and 1,300 shares of Common Stock owned by his spouse.</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16,525 shares of Common Stock held by Mr. Miller as trustee for the benefit of his spouse and 1,500 restricted shares of Common Stock awarded on December 13, 2016, scheduled to “cliff” vest on December 13, 2018.</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65" w:right="239" w:bottom="1440" w:gutter="0" w:footer="0" w:header="0"/>
        </w:sectPr>
      </w:pPr>
    </w:p>
    <w:bookmarkStart w:id="40" w:name="page41"/>
    <w:bookmarkEnd w:id="40"/>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1,500 restricted shares of Common Stock awarded on December 13, 2016, scheduled to “cliff” vest on December 13, 2018.</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Consists of 1,500 restricted shares of Common Stock awarded on December 13, 2016, scheduled to “cliff” vest on on December 13, 2018.</w:t>
      </w:r>
    </w:p>
    <w:p>
      <w:pPr>
        <w:spacing w:after="0" w:line="196" w:lineRule="exact"/>
        <w:rPr>
          <w:rFonts w:ascii="Arial" w:cs="Arial" w:eastAsia="Arial" w:hAnsi="Arial"/>
          <w:sz w:val="17"/>
          <w:szCs w:val="17"/>
          <w:color w:val="auto"/>
        </w:rPr>
      </w:pPr>
    </w:p>
    <w:p>
      <w:pPr>
        <w:ind w:left="700" w:hanging="368"/>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12,000 restricted shares of Common Stock awarded on April 7, 2014, scheduled to “cliff” vest on April 7, 2019.</w:t>
      </w:r>
    </w:p>
    <w:p>
      <w:pPr>
        <w:spacing w:after="0" w:line="184" w:lineRule="exact"/>
        <w:rPr>
          <w:rFonts w:ascii="Arial" w:cs="Arial" w:eastAsia="Arial" w:hAnsi="Arial"/>
          <w:sz w:val="18"/>
          <w:szCs w:val="18"/>
          <w:color w:val="auto"/>
        </w:rPr>
      </w:pPr>
    </w:p>
    <w:p>
      <w:pPr>
        <w:ind w:left="700" w:hanging="368"/>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4,000 restricted shares of Common Stock awarded on October 19, 2016, scheduled to “cliff” vest on October 19, 2020.</w:t>
      </w:r>
    </w:p>
    <w:p>
      <w:pPr>
        <w:spacing w:after="0" w:line="184"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44,000 restricted shares of Common Stock: (a) 10,500 of which become non-forfeitable on December 13, 2018, (b) 12,000 of which become non-forfeitable on April 7, 2019, (c) 14,000 of which become non-forfeitable on October 19, 2020, and (e) 6,000 of which become non-forfeitable on October 31, 2021. The number of shares of Common Stock owned beneficially by our directors and named executive officers as a group represents approximately 3.3% of the number of outstanding shares of Common Stock and approximately 0.6% of the aggregate voting power of the Common Stock and Class B Stock.</w:t>
      </w:r>
    </w:p>
    <w:p>
      <w:pPr>
        <w:spacing w:after="0" w:line="147"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200,000 restricted shares of Class B Stock: (a) 25,000 of which became non-forfeitable on October 19, 2018 and (b) an additional 25,000 shares become non-forfeitable no earlier than on each of the subsequent anniversaries of October 19th during the years 2019-2025.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executive officers as a group represents approximately 22.3% of the number of outstanding shares of Class B Stock and approximately 18.1% of the aggregate voting power of the Common Stock and Class B Stock.</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Section 16(a) Beneficial Ownership Reporting Compliance</w:t>
      </w:r>
    </w:p>
    <w:p>
      <w:pPr>
        <w:spacing w:after="0" w:line="20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Under SEC rules, our directors, executive officers and beneficial owners of more than 10% of the Company’s Common Stock or Class B Stock are required to file reports of their ownership and changes in that ownership with the SEC. Based solely on our review of copies of these reports and representations of the reporting persons, we believe that during the fiscal year ended July 31, 2018, all reportable transactions were reported and all required reports were timely filed with the SEC.</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73" w:right="239" w:bottom="1440"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500380</wp:posOffset>
            </wp:positionV>
            <wp:extent cx="5866130" cy="7589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500380</wp:posOffset>
            </wp:positionV>
            <wp:extent cx="5866130" cy="7589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o"/>
      <w:numFmt w:val="bullet"/>
      <w:start w:val="1"/>
    </w:lvl>
  </w:abstractNum>
  <w:abstractNum w:abstractNumId="1">
    <w:nsid w:val="8EDBDAB"/>
    <w:multiLevelType w:val="hybridMultilevel"/>
    <w:lvl w:ilvl="0">
      <w:lvlJc w:val="left"/>
      <w:lvlText w:val="x"/>
      <w:numFmt w:val="bullet"/>
      <w:start w:val="1"/>
    </w:lvl>
  </w:abstractNum>
  <w:abstractNum w:abstractNumId="2">
    <w:nsid w:val="79838CB2"/>
    <w:multiLevelType w:val="hybridMultilevel"/>
    <w:lvl w:ilvl="0">
      <w:lvlJc w:val="left"/>
      <w:lvlText w:val="o"/>
      <w:numFmt w:val="bullet"/>
      <w:start w:val="1"/>
    </w:lvl>
  </w:abstractNum>
  <w:abstractNum w:abstractNumId="3">
    <w:nsid w:val="4353D0CD"/>
    <w:multiLevelType w:val="hybridMultilevel"/>
    <w:lvl w:ilvl="0">
      <w:lvlJc w:val="left"/>
      <w:lvlText w:val="x"/>
      <w:numFmt w:val="bullet"/>
      <w:start w:val="1"/>
    </w:lvl>
  </w:abstractNum>
  <w:abstractNum w:abstractNumId="4">
    <w:nsid w:val="B03E0C6"/>
    <w:multiLevelType w:val="hybridMultilevel"/>
    <w:lvl w:ilvl="0">
      <w:lvlJc w:val="left"/>
      <w:lvlText w:val="o"/>
      <w:numFmt w:val="bullet"/>
      <w:start w:val="1"/>
    </w:lvl>
  </w:abstractNum>
  <w:abstractNum w:abstractNumId="5">
    <w:nsid w:val="189A769B"/>
    <w:multiLevelType w:val="hybridMultilevel"/>
    <w:lvl w:ilvl="0">
      <w:lvlJc w:val="left"/>
      <w:lvlText w:val="1"/>
      <w:numFmt w:val="bullet"/>
      <w:start w:val="1"/>
    </w:lvl>
  </w:abstractNum>
  <w:abstractNum w:abstractNumId="6">
    <w:nsid w:val="54E49EB4"/>
    <w:multiLevelType w:val="hybridMultilevel"/>
    <w:lvl w:ilvl="0">
      <w:lvlJc w:val="left"/>
      <w:lvlText w:val="3"/>
      <w:numFmt w:val="bullet"/>
      <w:start w:val="1"/>
    </w:lvl>
  </w:abstractNum>
  <w:abstractNum w:abstractNumId="7">
    <w:nsid w:val="71F32454"/>
    <w:multiLevelType w:val="hybridMultilevel"/>
    <w:lvl w:ilvl="0">
      <w:lvlJc w:val="left"/>
      <w:lvlText w:val="4"/>
      <w:numFmt w:val="bullet"/>
      <w:start w:val="1"/>
    </w:lvl>
  </w:abstractNum>
  <w:abstractNum w:abstractNumId="8">
    <w:nsid w:val="2CA88611"/>
    <w:multiLevelType w:val="hybridMultilevel"/>
    <w:lvl w:ilvl="0">
      <w:lvlJc w:val="left"/>
      <w:lvlText w:val="o"/>
      <w:numFmt w:val="bullet"/>
      <w:start w:val="1"/>
    </w:lvl>
  </w:abstractNum>
  <w:abstractNum w:abstractNumId="9">
    <w:nsid w:val="836C40E"/>
    <w:multiLevelType w:val="hybridMultilevel"/>
    <w:lvl w:ilvl="0">
      <w:lvlJc w:val="left"/>
      <w:lvlText w:val="1"/>
      <w:numFmt w:val="bullet"/>
      <w:start w:val="1"/>
    </w:lvl>
  </w:abstractNum>
  <w:abstractNum w:abstractNumId="10">
    <w:nsid w:val="2901D82"/>
    <w:multiLevelType w:val="hybridMultilevel"/>
    <w:lvl w:ilvl="0">
      <w:lvlJc w:val="left"/>
      <w:lvlText w:val="2"/>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2"/>
    </w:lvl>
  </w:abstractNum>
  <w:abstractNum w:abstractNumId="13">
    <w:nsid w:val="1E7FF521"/>
    <w:multiLevelType w:val="hybridMultilevel"/>
    <w:lvl w:ilvl="0">
      <w:lvlJc w:val="left"/>
      <w:lvlText w:val="%1."/>
      <w:numFmt w:val="decimal"/>
      <w:start w:val="4"/>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2"/>
    </w:lvl>
  </w:abstractNum>
  <w:abstractNum w:abstractNumId="16">
    <w:nsid w:val="6CEAF087"/>
    <w:multiLevelType w:val="hybridMultilevel"/>
    <w:lvl w:ilvl="0">
      <w:lvlJc w:val="left"/>
      <w:lvlText w:val="%1."/>
      <w:numFmt w:val="decimal"/>
      <w:start w:val="6"/>
    </w:lvl>
    <w:lvl w:ilvl="1">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1"/>
    </w:lvl>
  </w:abstractNum>
  <w:abstractNum w:abstractNumId="19">
    <w:nsid w:val="3006C83E"/>
    <w:multiLevelType w:val="hybridMultilevel"/>
    <w:lvl w:ilvl="0">
      <w:lvlJc w:val="left"/>
      <w:lvlText w:val="%1."/>
      <w:numFmt w:val="decimal"/>
      <w:start w:val="14"/>
    </w:lvl>
  </w:abstractNum>
  <w:abstractNum w:abstractNumId="20">
    <w:nsid w:val="614FD4A1"/>
    <w:multiLevelType w:val="hybridMultilevel"/>
    <w:lvl w:ilvl="0">
      <w:lvlJc w:val="left"/>
      <w:lvlText w:val="%1."/>
      <w:numFmt w:val="decimal"/>
      <w:start w:val="15"/>
    </w:lvl>
  </w:abstractNum>
  <w:abstractNum w:abstractNumId="21">
    <w:nsid w:val="419AC241"/>
    <w:multiLevelType w:val="hybridMultilevel"/>
    <w:lvl w:ilvl="0">
      <w:lvlJc w:val="left"/>
      <w:lvlText w:val="%1."/>
      <w:numFmt w:val="decimal"/>
      <w:start w:val="16"/>
    </w:lvl>
  </w:abstractNum>
  <w:abstractNum w:abstractNumId="22">
    <w:nsid w:val="5577F8E1"/>
    <w:multiLevelType w:val="hybridMultilevel"/>
    <w:lvl w:ilvl="0">
      <w:lvlJc w:val="left"/>
      <w:lvlText w:val="%1."/>
      <w:numFmt w:val="decimal"/>
      <w:start w:val="17"/>
    </w:lvl>
  </w:abstractNum>
  <w:abstractNum w:abstractNumId="23">
    <w:nsid w:val="440BADFC"/>
    <w:multiLevelType w:val="hybridMultilevel"/>
    <w:lvl w:ilvl="0">
      <w:lvlJc w:val="left"/>
      <w:lvlText w:val="%1."/>
      <w:numFmt w:val="decimal"/>
      <w:start w:val="18"/>
    </w:lvl>
  </w:abstractNum>
  <w:abstractNum w:abstractNumId="24">
    <w:nsid w:val="5072367"/>
    <w:multiLevelType w:val="hybridMultilevel"/>
    <w:lvl w:ilvl="0">
      <w:lvlJc w:val="left"/>
      <w:lvlText w:val="%1."/>
      <w:numFmt w:val="decimal"/>
      <w:start w:val="19"/>
    </w:lvl>
  </w:abstractNum>
  <w:abstractNum w:abstractNumId="25">
    <w:nsid w:val="3804823E"/>
    <w:multiLevelType w:val="hybridMultilevel"/>
    <w:lvl w:ilvl="0">
      <w:lvlJc w:val="left"/>
      <w:lvlText w:val="%1."/>
      <w:numFmt w:val="decimal"/>
      <w:start w:val="20"/>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2"/>
    </w:lvl>
  </w:abstractNum>
  <w:abstractNum w:abstractNumId="28">
    <w:nsid w:val="5C482A97"/>
    <w:multiLevelType w:val="hybridMultilevel"/>
    <w:lvl w:ilvl="0">
      <w:lvlJc w:val="left"/>
      <w:lvlText w:val="(%1)"/>
      <w:numFmt w:val="lowerLetter"/>
      <w:start w:val="2"/>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ü"/>
      <w:numFmt w:val="bullet"/>
      <w:start w:val="1"/>
    </w:lvl>
  </w:abstractNum>
  <w:abstractNum w:abstractNumId="35">
    <w:nsid w:val="3855585C"/>
    <w:multiLevelType w:val="hybridMultilevel"/>
    <w:lvl w:ilvl="0">
      <w:lvlJc w:val="left"/>
      <w:lvlText w:val="ü"/>
      <w:numFmt w:val="bullet"/>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4"/>
    </w:lvl>
  </w:abstractNum>
  <w:abstractNum w:abstractNumId="38">
    <w:nsid w:val="2A487CB0"/>
    <w:multiLevelType w:val="hybridMultilevel"/>
    <w:lvl w:ilvl="0">
      <w:lvlJc w:val="left"/>
      <w:lvlText w:val="%1"/>
      <w:numFmt w:val="decimal"/>
      <w:start w:val="1"/>
    </w:lvl>
    <w:lvl w:ilvl="1">
      <w:lvlJc w:val="left"/>
      <w:lvlText w:val="(%2)"/>
      <w:numFmt w:val="upperLetter"/>
      <w:start w:val="1"/>
    </w:lvl>
  </w:abstractNum>
  <w:abstractNum w:abstractNumId="39">
    <w:nsid w:val="1D4ED43B"/>
    <w:multiLevelType w:val="hybridMultilevel"/>
    <w:lvl w:ilvl="0">
      <w:lvlJc w:val="left"/>
      <w:lvlText w:val="(%1)"/>
      <w:numFmt w:val="decimal"/>
      <w:start w:val="6"/>
    </w:lvl>
    <w:lvl w:ilvl="1">
      <w:lvlJc w:val="left"/>
      <w:lvlText w:val="%2"/>
      <w:numFmt w:val="upperLetter"/>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0"/>
    </w:lvl>
  </w:abstractNum>
  <w:abstractNum w:abstractNumId="45">
    <w:nsid w:val="542289EC"/>
    <w:multiLevelType w:val="hybridMultilevel"/>
    <w:lvl w:ilvl="0">
      <w:lvlJc w:val="left"/>
      <w:lvlText w:val="(%1)"/>
      <w:numFmt w:val="decimal"/>
    </w:lvl>
    <w:lvl w:ilvl="1">
      <w:lvlJc w:val="left"/>
      <w:lvlText w:val="*"/>
      <w:numFmt w:val="bullet"/>
      <w:start w:val="1"/>
    </w:lvl>
  </w:abstractNum>
  <w:abstractNum w:abstractNumId="46">
    <w:nsid w:val="6DE91B1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2020-01-12T00:43:41Z</dcterms:created>
  <dcterms:modified xsi:type="dcterms:W3CDTF">2020-01-12T00:43:41Z</dcterms:modified>
</cp:coreProperties>
</file>