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Common Stock, par value $0.10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9" w:lineRule="exact"/>
        <w:rPr>
          <w:sz w:val="24"/>
          <w:szCs w:val="24"/>
          <w:color w:val="auto"/>
        </w:rPr>
      </w:pPr>
    </w:p>
    <w:p>
      <w:pPr>
        <w:ind w:left="660" w:right="9460" w:hanging="4"/>
        <w:spacing w:after="0" w:line="265" w:lineRule="auto"/>
        <w:tabs>
          <w:tab w:leader="none" w:pos="76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760" w:hanging="10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1080" w:hanging="107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Harvey Partners,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20-3760303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20" w:val="left"/>
          <w:tab w:leader="none" w:pos="6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Check the Appropriate Box if a Member of a Group (See Instructions)</w:t>
      </w:r>
      <w:r>
        <w:rPr>
          <w:sz w:val="20"/>
          <w:szCs w:val="20"/>
          <w:color w:val="auto"/>
        </w:rPr>
        <w:tab/>
      </w: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832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210"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832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2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1080" w:hanging="107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1080" w:hanging="107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Number of Shares Beneficially Owned</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(5)</w:t>
            </w:r>
          </w:p>
        </w:tc>
        <w:tc>
          <w:tcPr>
            <w:tcW w:w="2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4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8"/>
                <w:szCs w:val="18"/>
                <w:color w:val="auto"/>
              </w:rPr>
              <w:t>by</w:t>
            </w:r>
          </w:p>
        </w:tc>
        <w:tc>
          <w:tcPr>
            <w:tcW w:w="240" w:type="dxa"/>
            <w:vAlign w:val="bottom"/>
          </w:tcPr>
          <w:p>
            <w:pPr>
              <w:jc w:val="right"/>
              <w:spacing w:after="0" w:line="175" w:lineRule="exact"/>
              <w:rPr>
                <w:sz w:val="20"/>
                <w:szCs w:val="20"/>
                <w:color w:val="auto"/>
              </w:rPr>
            </w:pPr>
            <w:r>
              <w:rPr>
                <w:rFonts w:ascii="Arial" w:cs="Arial" w:eastAsia="Arial" w:hAnsi="Arial"/>
                <w:sz w:val="18"/>
                <w:szCs w:val="18"/>
                <w:color w:val="auto"/>
                <w:w w:val="81"/>
              </w:rPr>
              <w:t>(6)</w:t>
            </w:r>
          </w:p>
        </w:tc>
        <w:tc>
          <w:tcPr>
            <w:tcW w:w="2620" w:type="dxa"/>
            <w:vAlign w:val="bottom"/>
          </w:tcPr>
          <w:p>
            <w:pPr>
              <w:ind w:left="20"/>
              <w:spacing w:after="0" w:line="175" w:lineRule="exact"/>
              <w:rPr>
                <w:sz w:val="20"/>
                <w:szCs w:val="20"/>
                <w:color w:val="auto"/>
              </w:rPr>
            </w:pPr>
            <w:r>
              <w:rPr>
                <w:rFonts w:ascii="Arial" w:cs="Arial" w:eastAsia="Arial" w:hAnsi="Arial"/>
                <w:sz w:val="18"/>
                <w:szCs w:val="18"/>
                <w:color w:val="auto"/>
              </w:rPr>
              <w:t>Shared Voting Power:</w:t>
            </w:r>
          </w:p>
        </w:tc>
        <w:tc>
          <w:tcPr>
            <w:tcW w:w="1360" w:type="dxa"/>
            <w:vAlign w:val="bottom"/>
          </w:tcPr>
          <w:p>
            <w:pPr>
              <w:jc w:val="right"/>
              <w:spacing w:after="0" w:line="175" w:lineRule="exact"/>
              <w:rPr>
                <w:sz w:val="20"/>
                <w:szCs w:val="20"/>
                <w:color w:val="auto"/>
              </w:rPr>
            </w:pPr>
            <w:r>
              <w:rPr>
                <w:rFonts w:ascii="Arial" w:cs="Arial" w:eastAsia="Arial" w:hAnsi="Arial"/>
                <w:sz w:val="18"/>
                <w:szCs w:val="18"/>
                <w:color w:val="auto"/>
              </w:rPr>
              <w:t>0</w:t>
            </w:r>
          </w:p>
        </w:tc>
        <w:tc>
          <w:tcPr>
            <w:tcW w:w="4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80" w:type="dxa"/>
            <w:vAlign w:val="bottom"/>
            <w:vMerge w:val="restart"/>
          </w:tcPr>
          <w:p>
            <w:pPr>
              <w:spacing w:after="0"/>
              <w:rPr>
                <w:sz w:val="20"/>
                <w:szCs w:val="20"/>
                <w:color w:val="auto"/>
              </w:rPr>
            </w:pPr>
            <w:r>
              <w:rPr>
                <w:rFonts w:ascii="Arial" w:cs="Arial" w:eastAsia="Arial" w:hAnsi="Arial"/>
                <w:sz w:val="18"/>
                <w:szCs w:val="18"/>
                <w:color w:val="auto"/>
              </w:rPr>
              <w:t>Each Reporting Person With</w:t>
            </w:r>
          </w:p>
        </w:tc>
        <w:tc>
          <w:tcPr>
            <w:tcW w:w="2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(7)</w:t>
            </w: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80" w:hanging="107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225,000*</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107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107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4.5%*</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107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right="320" w:firstLine="8"/>
        <w:spacing w:after="0" w:line="269"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the information set forth in the Quarterly Report on Form 10-Q of Oil-Dri Corporation of America (the “Company”) filed with the Securities and Exchange Commission on December 6, 2013, there were 4,978,893 shares of the Company’s common stock, par value $0.10 (the “Common Stock”), outstanding as of October 31, 2013. As of December 31, 2013, Harvey SMidCap Fund, LP, a Delaware limited partnership (“SMidCap Fund”), held 50,213 shares of Common Stock, Harvey SMidCap Offshore Fund, Ltd., a Cayman Islands exempted company (“SMidCap Offshore Fund”), held 88,403 shares of Common Stock, and Harvey QP, LP, a Delaware limited partnership (“Harvey QP”), held 86,384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225,000 shares of Common Stock, or 4.5% of the Common Stock deemed issued and outstanding as of December 31, 2013.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1(a) Name Of Issuer: Oil-Dri Corporation of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 410 North Michigan Avenue, Suite 400, Chicago, Illinois 60611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 Harvey Partners,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 551 Fifth Avenue, 36th Floor, New York, NY 10176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 Harvey Partners, LLC is a Delaware limited liability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 Common Stock, par value $0.10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No.: 677864100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Section 240.13d-1(b) or 240.13d-2(b) or (c), check whether the Person Filing is 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Item 4. Ownership:</w:t>
            </w:r>
          </w:p>
        </w:tc>
        <w:tc>
          <w:tcPr>
            <w:tcW w:w="4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100" w:type="dxa"/>
            <w:vAlign w:val="bottom"/>
          </w:tcPr>
          <w:p>
            <w:pPr>
              <w:ind w:left="820"/>
              <w:spacing w:after="0"/>
              <w:rPr>
                <w:sz w:val="20"/>
                <w:szCs w:val="20"/>
                <w:color w:val="auto"/>
              </w:rPr>
            </w:pPr>
            <w:r>
              <w:rPr>
                <w:rFonts w:ascii="Arial" w:cs="Arial" w:eastAsia="Arial" w:hAnsi="Arial"/>
                <w:sz w:val="18"/>
                <w:szCs w:val="18"/>
                <w:color w:val="auto"/>
              </w:rPr>
              <w:t>(a)</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Amount Beneficially Owned:</w:t>
            </w:r>
          </w:p>
        </w:tc>
        <w:tc>
          <w:tcPr>
            <w:tcW w:w="900" w:type="dxa"/>
            <w:vAlign w:val="bottom"/>
          </w:tcPr>
          <w:p>
            <w:pPr>
              <w:jc w:val="right"/>
              <w:spacing w:after="0"/>
              <w:rPr>
                <w:sz w:val="20"/>
                <w:szCs w:val="20"/>
                <w:color w:val="auto"/>
              </w:rPr>
            </w:pPr>
            <w:r>
              <w:rPr>
                <w:rFonts w:ascii="Arial" w:cs="Arial" w:eastAsia="Arial" w:hAnsi="Arial"/>
                <w:sz w:val="18"/>
                <w:szCs w:val="18"/>
                <w:color w:val="auto"/>
              </w:rPr>
              <w:t>225,000*</w:t>
            </w:r>
          </w:p>
        </w:tc>
      </w:tr>
      <w:tr>
        <w:trPr>
          <w:trHeight w:val="432"/>
        </w:trPr>
        <w:tc>
          <w:tcPr>
            <w:tcW w:w="1100" w:type="dxa"/>
            <w:vAlign w:val="bottom"/>
          </w:tcPr>
          <w:p>
            <w:pPr>
              <w:ind w:left="820"/>
              <w:spacing w:after="0"/>
              <w:rPr>
                <w:sz w:val="20"/>
                <w:szCs w:val="20"/>
                <w:color w:val="auto"/>
              </w:rPr>
            </w:pPr>
            <w:r>
              <w:rPr>
                <w:rFonts w:ascii="Arial" w:cs="Arial" w:eastAsia="Arial" w:hAnsi="Arial"/>
                <w:sz w:val="18"/>
                <w:szCs w:val="18"/>
                <w:color w:val="auto"/>
              </w:rPr>
              <w:t>(b)</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Percent of Class:</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5960" w:type="dxa"/>
            <w:vAlign w:val="bottom"/>
            <w:gridSpan w:val="3"/>
          </w:tcPr>
          <w:p>
            <w:pPr>
              <w:ind w:left="820"/>
              <w:spacing w:after="0"/>
              <w:rPr>
                <w:sz w:val="20"/>
                <w:szCs w:val="20"/>
                <w:color w:val="auto"/>
              </w:rPr>
            </w:pPr>
            <w:r>
              <w:rPr>
                <w:rFonts w:ascii="Arial" w:cs="Arial" w:eastAsia="Arial" w:hAnsi="Arial"/>
                <w:sz w:val="18"/>
                <w:szCs w:val="18"/>
                <w:color w:val="auto"/>
              </w:rPr>
              <w:t>(c)  Number of shares as to which such person has:</w:t>
            </w:r>
          </w:p>
        </w:tc>
        <w:tc>
          <w:tcPr>
            <w:tcW w:w="9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(i)</w:t>
            </w:r>
          </w:p>
        </w:tc>
        <w:tc>
          <w:tcPr>
            <w:tcW w:w="420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w:t>
            </w:r>
          </w:p>
        </w:tc>
        <w:tc>
          <w:tcPr>
            <w:tcW w:w="900" w:type="dxa"/>
            <w:vAlign w:val="bottom"/>
          </w:tcPr>
          <w:p>
            <w:pPr>
              <w:jc w:val="right"/>
              <w:spacing w:after="0"/>
              <w:rPr>
                <w:sz w:val="20"/>
                <w:szCs w:val="20"/>
                <w:color w:val="auto"/>
              </w:rPr>
            </w:pPr>
            <w:r>
              <w:rPr>
                <w:rFonts w:ascii="Arial" w:cs="Arial" w:eastAsia="Arial" w:hAnsi="Arial"/>
                <w:sz w:val="18"/>
                <w:szCs w:val="18"/>
                <w:color w:val="auto"/>
              </w:rPr>
              <w:t>225,000*</w:t>
            </w:r>
          </w:p>
        </w:tc>
      </w:tr>
      <w:tr>
        <w:trPr>
          <w:trHeight w:val="432"/>
        </w:trPr>
        <w:tc>
          <w:tcPr>
            <w:tcW w:w="110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(ii)</w:t>
            </w:r>
          </w:p>
        </w:tc>
        <w:tc>
          <w:tcPr>
            <w:tcW w:w="4200" w:type="dxa"/>
            <w:vAlign w:val="bottom"/>
          </w:tcPr>
          <w:p>
            <w:pPr>
              <w:ind w:left="80"/>
              <w:spacing w:after="0"/>
              <w:rPr>
                <w:sz w:val="20"/>
                <w:szCs w:val="20"/>
                <w:color w:val="auto"/>
              </w:rPr>
            </w:pPr>
            <w:r>
              <w:rPr>
                <w:rFonts w:ascii="Arial" w:cs="Arial" w:eastAsia="Arial" w:hAnsi="Arial"/>
                <w:sz w:val="18"/>
                <w:szCs w:val="18"/>
                <w:color w:val="auto"/>
              </w:rPr>
              <w:t>shared power to vote or to direct the vote:</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110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(iii)</w:t>
            </w:r>
          </w:p>
        </w:tc>
        <w:tc>
          <w:tcPr>
            <w:tcW w:w="4200" w:type="dxa"/>
            <w:vAlign w:val="bottom"/>
          </w:tcPr>
          <w:p>
            <w:pPr>
              <w:ind w:left="80"/>
              <w:spacing w:after="0"/>
              <w:rPr>
                <w:sz w:val="20"/>
                <w:szCs w:val="20"/>
                <w:color w:val="auto"/>
              </w:rPr>
            </w:pPr>
            <w:r>
              <w:rPr>
                <w:rFonts w:ascii="Arial" w:cs="Arial" w:eastAsia="Arial" w:hAnsi="Arial"/>
                <w:sz w:val="18"/>
                <w:szCs w:val="18"/>
                <w:color w:val="auto"/>
              </w:rPr>
              <w:t>sole power to dispose or to direct the disposition of:</w:t>
            </w:r>
          </w:p>
        </w:tc>
        <w:tc>
          <w:tcPr>
            <w:tcW w:w="900" w:type="dxa"/>
            <w:vAlign w:val="bottom"/>
          </w:tcPr>
          <w:p>
            <w:pPr>
              <w:jc w:val="right"/>
              <w:spacing w:after="0"/>
              <w:rPr>
                <w:sz w:val="20"/>
                <w:szCs w:val="20"/>
                <w:color w:val="auto"/>
              </w:rPr>
            </w:pPr>
            <w:r>
              <w:rPr>
                <w:rFonts w:ascii="Arial" w:cs="Arial" w:eastAsia="Arial" w:hAnsi="Arial"/>
                <w:sz w:val="18"/>
                <w:szCs w:val="18"/>
                <w:color w:val="auto"/>
              </w:rPr>
              <w:t>225,000*</w:t>
            </w:r>
          </w:p>
        </w:tc>
      </w:tr>
      <w:tr>
        <w:trPr>
          <w:trHeight w:val="432"/>
        </w:trPr>
        <w:tc>
          <w:tcPr>
            <w:tcW w:w="110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(iv)</w:t>
            </w:r>
          </w:p>
        </w:tc>
        <w:tc>
          <w:tcPr>
            <w:tcW w:w="4200" w:type="dxa"/>
            <w:vAlign w:val="bottom"/>
          </w:tcPr>
          <w:p>
            <w:pPr>
              <w:ind w:left="80"/>
              <w:spacing w:after="0"/>
              <w:rPr>
                <w:sz w:val="20"/>
                <w:szCs w:val="20"/>
                <w:color w:val="auto"/>
              </w:rPr>
            </w:pPr>
            <w:r>
              <w:rPr>
                <w:rFonts w:ascii="Arial" w:cs="Arial" w:eastAsia="Arial" w:hAnsi="Arial"/>
                <w:sz w:val="18"/>
                <w:szCs w:val="18"/>
                <w:color w:val="auto"/>
                <w:w w:val="95"/>
              </w:rPr>
              <w:t>shared power to dispose or to direct the disposition of:</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59"/>
        </w:trPr>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jc w:val="both"/>
        <w:ind w:firstLine="8"/>
        <w:spacing w:after="0" w:line="267" w:lineRule="auto"/>
        <w:tabs>
          <w:tab w:leader="none" w:pos="162"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the information set forth in the Quarterly Report on Form 10-Q of Oil-Dri Corporation of America (the “Company”) filed with the Securities and Exchange Commission on December 6, 2013, there were 4,978,893 shares of the Company’s common stock, par value $0.10 (the “Common Stock”), outstanding as of October 31, 2013. As of December 31, 2013, Harvey SMidCap Fund, LP, a Delaware limited partnership (“SMidCap Fund”), held 50,213 shares of Common Stock, Harvey SMidCap Offshore Fund, Ltd., a Cayman Islands exempted company (“SMidCap Offshore Fund”), held 88,403 shares of Common Stock, and Harvey QP, LP, a Delaware limited partnership (“Harvey QP”), held 86,384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225,000 shares of Common Stock, or 4.5% of the Common Stock deemed issued and outstanding as of December 31, 2013.</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14756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940"/>
          </w:cols>
          <w:pgMar w:left="240" w:top="611" w:right="71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owner of more than five percent of the class of securities, check the following: [X]</w:t>
      </w:r>
    </w:p>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 or Control Person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February 14, 2014</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HARVEY PARTNERS, LLC</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By:/s/ Jeffrey C.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1045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Jeffrey C. Moskowitz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Attention: Intentional misstatements or omissions of fact constitute</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sectPr>
      <w:pgSz w:w="11900" w:h="16838" w:orient="portrait"/>
      <w:cols w:equalWidth="0" w:num="1">
        <w:col w:w="11060"/>
      </w:cols>
      <w:pgMar w:left="240" w:top="76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2020-01-26T00:56:44Z</dcterms:created>
  <dcterms:modified xsi:type="dcterms:W3CDTF">2020-01-26T00:56:44Z</dcterms:modified>
</cp:coreProperties>
</file>