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p>
      <w:pPr>
        <w:ind w:left="40"/>
        <w:spacing w:after="0"/>
        <w:tabs>
          <w:tab w:leader="none" w:pos="99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October 13, 2020</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OIL-DRI CORPORATION OF AMERICA</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Delaware</w:t>
      </w:r>
      <w:r>
        <w:rPr>
          <w:rFonts w:ascii="Arial" w:cs="Arial" w:eastAsia="Arial" w:hAnsi="Arial"/>
          <w:sz w:val="22"/>
          <w:szCs w:val="22"/>
          <w:b w:val="1"/>
          <w:bCs w:val="1"/>
          <w:color w:val="auto"/>
        </w:rPr>
        <w:t xml:space="preserve"> 001-12622 </w:t>
      </w:r>
      <w:r>
        <w:rPr>
          <w:rFonts w:ascii="Arial" w:cs="Arial" w:eastAsia="Arial" w:hAnsi="Arial"/>
          <w:sz w:val="22"/>
          <w:szCs w:val="22"/>
          <w:b w:val="1"/>
          <w:bCs w:val="1"/>
          <w:u w:val="single" w:color="auto"/>
          <w:color w:val="auto"/>
        </w:rPr>
        <w:t>36-2048898</w:t>
      </w:r>
    </w:p>
    <w:p>
      <w:pPr>
        <w:spacing w:after="0" w:line="179" w:lineRule="exact"/>
        <w:rPr>
          <w:sz w:val="24"/>
          <w:szCs w:val="24"/>
          <w:color w:val="auto"/>
        </w:rPr>
      </w:pPr>
    </w:p>
    <w:p>
      <w:pPr>
        <w:ind w:left="160"/>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1240"/>
          </w:cols>
          <w:pgMar w:left="320" w:top="661" w:right="339" w:bottom="1440" w:gutter="0" w:footer="0" w:header="0"/>
        </w:sectPr>
      </w:pPr>
    </w:p>
    <w:p>
      <w:pPr>
        <w:spacing w:after="0" w:line="23" w:lineRule="exact"/>
        <w:rPr>
          <w:sz w:val="24"/>
          <w:szCs w:val="24"/>
          <w:color w:val="auto"/>
        </w:rPr>
      </w:pPr>
    </w:p>
    <w:p>
      <w:pPr>
        <w:ind w:left="1120"/>
        <w:spacing w:after="0"/>
        <w:rPr>
          <w:sz w:val="20"/>
          <w:szCs w:val="20"/>
          <w:color w:val="auto"/>
        </w:rPr>
      </w:pPr>
      <w:r>
        <w:rPr>
          <w:rFonts w:ascii="Arial" w:cs="Arial" w:eastAsia="Arial" w:hAnsi="Arial"/>
          <w:sz w:val="16"/>
          <w:szCs w:val="16"/>
          <w:color w:val="auto"/>
        </w:rPr>
        <w:t>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40" w:space="720"/>
            <w:col w:w="3040"/>
          </w:cols>
          <w:pgMar w:left="320" w:top="661" w:right="339" w:bottom="1440" w:gutter="0" w:footer="0" w:header="0"/>
          <w:type w:val="continuous"/>
        </w:sect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661" w:right="339" w:bottom="1440" w:gutter="0" w:footer="0" w:header="0"/>
          <w:type w:val="continuous"/>
        </w:sectPr>
      </w:pPr>
    </w:p>
    <w:p>
      <w:pPr>
        <w:spacing w:after="0" w:line="171" w:lineRule="exact"/>
        <w:rPr>
          <w:sz w:val="24"/>
          <w:szCs w:val="24"/>
          <w:color w:val="auto"/>
        </w:rPr>
      </w:pPr>
    </w:p>
    <w:p>
      <w:pPr>
        <w:ind w:left="6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3860" w:space="720"/>
            <w:col w:w="1340" w:space="520"/>
            <w:col w:w="4800"/>
          </w:cols>
          <w:pgMar w:left="320" w:top="661" w:right="33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11" w:lineRule="exact"/>
        <w:rPr>
          <w:sz w:val="24"/>
          <w:szCs w:val="24"/>
          <w:color w:val="auto"/>
        </w:rPr>
      </w:pPr>
    </w:p>
    <w:p>
      <w:pPr>
        <w:sectPr>
          <w:pgSz w:w="11900" w:h="16838" w:orient="portrait"/>
          <w:cols w:equalWidth="0" w:num="3">
            <w:col w:w="3860" w:space="720"/>
            <w:col w:w="1140" w:space="720"/>
            <w:col w:w="4800"/>
          </w:cols>
          <w:pgMar w:left="320" w:top="661" w:right="339" w:bottom="1440" w:gutter="0" w:footer="0" w:header="0"/>
          <w:type w:val="continuous"/>
        </w:sectPr>
      </w:pPr>
    </w:p>
    <w:p>
      <w:pPr>
        <w:spacing w:after="0" w:line="6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840" w:hanging="576"/>
        <w:spacing w:after="0"/>
        <w:tabs>
          <w:tab w:leader="none" w:pos="8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564"/>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564"/>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564"/>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159385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73660</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 w:name="page2"/>
    <w:bookmarkEnd w:id="1"/>
    <w:p>
      <w:pPr>
        <w:ind w:left="26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13, 2020, Oil-Dri Corporation of America (the “Registrant”) issued a press release announcing its results of operations for its fourth quarter and fiscal year ended July 31, 2020.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34" w:lineRule="exact"/>
        <w:rPr>
          <w:sz w:val="20"/>
          <w:szCs w:val="20"/>
          <w:color w:val="auto"/>
        </w:rPr>
      </w:pPr>
    </w:p>
    <w:p>
      <w:pPr>
        <w:ind w:left="26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40"/>
        <w:spacing w:after="0"/>
        <w:tabs>
          <w:tab w:leader="none" w:pos="56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820"/>
        <w:spacing w:after="0"/>
        <w:tabs>
          <w:tab w:leader="none" w:pos="170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of the Registrant dated October 13, 2020</w:t>
        </w:r>
      </w:hyperlink>
    </w:p>
    <w:p>
      <w:pPr>
        <w:sectPr>
          <w:pgSz w:w="11900" w:h="16838" w:orient="portrait"/>
          <w:cols w:equalWidth="0" w:num="1">
            <w:col w:w="11240"/>
          </w:cols>
          <w:pgMar w:left="320" w:top="715"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4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2020</w:t>
      </w:r>
    </w:p>
    <w:p>
      <w:pPr>
        <w:sectPr>
          <w:pgSz w:w="11900" w:h="16838" w:orient="portrait"/>
          <w:cols w:equalWidth="0" w:num="1">
            <w:col w:w="10880"/>
          </w:cols>
          <w:pgMar w:left="320" w:top="553" w:right="69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294640</wp:posOffset>
            </wp:positionV>
            <wp:extent cx="1474470" cy="488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59"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Fourth Quarter and All-Time Record Fiscal 2020 Results</w:t>
      </w:r>
    </w:p>
    <w:p>
      <w:pPr>
        <w:spacing w:after="0" w:line="266" w:lineRule="exact"/>
        <w:rPr>
          <w:sz w:val="20"/>
          <w:szCs w:val="20"/>
          <w:color w:val="auto"/>
        </w:rPr>
      </w:pPr>
    </w:p>
    <w:p>
      <w:pPr>
        <w:ind w:right="660"/>
        <w:spacing w:after="0" w:line="263" w:lineRule="auto"/>
        <w:rPr>
          <w:sz w:val="20"/>
          <w:szCs w:val="20"/>
          <w:color w:val="auto"/>
        </w:rPr>
      </w:pPr>
      <w:r>
        <w:rPr>
          <w:rFonts w:ascii="Arial" w:cs="Arial" w:eastAsia="Arial" w:hAnsi="Arial"/>
          <w:sz w:val="22"/>
          <w:szCs w:val="22"/>
          <w:color w:val="auto"/>
        </w:rPr>
        <w:t>CHICAGO-(October 13, 2020)-Oil-Dri Corporation of America (NYSE: ODC), producer and marketer of sorbent mineral products, today announced results for its fourth quarter and fiscal year 2020.</w:t>
      </w:r>
    </w:p>
    <w:p>
      <w:pPr>
        <w:spacing w:after="0" w:line="110" w:lineRule="exact"/>
        <w:rPr>
          <w:sz w:val="20"/>
          <w:szCs w:val="20"/>
          <w:color w:val="auto"/>
        </w:rPr>
      </w:pPr>
    </w:p>
    <w:p>
      <w:pPr>
        <w:ind w:left="4860"/>
        <w:spacing w:after="0"/>
        <w:tabs>
          <w:tab w:leader="none" w:pos="8840" w:val="left"/>
        </w:tabs>
        <w:rPr>
          <w:sz w:val="20"/>
          <w:szCs w:val="20"/>
          <w:color w:val="auto"/>
        </w:rPr>
      </w:pPr>
      <w:r>
        <w:rPr>
          <w:rFonts w:ascii="Arial" w:cs="Arial" w:eastAsia="Arial" w:hAnsi="Arial"/>
          <w:sz w:val="18"/>
          <w:szCs w:val="18"/>
          <w:b w:val="1"/>
          <w:bCs w:val="1"/>
          <w:color w:val="auto"/>
        </w:rPr>
        <w:t>Fourth Quarter</w:t>
      </w:r>
      <w:r>
        <w:rPr>
          <w:sz w:val="20"/>
          <w:szCs w:val="20"/>
          <w:color w:val="auto"/>
        </w:rPr>
        <w:tab/>
      </w:r>
      <w:r>
        <w:rPr>
          <w:rFonts w:ascii="Arial" w:cs="Arial" w:eastAsia="Arial" w:hAnsi="Arial"/>
          <w:sz w:val="15"/>
          <w:szCs w:val="15"/>
          <w:b w:val="1"/>
          <w:bCs w:val="1"/>
          <w:color w:val="auto"/>
        </w:rPr>
        <w:t>Fiscal Year</w:t>
      </w:r>
    </w:p>
    <w:p>
      <w:pPr>
        <w:spacing w:after="0" w:line="130" w:lineRule="exact"/>
        <w:rPr>
          <w:sz w:val="20"/>
          <w:szCs w:val="20"/>
          <w:color w:val="auto"/>
        </w:rPr>
      </w:pPr>
    </w:p>
    <w:p>
      <w:pPr>
        <w:ind w:left="5060"/>
        <w:spacing w:after="0"/>
        <w:tabs>
          <w:tab w:leader="none" w:pos="8860" w:val="left"/>
        </w:tabs>
        <w:rPr>
          <w:sz w:val="20"/>
          <w:szCs w:val="20"/>
          <w:color w:val="auto"/>
        </w:rPr>
      </w:pPr>
      <w:r>
        <w:rPr>
          <w:rFonts w:ascii="Arial" w:cs="Arial" w:eastAsia="Arial" w:hAnsi="Arial"/>
          <w:sz w:val="14"/>
          <w:szCs w:val="14"/>
          <w:i w:val="1"/>
          <w:iCs w:val="1"/>
          <w:color w:val="auto"/>
        </w:rPr>
        <w:t>Ended July 31</w:t>
      </w:r>
      <w:r>
        <w:rPr>
          <w:sz w:val="20"/>
          <w:szCs w:val="20"/>
          <w:color w:val="auto"/>
        </w:rPr>
        <w:tab/>
      </w:r>
      <w:r>
        <w:rPr>
          <w:rFonts w:ascii="Arial" w:cs="Arial" w:eastAsia="Arial" w:hAnsi="Arial"/>
          <w:sz w:val="12"/>
          <w:szCs w:val="12"/>
          <w:i w:val="1"/>
          <w:iCs w:val="1"/>
          <w:color w:val="auto"/>
        </w:rPr>
        <w:t>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40575"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7970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p>
      <w:pPr>
        <w:spacing w:after="0" w:line="73" w:lineRule="exact"/>
        <w:rPr>
          <w:sz w:val="20"/>
          <w:szCs w:val="20"/>
          <w:color w:val="auto"/>
        </w:rPr>
      </w:pPr>
    </w:p>
    <w:p>
      <w:pPr>
        <w:jc w:val="both"/>
        <w:ind w:left="4140"/>
        <w:spacing w:after="0"/>
        <w:tabs>
          <w:tab w:leader="none" w:pos="5460" w:val="left"/>
          <w:tab w:leader="none" w:pos="654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r>
        <w:rPr>
          <w:sz w:val="20"/>
          <w:szCs w:val="20"/>
          <w:color w:val="auto"/>
        </w:rPr>
        <w:tab/>
      </w: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405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17145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31750</wp:posOffset>
            </wp:positionV>
            <wp:extent cx="8255"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4883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889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48831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31750</wp:posOffset>
            </wp:positionV>
            <wp:extent cx="8255"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tabs>
          <w:tab w:leader="none" w:pos="1440" w:val="left"/>
          <w:tab w:leader="none" w:pos="256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r>
        <w:rPr>
          <w:sz w:val="20"/>
          <w:szCs w:val="20"/>
          <w:color w:val="auto"/>
        </w:rPr>
        <w:tab/>
      </w: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208915</wp:posOffset>
            </wp:positionV>
            <wp:extent cx="825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488315"/>
                    </a:xfrm>
                    <a:prstGeom prst="rect">
                      <a:avLst/>
                    </a:prstGeom>
                    <a:noFill/>
                  </pic:spPr>
                </pic:pic>
              </a:graphicData>
            </a:graphic>
          </wp:anchor>
        </w:drawing>
      </w:r>
    </w:p>
    <w:p>
      <w:pPr>
        <w:spacing w:after="0" w:line="347" w:lineRule="exact"/>
        <w:rPr>
          <w:sz w:val="20"/>
          <w:szCs w:val="20"/>
          <w:color w:val="auto"/>
        </w:rPr>
      </w:pPr>
    </w:p>
    <w:p>
      <w:pPr>
        <w:sectPr>
          <w:pgSz w:w="11900" w:h="16838" w:orient="portrait"/>
          <w:cols w:equalWidth="0" w:num="2">
            <w:col w:w="7180" w:space="720"/>
            <w:col w:w="3340"/>
          </w:cols>
          <w:pgMar w:left="320" w:top="1260"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Net Sales</w:t>
      </w:r>
    </w:p>
    <w:p>
      <w:pPr>
        <w:spacing w:after="0" w:line="73" w:lineRule="exact"/>
        <w:rPr>
          <w:sz w:val="20"/>
          <w:szCs w:val="20"/>
          <w:color w:val="auto"/>
        </w:rPr>
      </w:pPr>
    </w:p>
    <w:p>
      <w:pPr>
        <w:ind w:left="40" w:right="940"/>
        <w:spacing w:after="0" w:line="379" w:lineRule="auto"/>
        <w:rPr>
          <w:sz w:val="20"/>
          <w:szCs w:val="20"/>
          <w:color w:val="auto"/>
        </w:rPr>
      </w:pPr>
      <w:r>
        <w:rPr>
          <w:rFonts w:ascii="Arial" w:cs="Arial" w:eastAsia="Arial" w:hAnsi="Arial"/>
          <w:sz w:val="14"/>
          <w:szCs w:val="14"/>
          <w:color w:val="auto"/>
        </w:rPr>
        <w:t>Net Income Attributable to Oil-Dri Earnings per Common Diluted Share</w:t>
      </w:r>
    </w:p>
    <w:p>
      <w:pPr>
        <w:ind w:left="40"/>
        <w:spacing w:after="0"/>
        <w:rPr>
          <w:sz w:val="20"/>
          <w:szCs w:val="20"/>
          <w:color w:val="auto"/>
        </w:rPr>
      </w:pPr>
      <w:r>
        <w:rPr>
          <w:rFonts w:ascii="Arial" w:cs="Arial" w:eastAsia="Arial" w:hAnsi="Arial"/>
          <w:sz w:val="18"/>
          <w:szCs w:val="18"/>
          <w:color w:val="FFFFFF"/>
        </w:rPr>
        <w:t>Business to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889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80" w:type="dxa"/>
            <w:vAlign w:val="bottom"/>
          </w:tcPr>
          <w:p>
            <w:pPr>
              <w:jc w:val="right"/>
              <w:ind w:right="179"/>
              <w:spacing w:after="0"/>
              <w:rPr>
                <w:sz w:val="20"/>
                <w:szCs w:val="20"/>
                <w:color w:val="auto"/>
              </w:rPr>
            </w:pPr>
            <w:r>
              <w:rPr>
                <w:rFonts w:ascii="Arial" w:cs="Arial" w:eastAsia="Arial" w:hAnsi="Arial"/>
                <w:sz w:val="16"/>
                <w:szCs w:val="16"/>
                <w:color w:val="auto"/>
                <w:w w:val="89"/>
              </w:rPr>
              <w:t>$64,844,000</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$70,117,000</w:t>
            </w:r>
          </w:p>
        </w:tc>
        <w:tc>
          <w:tcPr>
            <w:tcW w:w="500" w:type="dxa"/>
            <w:vAlign w:val="bottom"/>
          </w:tcPr>
          <w:p>
            <w:pPr>
              <w:jc w:val="center"/>
              <w:ind w:left="99"/>
              <w:spacing w:after="0"/>
              <w:rPr>
                <w:sz w:val="20"/>
                <w:szCs w:val="20"/>
                <w:color w:val="auto"/>
              </w:rPr>
            </w:pPr>
            <w:r>
              <w:rPr>
                <w:rFonts w:ascii="Arial" w:cs="Arial" w:eastAsia="Arial" w:hAnsi="Arial"/>
                <w:sz w:val="16"/>
                <w:szCs w:val="16"/>
                <w:color w:val="auto"/>
                <w:w w:val="94"/>
              </w:rPr>
              <w:t>(8)%</w:t>
            </w:r>
          </w:p>
        </w:tc>
      </w:tr>
      <w:tr>
        <w:trPr>
          <w:trHeight w:val="257"/>
        </w:trPr>
        <w:tc>
          <w:tcPr>
            <w:tcW w:w="1080" w:type="dxa"/>
            <w:vAlign w:val="bottom"/>
          </w:tcPr>
          <w:p>
            <w:pPr>
              <w:jc w:val="right"/>
              <w:ind w:right="179"/>
              <w:spacing w:after="0"/>
              <w:rPr>
                <w:sz w:val="20"/>
                <w:szCs w:val="20"/>
                <w:color w:val="auto"/>
              </w:rPr>
            </w:pPr>
            <w:r>
              <w:rPr>
                <w:rFonts w:ascii="Arial" w:cs="Arial" w:eastAsia="Arial" w:hAnsi="Arial"/>
                <w:sz w:val="16"/>
                <w:szCs w:val="16"/>
                <w:color w:val="auto"/>
                <w:w w:val="99"/>
              </w:rPr>
              <w:t>$5,886,000</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$3,799,000</w:t>
            </w:r>
          </w:p>
        </w:tc>
        <w:tc>
          <w:tcPr>
            <w:tcW w:w="500" w:type="dxa"/>
            <w:vAlign w:val="bottom"/>
          </w:tcPr>
          <w:p>
            <w:pPr>
              <w:jc w:val="center"/>
              <w:ind w:left="99"/>
              <w:spacing w:after="0"/>
              <w:rPr>
                <w:sz w:val="20"/>
                <w:szCs w:val="20"/>
                <w:color w:val="auto"/>
              </w:rPr>
            </w:pPr>
            <w:r>
              <w:rPr>
                <w:rFonts w:ascii="Arial" w:cs="Arial" w:eastAsia="Arial" w:hAnsi="Arial"/>
                <w:sz w:val="16"/>
                <w:szCs w:val="16"/>
                <w:color w:val="auto"/>
                <w:w w:val="87"/>
              </w:rPr>
              <w:t>55%</w:t>
            </w:r>
          </w:p>
        </w:tc>
      </w:tr>
      <w:tr>
        <w:trPr>
          <w:trHeight w:val="257"/>
        </w:trPr>
        <w:tc>
          <w:tcPr>
            <w:tcW w:w="1080" w:type="dxa"/>
            <w:vAlign w:val="bottom"/>
          </w:tcPr>
          <w:p>
            <w:pPr>
              <w:jc w:val="right"/>
              <w:ind w:right="179"/>
              <w:spacing w:after="0"/>
              <w:rPr>
                <w:sz w:val="20"/>
                <w:szCs w:val="20"/>
                <w:color w:val="auto"/>
              </w:rPr>
            </w:pPr>
            <w:r>
              <w:rPr>
                <w:rFonts w:ascii="Arial" w:cs="Arial" w:eastAsia="Arial" w:hAnsi="Arial"/>
                <w:sz w:val="16"/>
                <w:szCs w:val="16"/>
                <w:color w:val="auto"/>
              </w:rPr>
              <w:t>$0.83</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$0.54</w:t>
            </w:r>
          </w:p>
        </w:tc>
        <w:tc>
          <w:tcPr>
            <w:tcW w:w="500" w:type="dxa"/>
            <w:vAlign w:val="bottom"/>
          </w:tcPr>
          <w:p>
            <w:pPr>
              <w:jc w:val="center"/>
              <w:ind w:left="99"/>
              <w:spacing w:after="0"/>
              <w:rPr>
                <w:sz w:val="20"/>
                <w:szCs w:val="20"/>
                <w:color w:val="auto"/>
              </w:rPr>
            </w:pPr>
            <w:r>
              <w:rPr>
                <w:rFonts w:ascii="Arial" w:cs="Arial" w:eastAsia="Arial" w:hAnsi="Arial"/>
                <w:sz w:val="16"/>
                <w:szCs w:val="16"/>
                <w:color w:val="auto"/>
                <w:w w:val="87"/>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20955</wp:posOffset>
            </wp:positionV>
            <wp:extent cx="714057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80" w:type="dxa"/>
            <w:vAlign w:val="bottom"/>
          </w:tcPr>
          <w:p>
            <w:pPr>
              <w:jc w:val="right"/>
              <w:ind w:right="199"/>
              <w:spacing w:after="0"/>
              <w:rPr>
                <w:sz w:val="20"/>
                <w:szCs w:val="20"/>
                <w:color w:val="auto"/>
              </w:rPr>
            </w:pPr>
            <w:r>
              <w:rPr>
                <w:rFonts w:ascii="Arial" w:cs="Arial" w:eastAsia="Arial" w:hAnsi="Arial"/>
                <w:sz w:val="16"/>
                <w:szCs w:val="16"/>
                <w:color w:val="auto"/>
                <w:w w:val="89"/>
              </w:rPr>
              <w:t>$283,227,000</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$277,025,000</w:t>
            </w:r>
          </w:p>
        </w:tc>
        <w:tc>
          <w:tcPr>
            <w:tcW w:w="480" w:type="dxa"/>
            <w:vAlign w:val="bottom"/>
          </w:tcPr>
          <w:p>
            <w:pPr>
              <w:jc w:val="center"/>
              <w:ind w:left="119"/>
              <w:spacing w:after="0"/>
              <w:rPr>
                <w:sz w:val="20"/>
                <w:szCs w:val="20"/>
                <w:color w:val="auto"/>
              </w:rPr>
            </w:pPr>
            <w:r>
              <w:rPr>
                <w:rFonts w:ascii="Arial" w:cs="Arial" w:eastAsia="Arial" w:hAnsi="Arial"/>
                <w:sz w:val="16"/>
                <w:szCs w:val="16"/>
                <w:color w:val="auto"/>
                <w:w w:val="86"/>
              </w:rPr>
              <w:t>2%</w:t>
            </w:r>
          </w:p>
        </w:tc>
      </w:tr>
      <w:tr>
        <w:trPr>
          <w:trHeight w:val="257"/>
        </w:trPr>
        <w:tc>
          <w:tcPr>
            <w:tcW w:w="1180" w:type="dxa"/>
            <w:vAlign w:val="bottom"/>
          </w:tcPr>
          <w:p>
            <w:pPr>
              <w:jc w:val="right"/>
              <w:ind w:right="199"/>
              <w:spacing w:after="0"/>
              <w:rPr>
                <w:sz w:val="20"/>
                <w:szCs w:val="20"/>
                <w:color w:val="auto"/>
              </w:rPr>
            </w:pPr>
            <w:r>
              <w:rPr>
                <w:rFonts w:ascii="Arial" w:cs="Arial" w:eastAsia="Arial" w:hAnsi="Arial"/>
                <w:sz w:val="16"/>
                <w:szCs w:val="16"/>
                <w:color w:val="auto"/>
                <w:w w:val="98"/>
              </w:rPr>
              <w:t>$18,900,000</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$12,611,000</w:t>
            </w:r>
          </w:p>
        </w:tc>
        <w:tc>
          <w:tcPr>
            <w:tcW w:w="480" w:type="dxa"/>
            <w:vAlign w:val="bottom"/>
          </w:tcPr>
          <w:p>
            <w:pPr>
              <w:jc w:val="center"/>
              <w:ind w:left="119"/>
              <w:spacing w:after="0"/>
              <w:rPr>
                <w:sz w:val="20"/>
                <w:szCs w:val="20"/>
                <w:color w:val="auto"/>
              </w:rPr>
            </w:pPr>
            <w:r>
              <w:rPr>
                <w:rFonts w:ascii="Arial" w:cs="Arial" w:eastAsia="Arial" w:hAnsi="Arial"/>
                <w:sz w:val="16"/>
                <w:szCs w:val="16"/>
                <w:color w:val="auto"/>
                <w:w w:val="87"/>
              </w:rPr>
              <w:t>50%</w:t>
            </w:r>
          </w:p>
        </w:tc>
      </w:tr>
      <w:tr>
        <w:trPr>
          <w:trHeight w:val="257"/>
        </w:trPr>
        <w:tc>
          <w:tcPr>
            <w:tcW w:w="1180" w:type="dxa"/>
            <w:vAlign w:val="bottom"/>
          </w:tcPr>
          <w:p>
            <w:pPr>
              <w:jc w:val="right"/>
              <w:ind w:right="199"/>
              <w:spacing w:after="0"/>
              <w:rPr>
                <w:sz w:val="20"/>
                <w:szCs w:val="20"/>
                <w:color w:val="auto"/>
              </w:rPr>
            </w:pPr>
            <w:r>
              <w:rPr>
                <w:rFonts w:ascii="Arial" w:cs="Arial" w:eastAsia="Arial" w:hAnsi="Arial"/>
                <w:sz w:val="16"/>
                <w:szCs w:val="16"/>
                <w:color w:val="auto"/>
              </w:rPr>
              <w:t>$2.65</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$1.80</w:t>
            </w:r>
          </w:p>
        </w:tc>
        <w:tc>
          <w:tcPr>
            <w:tcW w:w="480" w:type="dxa"/>
            <w:vAlign w:val="bottom"/>
          </w:tcPr>
          <w:p>
            <w:pPr>
              <w:jc w:val="center"/>
              <w:ind w:left="119"/>
              <w:spacing w:after="0"/>
              <w:rPr>
                <w:sz w:val="20"/>
                <w:szCs w:val="20"/>
                <w:color w:val="auto"/>
              </w:rPr>
            </w:pPr>
            <w:r>
              <w:rPr>
                <w:rFonts w:ascii="Arial" w:cs="Arial" w:eastAsia="Arial" w:hAnsi="Arial"/>
                <w:sz w:val="16"/>
                <w:szCs w:val="16"/>
                <w:color w:val="auto"/>
                <w:w w:val="87"/>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192405</wp:posOffset>
            </wp:positionV>
            <wp:extent cx="8255"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325755"/>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3">
            <w:col w:w="3400" w:space="720"/>
            <w:col w:w="3020" w:space="720"/>
            <w:col w:w="3380"/>
          </w:cols>
          <w:pgMar w:left="320" w:top="1260"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Net Sales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Segment Operating Income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Retail and Wholesale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80" w:type="dxa"/>
            <w:vAlign w:val="bottom"/>
          </w:tcPr>
          <w:p>
            <w:pPr>
              <w:jc w:val="right"/>
              <w:ind w:right="179"/>
              <w:spacing w:after="0"/>
              <w:rPr>
                <w:sz w:val="20"/>
                <w:szCs w:val="20"/>
                <w:color w:val="auto"/>
              </w:rPr>
            </w:pPr>
            <w:r>
              <w:rPr>
                <w:rFonts w:ascii="Arial" w:cs="Arial" w:eastAsia="Arial" w:hAnsi="Arial"/>
                <w:sz w:val="16"/>
                <w:szCs w:val="16"/>
                <w:color w:val="auto"/>
                <w:w w:val="89"/>
              </w:rPr>
              <w:t>$26,628,000</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$28,052,000</w:t>
            </w: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56"/>
        </w:trPr>
        <w:tc>
          <w:tcPr>
            <w:tcW w:w="1080" w:type="dxa"/>
            <w:vAlign w:val="bottom"/>
          </w:tcPr>
          <w:p>
            <w:pPr>
              <w:jc w:val="right"/>
              <w:ind w:right="179"/>
              <w:spacing w:after="0"/>
              <w:rPr>
                <w:sz w:val="20"/>
                <w:szCs w:val="20"/>
                <w:color w:val="auto"/>
              </w:rPr>
            </w:pPr>
            <w:r>
              <w:rPr>
                <w:rFonts w:ascii="Arial" w:cs="Arial" w:eastAsia="Arial" w:hAnsi="Arial"/>
                <w:sz w:val="16"/>
                <w:szCs w:val="16"/>
                <w:color w:val="auto"/>
                <w:w w:val="99"/>
              </w:rPr>
              <w:t>$7,172,000</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$9,630,000</w:t>
            </w:r>
          </w:p>
        </w:tc>
        <w:tc>
          <w:tcPr>
            <w:tcW w:w="56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20955</wp:posOffset>
            </wp:positionV>
            <wp:extent cx="7140575" cy="505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80" w:type="dxa"/>
            <w:vAlign w:val="bottom"/>
          </w:tcPr>
          <w:p>
            <w:pPr>
              <w:jc w:val="right"/>
              <w:ind w:right="199"/>
              <w:spacing w:after="0"/>
              <w:rPr>
                <w:sz w:val="20"/>
                <w:szCs w:val="20"/>
                <w:color w:val="auto"/>
              </w:rPr>
            </w:pPr>
            <w:r>
              <w:rPr>
                <w:rFonts w:ascii="Arial" w:cs="Arial" w:eastAsia="Arial" w:hAnsi="Arial"/>
                <w:sz w:val="16"/>
                <w:szCs w:val="16"/>
                <w:color w:val="auto"/>
                <w:w w:val="89"/>
              </w:rPr>
              <w:t>$104,260,000</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$105,877,000</w:t>
            </w: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6"/>
        </w:trPr>
        <w:tc>
          <w:tcPr>
            <w:tcW w:w="1180" w:type="dxa"/>
            <w:vAlign w:val="bottom"/>
          </w:tcPr>
          <w:p>
            <w:pPr>
              <w:jc w:val="right"/>
              <w:ind w:right="199"/>
              <w:spacing w:after="0"/>
              <w:rPr>
                <w:sz w:val="20"/>
                <w:szCs w:val="20"/>
                <w:color w:val="auto"/>
              </w:rPr>
            </w:pPr>
            <w:r>
              <w:rPr>
                <w:rFonts w:ascii="Arial" w:cs="Arial" w:eastAsia="Arial" w:hAnsi="Arial"/>
                <w:sz w:val="16"/>
                <w:szCs w:val="16"/>
                <w:color w:val="auto"/>
                <w:w w:val="98"/>
              </w:rPr>
              <w:t>$31,218,000</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$31,388,000</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320" w:lineRule="exact"/>
        <w:rPr>
          <w:sz w:val="20"/>
          <w:szCs w:val="20"/>
          <w:color w:val="auto"/>
        </w:rPr>
      </w:pPr>
    </w:p>
    <w:p>
      <w:pPr>
        <w:sectPr>
          <w:pgSz w:w="11900" w:h="16838" w:orient="portrait"/>
          <w:cols w:equalWidth="0" w:num="3">
            <w:col w:w="3400" w:space="720"/>
            <w:col w:w="3020" w:space="720"/>
            <w:col w:w="3380"/>
          </w:cols>
          <w:pgMar w:left="320" w:top="1260"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Net Sales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Segment Operating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80" w:type="dxa"/>
            <w:vAlign w:val="bottom"/>
          </w:tcPr>
          <w:p>
            <w:pPr>
              <w:jc w:val="right"/>
              <w:ind w:right="179"/>
              <w:spacing w:after="0"/>
              <w:rPr>
                <w:sz w:val="20"/>
                <w:szCs w:val="20"/>
                <w:color w:val="auto"/>
              </w:rPr>
            </w:pPr>
            <w:r>
              <w:rPr>
                <w:rFonts w:ascii="Arial" w:cs="Arial" w:eastAsia="Arial" w:hAnsi="Arial"/>
                <w:sz w:val="16"/>
                <w:szCs w:val="16"/>
                <w:color w:val="auto"/>
                <w:w w:val="89"/>
              </w:rPr>
              <w:t>$38,216,000</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$42,065,000</w:t>
            </w: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6"/>
        </w:trPr>
        <w:tc>
          <w:tcPr>
            <w:tcW w:w="1080" w:type="dxa"/>
            <w:vAlign w:val="bottom"/>
          </w:tcPr>
          <w:p>
            <w:pPr>
              <w:jc w:val="right"/>
              <w:ind w:right="179"/>
              <w:spacing w:after="0"/>
              <w:rPr>
                <w:sz w:val="20"/>
                <w:szCs w:val="20"/>
                <w:color w:val="auto"/>
              </w:rPr>
            </w:pPr>
            <w:r>
              <w:rPr>
                <w:rFonts w:ascii="Arial" w:cs="Arial" w:eastAsia="Arial" w:hAnsi="Arial"/>
                <w:sz w:val="16"/>
                <w:szCs w:val="16"/>
                <w:color w:val="auto"/>
              </w:rPr>
              <w:t>$479,000</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$1,860,000</w:t>
            </w:r>
          </w:p>
        </w:tc>
        <w:tc>
          <w:tcPr>
            <w:tcW w:w="560" w:type="dxa"/>
            <w:vAlign w:val="bottom"/>
          </w:tcPr>
          <w:p>
            <w:pPr>
              <w:jc w:val="right"/>
              <w:spacing w:after="0"/>
              <w:rPr>
                <w:sz w:val="20"/>
                <w:szCs w:val="20"/>
                <w:color w:val="auto"/>
              </w:rPr>
            </w:pPr>
            <w:r>
              <w:rPr>
                <w:rFonts w:ascii="Arial" w:cs="Arial" w:eastAsia="Arial" w:hAnsi="Arial"/>
                <w:sz w:val="16"/>
                <w:szCs w:val="16"/>
                <w:color w:val="auto"/>
              </w:rPr>
              <w:t>(74)%</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80" w:type="dxa"/>
            <w:vAlign w:val="bottom"/>
          </w:tcPr>
          <w:p>
            <w:pPr>
              <w:jc w:val="right"/>
              <w:ind w:right="199"/>
              <w:spacing w:after="0"/>
              <w:rPr>
                <w:sz w:val="20"/>
                <w:szCs w:val="20"/>
                <w:color w:val="auto"/>
              </w:rPr>
            </w:pPr>
            <w:r>
              <w:rPr>
                <w:rFonts w:ascii="Arial" w:cs="Arial" w:eastAsia="Arial" w:hAnsi="Arial"/>
                <w:sz w:val="16"/>
                <w:szCs w:val="16"/>
                <w:color w:val="auto"/>
                <w:w w:val="89"/>
              </w:rPr>
              <w:t>$178,967,000</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$171,148,000</w:t>
            </w: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56"/>
        </w:trPr>
        <w:tc>
          <w:tcPr>
            <w:tcW w:w="1180" w:type="dxa"/>
            <w:vAlign w:val="bottom"/>
          </w:tcPr>
          <w:p>
            <w:pPr>
              <w:jc w:val="right"/>
              <w:ind w:right="199"/>
              <w:spacing w:after="0"/>
              <w:rPr>
                <w:sz w:val="20"/>
                <w:szCs w:val="20"/>
                <w:color w:val="auto"/>
              </w:rPr>
            </w:pPr>
            <w:r>
              <w:rPr>
                <w:rFonts w:ascii="Arial" w:cs="Arial" w:eastAsia="Arial" w:hAnsi="Arial"/>
                <w:sz w:val="16"/>
                <w:szCs w:val="16"/>
                <w:color w:val="auto"/>
                <w:w w:val="98"/>
              </w:rPr>
              <w:t>$15,859,000</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$8,683,000</w:t>
            </w:r>
          </w:p>
        </w:tc>
        <w:tc>
          <w:tcPr>
            <w:tcW w:w="480" w:type="dxa"/>
            <w:vAlign w:val="bottom"/>
          </w:tcPr>
          <w:p>
            <w:pPr>
              <w:jc w:val="right"/>
              <w:spacing w:after="0"/>
              <w:rPr>
                <w:sz w:val="20"/>
                <w:szCs w:val="20"/>
                <w:color w:val="auto"/>
              </w:rPr>
            </w:pPr>
            <w:r>
              <w:rPr>
                <w:rFonts w:ascii="Arial" w:cs="Arial" w:eastAsia="Arial" w:hAnsi="Arial"/>
                <w:sz w:val="16"/>
                <w:szCs w:val="16"/>
                <w:color w:val="auto"/>
              </w:rPr>
              <w:t>83%</w:t>
            </w:r>
          </w:p>
        </w:tc>
      </w:tr>
    </w:tbl>
    <w:p>
      <w:pPr>
        <w:spacing w:after="0" w:line="200" w:lineRule="exact"/>
        <w:rPr>
          <w:sz w:val="20"/>
          <w:szCs w:val="20"/>
          <w:color w:val="auto"/>
        </w:rPr>
      </w:pPr>
    </w:p>
    <w:p>
      <w:pPr>
        <w:sectPr>
          <w:pgSz w:w="11900" w:h="16838" w:orient="portrait"/>
          <w:cols w:equalWidth="0" w:num="3">
            <w:col w:w="3400" w:space="720"/>
            <w:col w:w="3020" w:space="720"/>
            <w:col w:w="3380"/>
          </w:cols>
          <w:pgMar w:left="320" w:top="1260" w:right="339" w:bottom="1440" w:gutter="0" w:footer="0" w:header="0"/>
          <w:type w:val="continuous"/>
        </w:sectPr>
      </w:pPr>
    </w:p>
    <w:p>
      <w:pPr>
        <w:spacing w:after="0" w:line="352"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Daniel S. Jaffee, President and Chief Executive Officer, stated, “Fiscal year 2020 was one for the record books. We began the year with strong sales and margin improvement. In mid-March, COVID-19 descended upon us and put our people and infrastructure to the test. The value of our essential product portfolio, along with our hard-working teammates, our solid sales and operations planning (“S&amp;OP”) process and enterprise resource planning (“ERP”) system, and an undisrupted supply chain allowed our business to thrive during these unprecedented times. In the midst of the coronavirus pandemic, all of our plants remained fully operational, and our results reflected our team’s successful efforts. In the fourth quarter, the initial increase in cat litter demand due to COVID-19 began to reverse as consumers unloaded their full pantries. Revenues from other products also reflect the slow recovery from the impact of the pandemic. However, we entered into a confidential license agreement in exchange for a one-time lump sum payment which helped the fourth quarter results. Overall, we experienced record net sales, a significant increase in gross profit, and record net income for the twelve-month period. We continue to focus on the health and safety of our teammates and me</w:t>
      </w:r>
    </w:p>
    <w:p>
      <w:pPr>
        <w:sectPr>
          <w:pgSz w:w="11900" w:h="16838" w:orient="portrait"/>
          <w:cols w:equalWidth="0" w:num="1">
            <w:col w:w="11240"/>
          </w:cols>
          <w:pgMar w:left="320" w:top="1260" w:right="339" w:bottom="1440" w:gutter="0" w:footer="0" w:header="0"/>
          <w:type w:val="continuous"/>
        </w:sectPr>
      </w:pPr>
    </w:p>
    <w:bookmarkStart w:id="4" w:name="page5"/>
    <w:bookmarkEnd w:id="4"/>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208915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r>
    </w:p>
    <w:p>
      <w:pPr>
        <w:ind w:right="100"/>
        <w:spacing w:after="0" w:line="263" w:lineRule="auto"/>
        <w:rPr>
          <w:sz w:val="20"/>
          <w:szCs w:val="20"/>
          <w:color w:val="auto"/>
        </w:rPr>
      </w:pPr>
      <w:r>
        <w:rPr>
          <w:rFonts w:ascii="Arial" w:cs="Arial" w:eastAsia="Arial" w:hAnsi="Arial"/>
          <w:sz w:val="22"/>
          <w:szCs w:val="22"/>
          <w:color w:val="auto"/>
        </w:rPr>
        <w:t>eting the needs of our customers. Although the coronavirus pandemic continues, our momentum is strong. We look forward to a successful and healthy fiscal 2021.</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Results</w:t>
      </w:r>
    </w:p>
    <w:p>
      <w:pPr>
        <w:spacing w:after="0" w:line="27" w:lineRule="exact"/>
        <w:rPr>
          <w:sz w:val="20"/>
          <w:szCs w:val="20"/>
          <w:color w:val="auto"/>
        </w:rPr>
      </w:pPr>
    </w:p>
    <w:p>
      <w:pPr>
        <w:ind w:right="40"/>
        <w:spacing w:after="0" w:line="290" w:lineRule="auto"/>
        <w:rPr>
          <w:sz w:val="20"/>
          <w:szCs w:val="20"/>
          <w:color w:val="auto"/>
        </w:rPr>
      </w:pPr>
      <w:r>
        <w:rPr>
          <w:rFonts w:ascii="Arial" w:cs="Arial" w:eastAsia="Arial" w:hAnsi="Arial"/>
          <w:sz w:val="19"/>
          <w:szCs w:val="19"/>
          <w:color w:val="auto"/>
        </w:rPr>
        <w:t>Consolidated net sales for fiscal year 2020 reached an all-time record high of $283 million, reflecting a 2% increase over the prior year. This growth was primarily due to increased demand of our cat litter and animal health products. Total annual cat litter sales within the U.S. and Canada increased by 9% compared to the prior year. Our co-packaging coarse cat litter business also saw significant gains of 6% over last year. Full year sales of our animal health products increased 12% versus the prior year, primarily in Latin America, Mexico, Africa, and Asia, excluding China. Revenues from our agricultural, fluid purification, industrial, and sports products all suffered from the negative impact of COVID-19 on our customers.</w:t>
      </w:r>
    </w:p>
    <w:p>
      <w:pPr>
        <w:spacing w:after="0" w:line="15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Annual consolidated gross profit increased 16% with margins improving from 24% in the past year to 27% in fiscal 2020. These gains were a result of lower freight, natural gas and warehouse costs, offset by slightly higher packaging and non-fuel manufacturing costs. The prior year also included significant expenses related to the implementation of our ERP system and hurricane Michael.</w:t>
      </w:r>
    </w:p>
    <w:p>
      <w:pPr>
        <w:spacing w:after="0" w:line="188"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Further elevating our financial position was a one-time pre-tax gain of $13 million in connection with an intellectual property license agreement in the fourth quarter of fiscal year 2020. Selling, general and administrative (“SG&amp;A”) costs for the last twelve-month period increased 16% over the prior year primarily due to higher advertising spending, compensation, and benefits costs. These higher expenses were partially offset by lower legal costs, deferred compensation costs, and the curtailment gain related to our supplemental executive retirement plan. Full year net income attributed to Oil-Dri reached a record high of $19 million, reflecting a 50% increase over the prior year.</w:t>
      </w:r>
    </w:p>
    <w:p>
      <w:pPr>
        <w:spacing w:after="0" w:line="179"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color w:val="auto"/>
        </w:rPr>
        <w:t>With cash and cash equivalents of $41 million and approximately $10 million of debt on our balance sheet, we are in a very strong liquidity position.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Results</w:t>
      </w:r>
    </w:p>
    <w:p>
      <w:pPr>
        <w:spacing w:after="0" w:line="27" w:lineRule="exact"/>
        <w:rPr>
          <w:sz w:val="20"/>
          <w:szCs w:val="20"/>
          <w:color w:val="auto"/>
        </w:rPr>
      </w:pPr>
    </w:p>
    <w:p>
      <w:pPr>
        <w:ind w:right="140"/>
        <w:spacing w:after="0" w:line="295" w:lineRule="auto"/>
        <w:rPr>
          <w:sz w:val="20"/>
          <w:szCs w:val="20"/>
          <w:color w:val="auto"/>
        </w:rPr>
      </w:pPr>
      <w:r>
        <w:rPr>
          <w:rFonts w:ascii="Arial" w:cs="Arial" w:eastAsia="Arial" w:hAnsi="Arial"/>
          <w:sz w:val="19"/>
          <w:szCs w:val="19"/>
          <w:color w:val="auto"/>
        </w:rPr>
        <w:t>Consolidated net sales in the fourth quarter declined by 8% compared to last year, while gross margins remained relatively flat. Weaker demand for products within all areas of our business, except for our animal health products, resulted in this decrease. A one-time pre-tax gain of $13 million resulting from an intellectual property license agreement helped consolidated net income attributed to Oil-Dri reach a quarterly record high of $6 million, reflecting a 55% increase over the prior year.</w:t>
      </w:r>
    </w:p>
    <w:p>
      <w:pPr>
        <w:sectPr>
          <w:pgSz w:w="11900" w:h="16838" w:orient="portrait"/>
          <w:cols w:equalWidth="0" w:num="1">
            <w:col w:w="11160"/>
          </w:cols>
          <w:pgMar w:left="320" w:top="1440" w:right="419" w:bottom="1440" w:gutter="0" w:footer="0" w:header="0"/>
        </w:sectPr>
      </w:pPr>
    </w:p>
    <w:bookmarkStart w:id="5" w:name="page6"/>
    <w:bookmarkEnd w:id="5"/>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208915</wp:posOffset>
            </wp:positionV>
            <wp:extent cx="1474470" cy="488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95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Product Group Review</w:t>
      </w:r>
    </w:p>
    <w:p>
      <w:pPr>
        <w:spacing w:after="0" w:line="27" w:lineRule="exact"/>
        <w:rPr>
          <w:sz w:val="20"/>
          <w:szCs w:val="20"/>
          <w:color w:val="auto"/>
        </w:rPr>
      </w:pPr>
    </w:p>
    <w:p>
      <w:pPr>
        <w:ind w:right="20"/>
        <w:spacing w:after="0" w:line="285" w:lineRule="auto"/>
        <w:rPr>
          <w:sz w:val="20"/>
          <w:szCs w:val="20"/>
          <w:color w:val="auto"/>
        </w:rPr>
      </w:pPr>
      <w:r>
        <w:rPr>
          <w:rFonts w:ascii="Arial" w:cs="Arial" w:eastAsia="Arial" w:hAnsi="Arial"/>
          <w:sz w:val="19"/>
          <w:szCs w:val="19"/>
          <w:color w:val="auto"/>
        </w:rPr>
        <w:t>Our Business to Business Products (“B2B”) Group’s fourth quarter revenues decreased 5% compared to last year. Sales of our agricultural products declined by 10% versus the prior year as a result of COVID-19 related demand delays from a large customer, as well as a shift in timing of orders for our Verge product. Sales of our fluid purification products also declined this quarter by 6% compared to the fourth quarter in the prior year, mainly due to improved quality of edible oil in North America, thus resulting in reduced need of our bleaching clay. COVID-19 has made product testing at edible oil plants difficult and also resulted in decreased demand for our products used to process jet fuel as air travel has subsided dramatically all over the world. Sales from co-packaging coarse cat litter declined by 8% in the fourth quarter compared to the prior year, which can be attributed to pantry deloading by consumers. Animal health products saw significant sales gains of 8% which partially offset the aforementioned losses. Increases were primarily experienced in Mexico, due to higher customer demand and the sale of animal health related equipment, and in Africa. Local pricing competition in foreign markets caused by unfavorable exchange rates continues to negatively impact several segments within our B2B Group.</w:t>
      </w:r>
    </w:p>
    <w:p>
      <w:pPr>
        <w:spacing w:after="0" w:line="166" w:lineRule="exact"/>
        <w:rPr>
          <w:sz w:val="20"/>
          <w:szCs w:val="20"/>
          <w:color w:val="auto"/>
        </w:rPr>
      </w:pPr>
    </w:p>
    <w:p>
      <w:pPr>
        <w:jc w:val="both"/>
        <w:ind w:right="360"/>
        <w:spacing w:after="0" w:line="343" w:lineRule="auto"/>
        <w:rPr>
          <w:sz w:val="20"/>
          <w:szCs w:val="20"/>
          <w:color w:val="auto"/>
        </w:rPr>
      </w:pPr>
      <w:r>
        <w:rPr>
          <w:rFonts w:ascii="Arial" w:cs="Arial" w:eastAsia="Arial" w:hAnsi="Arial"/>
          <w:sz w:val="19"/>
          <w:szCs w:val="19"/>
          <w:color w:val="auto"/>
        </w:rPr>
        <w:t>Operating income in the B2B Group declined 26% in the fourth quarter versus the same period in the prior year. Lower sales, unfavorable product mix and cost allocation shifts offset a 4% reduction in SG&amp;A expenses over the previous fourth quarter.</w:t>
      </w:r>
    </w:p>
    <w:p>
      <w:pPr>
        <w:spacing w:after="0" w:line="104"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Revenues within our Retail and Wholesale Group decreased by 9% in the fourth quarter compared to the same period in fiscal year 2019. While sales of our cat litter items grew significantly in the third quarter due to COVID-19 pantry loading, they leveled off in the fourth quarter as a result of decreased demand from consumers who had stocked up on our products. The combined net sales for the third and fourth quarters reflect an increase of 7% over the same quarters in the prior year, representing ongoing momentum. In the fourth quarter, consumers demanded more private label scoopable products, including lightweight litter, when compared to the same quarter last year, while sales of private label coarse litter declined. However, our e-commerce business experienced double-digit sales growth for the fourth quarter compared to the same period last year, as more people continued to shop online during the pandemic. Revenues from cat litter within our Canadian subsidiary demonstrated a 20% increase over the prior year. Our industrial and sports products unfortunately were hit hard during the fourth quarter, as these markets continue to be negatively impacted by COVID-19. Decreased demand and the national shutdown of sports fields continued to cause weak sales.</w:t>
      </w:r>
    </w:p>
    <w:p>
      <w:pPr>
        <w:sectPr>
          <w:pgSz w:w="11900" w:h="16838" w:orient="portrait"/>
          <w:cols w:equalWidth="0" w:num="1">
            <w:col w:w="11200"/>
          </w:cols>
          <w:pgMar w:left="320" w:top="1440" w:right="379" w:bottom="1440" w:gutter="0" w:footer="0" w:header="0"/>
        </w:sectPr>
      </w:pPr>
    </w:p>
    <w:bookmarkStart w:id="6" w:name="page7"/>
    <w:bookmarkEnd w:id="6"/>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208915</wp:posOffset>
            </wp:positionV>
            <wp:extent cx="1474470" cy="488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950"/>
                    </a:xfrm>
                    <a:prstGeom prst="rect">
                      <a:avLst/>
                    </a:prstGeom>
                    <a:noFill/>
                  </pic:spPr>
                </pic:pic>
              </a:graphicData>
            </a:graphic>
          </wp:anchor>
        </w:drawing>
      </w:r>
    </w:p>
    <w:p>
      <w:pPr>
        <w:ind w:right="80"/>
        <w:spacing w:after="0" w:line="250" w:lineRule="auto"/>
        <w:rPr>
          <w:sz w:val="20"/>
          <w:szCs w:val="20"/>
          <w:color w:val="auto"/>
        </w:rPr>
      </w:pPr>
      <w:r>
        <w:rPr>
          <w:rFonts w:ascii="Arial" w:cs="Arial" w:eastAsia="Arial" w:hAnsi="Arial"/>
          <w:sz w:val="22"/>
          <w:szCs w:val="22"/>
          <w:color w:val="auto"/>
        </w:rPr>
        <w:t>Operating income for the Retail and Wholesale Products Group was $479,000 in the fourth quarter, reflecting a 74% decrease compared to last year. This decline can be attributed to lower sales and significantly higher advertising spending. A targeted digital media campaign will continue into the next fiscal year, and we expect advertising costs for the upcoming fiscal 2021 to be comparable to fiscal 2020.</w:t>
      </w:r>
    </w:p>
    <w:p>
      <w:pPr>
        <w:spacing w:after="0" w:line="282" w:lineRule="exact"/>
        <w:rPr>
          <w:sz w:val="20"/>
          <w:szCs w:val="20"/>
          <w:color w:val="auto"/>
        </w:rPr>
      </w:pPr>
    </w:p>
    <w:p>
      <w:pPr>
        <w:jc w:val="both"/>
        <w:ind w:right="440"/>
        <w:spacing w:after="0" w:line="253" w:lineRule="auto"/>
        <w:rPr>
          <w:sz w:val="20"/>
          <w:szCs w:val="20"/>
          <w:color w:val="auto"/>
        </w:rPr>
      </w:pPr>
      <w:r>
        <w:rPr>
          <w:rFonts w:ascii="Arial" w:cs="Arial" w:eastAsia="Arial" w:hAnsi="Arial"/>
          <w:sz w:val="22"/>
          <w:szCs w:val="22"/>
          <w:color w:val="auto"/>
        </w:rPr>
        <w:t>In the fourth quarter, Oil-Dri entered into an amended and restated note purchase and private shelf agreement. The company incurred $10 million of debt payable over a 10-year term as part of a $75 million shelf agreement which provides Oil-Dri the ability to request additional financing in the future to grow our business, if needed.”</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The Company will host its fourth quarter of fiscal 2020 earnings teleconference on Wednesday, October 14, 2020 at 9:00 a.m.</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Central Time. Participation details are available on our website’s </w:t>
      </w:r>
      <w:r>
        <w:rPr>
          <w:rFonts w:ascii="Arial" w:cs="Arial" w:eastAsia="Arial" w:hAnsi="Arial"/>
          <w:sz w:val="22"/>
          <w:szCs w:val="22"/>
          <w:u w:val="single" w:color="auto"/>
          <w:color w:val="0000FF"/>
        </w:rPr>
        <w:t>events</w:t>
      </w:r>
      <w:r>
        <w:rPr>
          <w:rFonts w:ascii="Arial" w:cs="Arial" w:eastAsia="Arial" w:hAnsi="Arial"/>
          <w:sz w:val="22"/>
          <w:szCs w:val="22"/>
          <w:color w:val="auto"/>
        </w:rPr>
        <w:t xml:space="preserve"> page.</w:t>
      </w:r>
    </w:p>
    <w:p>
      <w:pPr>
        <w:jc w:val="center"/>
        <w:spacing w:after="0"/>
        <w:rPr>
          <w:sz w:val="20"/>
          <w:szCs w:val="20"/>
          <w:color w:val="auto"/>
        </w:rPr>
      </w:pPr>
      <w:r>
        <w:rPr>
          <w:rFonts w:ascii="Arial" w:cs="Arial" w:eastAsia="Arial" w:hAnsi="Arial"/>
          <w:sz w:val="16"/>
          <w:szCs w:val="16"/>
          <w:color w:val="auto"/>
        </w:rPr>
        <w:t>###</w:t>
      </w:r>
    </w:p>
    <w:p>
      <w:pPr>
        <w:spacing w:after="0" w:line="1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75 years of experience, the company continues to fulfill its mission to Create Value from Sorbent Minerals.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and “Verge” are registered trademarks of Oil-Dri Corporation of America.</w:t>
      </w:r>
    </w:p>
    <w:p>
      <w:pPr>
        <w:spacing w:after="0" w:line="194"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or variations of such words and similar expressions are intended to identify such forward-looking statements, which are made pursuant to the safe harbor provisions of the Private Securities Litigation Reform Act of 1995.</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ectPr>
          <w:pgSz w:w="11900" w:h="16838" w:orient="portrait"/>
          <w:cols w:equalWidth="0" w:num="1">
            <w:col w:w="11240"/>
          </w:cols>
          <w:pgMar w:left="320" w:top="1440" w:right="339" w:bottom="1440" w:gutter="0" w:footer="0" w:header="0"/>
        </w:sectPr>
      </w:pPr>
    </w:p>
    <w:bookmarkStart w:id="7" w:name="page8"/>
    <w:bookmarkEnd w:id="7"/>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208915</wp:posOffset>
            </wp:positionV>
            <wp:extent cx="1474470" cy="488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95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Category: Earnings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Leslie A. Garber</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Manager of Investor Relations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Oil-Dri Corporation of America</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InvestorRelations@oildri.com</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ectPr>
          <w:pgSz w:w="11900" w:h="16838" w:orient="portrait"/>
          <w:cols w:equalWidth="0" w:num="1">
            <w:col w:w="10139"/>
          </w:cols>
          <w:pgMar w:left="320" w:top="1440" w:right="1440" w:bottom="1440" w:gutter="0" w:footer="0" w:header="0"/>
        </w:sectPr>
      </w:pPr>
    </w:p>
    <w:bookmarkStart w:id="8" w:name="page9"/>
    <w:bookmarkEnd w:id="8"/>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208915</wp:posOffset>
            </wp:positionV>
            <wp:extent cx="1474470" cy="488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0"/>
                <w:szCs w:val="20"/>
                <w:color w:val="auto"/>
              </w:rPr>
            </w:pPr>
            <w:r>
              <w:rPr>
                <w:rFonts w:ascii="Arial" w:cs="Arial" w:eastAsia="Arial" w:hAnsi="Arial"/>
                <w:sz w:val="18"/>
                <w:szCs w:val="18"/>
                <w:color w:val="auto"/>
              </w:rPr>
              <w:t>(unaudited)</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60" w:type="dxa"/>
            <w:vAlign w:val="bottom"/>
            <w:gridSpan w:val="5"/>
          </w:tcPr>
          <w:p>
            <w:pPr>
              <w:ind w:left="240"/>
              <w:spacing w:after="0"/>
              <w:rPr>
                <w:sz w:val="20"/>
                <w:szCs w:val="20"/>
                <w:color w:val="auto"/>
              </w:rPr>
            </w:pPr>
            <w:r>
              <w:rPr>
                <w:rFonts w:ascii="Arial" w:cs="Arial" w:eastAsia="Arial" w:hAnsi="Arial"/>
                <w:sz w:val="18"/>
                <w:szCs w:val="18"/>
                <w:b w:val="1"/>
                <w:bCs w:val="1"/>
                <w:color w:val="auto"/>
                <w:w w:val="92"/>
              </w:rPr>
              <w:t>Fourth Quarter Ended July 31,</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80" w:type="dxa"/>
            <w:vAlign w:val="bottom"/>
            <w:gridSpan w:val="2"/>
          </w:tcPr>
          <w:p>
            <w:pPr>
              <w:ind w:left="280"/>
              <w:spacing w:after="0"/>
              <w:rPr>
                <w:sz w:val="20"/>
                <w:szCs w:val="20"/>
                <w:color w:val="auto"/>
              </w:rPr>
            </w:pPr>
            <w:r>
              <w:rPr>
                <w:rFonts w:ascii="Arial" w:cs="Arial" w:eastAsia="Arial" w:hAnsi="Arial"/>
                <w:sz w:val="18"/>
                <w:szCs w:val="18"/>
                <w:b w:val="1"/>
                <w:bCs w:val="1"/>
                <w:color w:val="auto"/>
              </w:rPr>
              <w:t>% of Sales</w:t>
            </w:r>
          </w:p>
        </w:tc>
        <w:tc>
          <w:tcPr>
            <w:tcW w:w="220" w:type="dxa"/>
            <w:vAlign w:val="bottom"/>
          </w:tcPr>
          <w:p>
            <w:pPr>
              <w:spacing w:after="0"/>
              <w:rPr>
                <w:sz w:val="20"/>
                <w:szCs w:val="20"/>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360" w:type="dxa"/>
            <w:vAlign w:val="bottom"/>
          </w:tcPr>
          <w:p>
            <w:pPr>
              <w:jc w:val="right"/>
              <w:ind w:right="198"/>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7"/>
        </w:trPr>
        <w:tc>
          <w:tcPr>
            <w:tcW w:w="5520" w:type="dxa"/>
            <w:vAlign w:val="bottom"/>
            <w:vMerge w:val="restart"/>
          </w:tcPr>
          <w:p>
            <w:pPr>
              <w:spacing w:after="0"/>
              <w:rPr>
                <w:sz w:val="20"/>
                <w:szCs w:val="20"/>
                <w:color w:val="auto"/>
              </w:rPr>
            </w:pPr>
            <w:r>
              <w:rPr>
                <w:rFonts w:ascii="Arial" w:cs="Arial" w:eastAsia="Arial" w:hAnsi="Arial"/>
                <w:sz w:val="16"/>
                <w:szCs w:val="16"/>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20" w:type="dxa"/>
            <w:vAlign w:val="bottom"/>
            <w:vMerge w:val="continue"/>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64,844</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70,117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0"/>
                <w:szCs w:val="20"/>
                <w:color w:val="auto"/>
              </w:rPr>
            </w:pPr>
            <w:r>
              <w:rPr>
                <w:rFonts w:ascii="Arial" w:cs="Arial" w:eastAsia="Arial" w:hAnsi="Arial"/>
                <w:sz w:val="16"/>
                <w:szCs w:val="16"/>
                <w:b w:val="1"/>
                <w:bCs w:val="1"/>
                <w:color w:val="auto"/>
              </w:rPr>
              <w:t>Cost of Sales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(49,299)</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(52,705)</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33"/>
        </w:trPr>
        <w:tc>
          <w:tcPr>
            <w:tcW w:w="5520" w:type="dxa"/>
            <w:vAlign w:val="bottom"/>
            <w:vMerge w:val="restart"/>
          </w:tcPr>
          <w:p>
            <w:pPr>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15,545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17,412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24.8 %</w:t>
            </w:r>
          </w:p>
        </w:tc>
        <w:tc>
          <w:tcPr>
            <w:tcW w:w="0" w:type="dxa"/>
            <w:vAlign w:val="bottom"/>
          </w:tcPr>
          <w:p>
            <w:pPr>
              <w:spacing w:after="0"/>
              <w:rPr>
                <w:sz w:val="1"/>
                <w:szCs w:val="1"/>
                <w:color w:val="auto"/>
              </w:rPr>
            </w:pPr>
          </w:p>
        </w:tc>
      </w:tr>
      <w:tr>
        <w:trPr>
          <w:trHeight w:val="33"/>
        </w:trPr>
        <w:tc>
          <w:tcPr>
            <w:tcW w:w="5520" w:type="dxa"/>
            <w:vAlign w:val="bottom"/>
            <w:vMerge w:val="restart"/>
          </w:tcPr>
          <w:p>
            <w:pPr>
              <w:spacing w:after="0"/>
              <w:rPr>
                <w:sz w:val="20"/>
                <w:szCs w:val="20"/>
                <w:color w:val="auto"/>
              </w:rPr>
            </w:pPr>
            <w:r>
              <w:rPr>
                <w:rFonts w:ascii="Arial" w:cs="Arial" w:eastAsia="Arial" w:hAnsi="Arial"/>
                <w:sz w:val="16"/>
                <w:szCs w:val="16"/>
                <w:b w:val="1"/>
                <w:bCs w:val="1"/>
                <w:color w:val="auto"/>
              </w:rPr>
              <w:t>Other Operating Income (1)</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13,000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 (2)</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(19,412)</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(13,157)</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33"/>
        </w:trPr>
        <w:tc>
          <w:tcPr>
            <w:tcW w:w="5520" w:type="dxa"/>
            <w:vAlign w:val="bottom"/>
            <w:vMerge w:val="restart"/>
          </w:tcPr>
          <w:p>
            <w:pPr>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9,133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4,255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0"/>
                <w:szCs w:val="20"/>
                <w:color w:val="auto"/>
              </w:rPr>
            </w:pPr>
            <w:r>
              <w:rPr>
                <w:rFonts w:ascii="Arial" w:cs="Arial" w:eastAsia="Arial" w:hAnsi="Arial"/>
                <w:sz w:val="16"/>
                <w:szCs w:val="16"/>
                <w:b w:val="1"/>
                <w:bCs w:val="1"/>
                <w:color w:val="auto"/>
              </w:rPr>
              <w:t>Other Income (3)</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(1,341)</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33"/>
        </w:trPr>
        <w:tc>
          <w:tcPr>
            <w:tcW w:w="5520" w:type="dxa"/>
            <w:vAlign w:val="bottom"/>
            <w:vMerge w:val="restart"/>
          </w:tcPr>
          <w:p>
            <w:pPr>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7,588</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4,172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0"/>
                <w:szCs w:val="20"/>
                <w:color w:val="auto"/>
              </w:rPr>
            </w:pPr>
            <w:r>
              <w:rPr>
                <w:rFonts w:ascii="Arial" w:cs="Arial" w:eastAsia="Arial" w:hAnsi="Arial"/>
                <w:sz w:val="16"/>
                <w:szCs w:val="16"/>
                <w:b w:val="1"/>
                <w:bCs w:val="1"/>
                <w:color w:val="auto"/>
              </w:rPr>
              <w:t>Income Tax Expense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(1,707)</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5520" w:type="dxa"/>
            <w:vAlign w:val="bottom"/>
            <w:vMerge w:val="restart"/>
          </w:tcPr>
          <w:p>
            <w:pPr>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5,881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3,838</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0"/>
                <w:szCs w:val="20"/>
                <w:color w:val="auto"/>
              </w:rPr>
            </w:pPr>
            <w:r>
              <w:rPr>
                <w:rFonts w:ascii="Arial" w:cs="Arial" w:eastAsia="Arial" w:hAnsi="Arial"/>
                <w:sz w:val="16"/>
                <w:szCs w:val="16"/>
                <w:b w:val="1"/>
                <w:bCs w:val="1"/>
                <w:color w:val="auto"/>
              </w:rPr>
              <w:t>Net (Loss) Income Attributable to Noncontrolling Interest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1480" w:type="dxa"/>
            <w:vAlign w:val="bottom"/>
            <w:gridSpan w:val="2"/>
          </w:tcPr>
          <w:p>
            <w:pPr>
              <w:ind w:left="100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5,886</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9.1 %</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3,799</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Basic Common</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20" w:type="dxa"/>
            <w:vAlign w:val="bottom"/>
            <w:vMerge w:val="continue"/>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0.85</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1820"/>
              <w:spacing w:after="0"/>
              <w:rPr>
                <w:sz w:val="20"/>
                <w:szCs w:val="20"/>
                <w:color w:val="auto"/>
              </w:rPr>
            </w:pPr>
            <w:r>
              <w:rPr>
                <w:rFonts w:ascii="Arial" w:cs="Arial" w:eastAsia="Arial" w:hAnsi="Arial"/>
                <w:sz w:val="16"/>
                <w:szCs w:val="16"/>
                <w:b w:val="1"/>
                <w:bCs w:val="1"/>
                <w:color w:val="auto"/>
              </w:rPr>
              <w:t>Basic Class B Common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1820"/>
              <w:spacing w:after="0"/>
              <w:rPr>
                <w:sz w:val="20"/>
                <w:szCs w:val="20"/>
                <w:color w:val="auto"/>
              </w:rPr>
            </w:pPr>
            <w:r>
              <w:rPr>
                <w:rFonts w:ascii="Arial" w:cs="Arial" w:eastAsia="Arial" w:hAnsi="Arial"/>
                <w:sz w:val="16"/>
                <w:szCs w:val="16"/>
                <w:b w:val="1"/>
                <w:bCs w:val="1"/>
                <w:color w:val="auto"/>
              </w:rPr>
              <w:t>Diluted Common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1780"/>
              <w:spacing w:after="0"/>
              <w:rPr>
                <w:sz w:val="20"/>
                <w:szCs w:val="20"/>
                <w:color w:val="auto"/>
              </w:rPr>
            </w:pPr>
            <w:r>
              <w:rPr>
                <w:rFonts w:ascii="Arial" w:cs="Arial" w:eastAsia="Arial" w:hAnsi="Arial"/>
                <w:sz w:val="16"/>
                <w:szCs w:val="16"/>
                <w:b w:val="1"/>
                <w:bCs w:val="1"/>
                <w:color w:val="auto"/>
              </w:rPr>
              <w:t>Diluted Class B Common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4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5,139</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5,126</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1820"/>
              <w:spacing w:after="0"/>
              <w:rPr>
                <w:sz w:val="20"/>
                <w:szCs w:val="20"/>
                <w:color w:val="auto"/>
              </w:rPr>
            </w:pPr>
            <w:r>
              <w:rPr>
                <w:rFonts w:ascii="Arial" w:cs="Arial" w:eastAsia="Arial" w:hAnsi="Arial"/>
                <w:sz w:val="16"/>
                <w:szCs w:val="16"/>
                <w:b w:val="1"/>
                <w:bCs w:val="1"/>
                <w:color w:val="auto"/>
              </w:rPr>
              <w:t>Basic Class B Common</w:t>
            </w:r>
          </w:p>
        </w:tc>
        <w:tc>
          <w:tcPr>
            <w:tcW w:w="24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1,954</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2,068</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1820"/>
              <w:spacing w:after="0"/>
              <w:rPr>
                <w:sz w:val="20"/>
                <w:szCs w:val="20"/>
                <w:color w:val="auto"/>
              </w:rPr>
            </w:pPr>
            <w:r>
              <w:rPr>
                <w:rFonts w:ascii="Arial" w:cs="Arial" w:eastAsia="Arial" w:hAnsi="Arial"/>
                <w:sz w:val="16"/>
                <w:szCs w:val="16"/>
                <w:b w:val="1"/>
                <w:bCs w:val="1"/>
                <w:color w:val="auto"/>
              </w:rPr>
              <w:t>Diluted Common</w:t>
            </w:r>
          </w:p>
        </w:tc>
        <w:tc>
          <w:tcPr>
            <w:tcW w:w="24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5,255</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5,191</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1820"/>
              <w:spacing w:after="0"/>
              <w:rPr>
                <w:sz w:val="20"/>
                <w:szCs w:val="20"/>
                <w:color w:val="auto"/>
              </w:rPr>
            </w:pPr>
            <w:r>
              <w:rPr>
                <w:rFonts w:ascii="Arial" w:cs="Arial" w:eastAsia="Arial" w:hAnsi="Arial"/>
                <w:sz w:val="16"/>
                <w:szCs w:val="16"/>
                <w:b w:val="1"/>
                <w:bCs w:val="1"/>
                <w:color w:val="auto"/>
              </w:rPr>
              <w:t>Diluted Class B Common</w:t>
            </w:r>
          </w:p>
        </w:tc>
        <w:tc>
          <w:tcPr>
            <w:tcW w:w="24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1,966</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2,090</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360" w:top="1440" w:right="819" w:bottom="1440" w:gutter="0" w:footer="0" w:header="0"/>
        </w:sectPr>
      </w:pPr>
    </w:p>
    <w:bookmarkStart w:id="9" w:name="page10"/>
    <w:bookmarkEnd w:id="9"/>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208915</wp:posOffset>
            </wp:positionV>
            <wp:extent cx="1474470" cy="488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950"/>
                    </a:xfrm>
                    <a:prstGeom prst="rect">
                      <a:avLst/>
                    </a:prstGeom>
                    <a:noFill/>
                  </pic:spPr>
                </pic:pic>
              </a:graphicData>
            </a:graphic>
          </wp:anchor>
        </w:drawing>
      </w:r>
    </w:p>
    <w:tbl>
      <w:tblPr>
        <w:tblLayout w:type="fixed"/>
        <w:tblInd w:w="32"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(audited)</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60" w:type="dxa"/>
            <w:vAlign w:val="bottom"/>
            <w:gridSpan w:val="5"/>
          </w:tcPr>
          <w:p>
            <w:pPr>
              <w:ind w:left="240"/>
              <w:spacing w:after="0"/>
              <w:rPr>
                <w:sz w:val="20"/>
                <w:szCs w:val="20"/>
                <w:color w:val="auto"/>
              </w:rPr>
            </w:pPr>
            <w:r>
              <w:rPr>
                <w:rFonts w:ascii="Arial" w:cs="Arial" w:eastAsia="Arial" w:hAnsi="Arial"/>
                <w:sz w:val="18"/>
                <w:szCs w:val="18"/>
                <w:b w:val="1"/>
                <w:bCs w:val="1"/>
                <w:color w:val="auto"/>
                <w:w w:val="92"/>
              </w:rPr>
              <w:t>Twelve Months Ended July 31,</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60" w:type="dxa"/>
            <w:vAlign w:val="bottom"/>
            <w:gridSpan w:val="2"/>
          </w:tcPr>
          <w:p>
            <w:pPr>
              <w:ind w:left="260"/>
              <w:spacing w:after="0"/>
              <w:rPr>
                <w:sz w:val="20"/>
                <w:szCs w:val="20"/>
                <w:color w:val="auto"/>
              </w:rPr>
            </w:pPr>
            <w:r>
              <w:rPr>
                <w:rFonts w:ascii="Arial" w:cs="Arial" w:eastAsia="Arial" w:hAnsi="Arial"/>
                <w:sz w:val="18"/>
                <w:szCs w:val="18"/>
                <w:b w:val="1"/>
                <w:bCs w:val="1"/>
                <w:color w:val="auto"/>
              </w:rPr>
              <w:t>% of Sales</w:t>
            </w:r>
          </w:p>
        </w:tc>
        <w:tc>
          <w:tcPr>
            <w:tcW w:w="240" w:type="dxa"/>
            <w:vAlign w:val="bottom"/>
          </w:tcPr>
          <w:p>
            <w:pPr>
              <w:spacing w:after="0"/>
              <w:rPr>
                <w:sz w:val="20"/>
                <w:szCs w:val="20"/>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360" w:type="dxa"/>
            <w:vAlign w:val="bottom"/>
          </w:tcPr>
          <w:p>
            <w:pPr>
              <w:jc w:val="right"/>
              <w:ind w:right="198"/>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rPr>
                <w:sz w:val="20"/>
                <w:szCs w:val="20"/>
                <w:color w:val="auto"/>
              </w:rPr>
            </w:pPr>
            <w:r>
              <w:rPr>
                <w:rFonts w:ascii="Arial" w:cs="Arial" w:eastAsia="Arial" w:hAnsi="Arial"/>
                <w:sz w:val="16"/>
                <w:szCs w:val="16"/>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00" w:type="dxa"/>
            <w:vAlign w:val="bottom"/>
            <w:vMerge w:val="continue"/>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283,227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277,025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6"/>
                <w:szCs w:val="16"/>
                <w:b w:val="1"/>
                <w:bCs w:val="1"/>
                <w:color w:val="auto"/>
              </w:rPr>
              <w:t>Cost of Sales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(207,404)</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(211,365)</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33"/>
        </w:trPr>
        <w:tc>
          <w:tcPr>
            <w:tcW w:w="5500" w:type="dxa"/>
            <w:vAlign w:val="bottom"/>
            <w:vMerge w:val="restart"/>
          </w:tcPr>
          <w:p>
            <w:pPr>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75,823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65,660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23.7 %</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6"/>
                <w:szCs w:val="16"/>
                <w:b w:val="1"/>
                <w:bCs w:val="1"/>
                <w:color w:val="auto"/>
              </w:rPr>
              <w:t>Other Operating Income (1)</w:t>
            </w: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13,000</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 (2)</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(63,996)</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(55,248)</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33"/>
        </w:trPr>
        <w:tc>
          <w:tcPr>
            <w:tcW w:w="5500" w:type="dxa"/>
            <w:vAlign w:val="bottom"/>
            <w:vMerge w:val="restart"/>
          </w:tcPr>
          <w:p>
            <w:pPr>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24,827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10,412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6"/>
                <w:szCs w:val="16"/>
                <w:b w:val="1"/>
                <w:bCs w:val="1"/>
                <w:color w:val="auto"/>
              </w:rPr>
              <w:t>Other Income (3)</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(1,289)</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4,730</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33"/>
        </w:trPr>
        <w:tc>
          <w:tcPr>
            <w:tcW w:w="5500" w:type="dxa"/>
            <w:vAlign w:val="bottom"/>
            <w:vMerge w:val="restart"/>
          </w:tcPr>
          <w:p>
            <w:pPr>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23,020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14,548</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6"/>
                <w:szCs w:val="16"/>
                <w:b w:val="1"/>
                <w:bCs w:val="1"/>
                <w:color w:val="auto"/>
              </w:rPr>
              <w:t>Income Tax Expense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(4,280)</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(1,933)</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5500" w:type="dxa"/>
            <w:vAlign w:val="bottom"/>
            <w:vMerge w:val="restart"/>
          </w:tcPr>
          <w:p>
            <w:pPr>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18,740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12,615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6"/>
                <w:szCs w:val="16"/>
                <w:b w:val="1"/>
                <w:bCs w:val="1"/>
                <w:color w:val="auto"/>
              </w:rPr>
              <w:t>Net (Loss) Income Attributable to Noncontrolling Interest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18,900</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12,611</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Basic Common</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00" w:type="dxa"/>
            <w:vAlign w:val="bottom"/>
            <w:vMerge w:val="continue"/>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1820"/>
              <w:spacing w:after="0"/>
              <w:rPr>
                <w:sz w:val="20"/>
                <w:szCs w:val="20"/>
                <w:color w:val="auto"/>
              </w:rPr>
            </w:pPr>
            <w:r>
              <w:rPr>
                <w:rFonts w:ascii="Arial" w:cs="Arial" w:eastAsia="Arial" w:hAnsi="Arial"/>
                <w:sz w:val="16"/>
                <w:szCs w:val="16"/>
                <w:b w:val="1"/>
                <w:bCs w:val="1"/>
                <w:color w:val="auto"/>
              </w:rPr>
              <w:t>Basic Class B Common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1820"/>
              <w:spacing w:after="0"/>
              <w:rPr>
                <w:sz w:val="20"/>
                <w:szCs w:val="20"/>
                <w:color w:val="auto"/>
              </w:rPr>
            </w:pPr>
            <w:r>
              <w:rPr>
                <w:rFonts w:ascii="Arial" w:cs="Arial" w:eastAsia="Arial" w:hAnsi="Arial"/>
                <w:sz w:val="16"/>
                <w:szCs w:val="16"/>
                <w:b w:val="1"/>
                <w:bCs w:val="1"/>
                <w:color w:val="auto"/>
              </w:rPr>
              <w:t>Diluted Common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1780"/>
              <w:spacing w:after="0"/>
              <w:rPr>
                <w:sz w:val="20"/>
                <w:szCs w:val="20"/>
                <w:color w:val="auto"/>
              </w:rPr>
            </w:pPr>
            <w:r>
              <w:rPr>
                <w:rFonts w:ascii="Arial" w:cs="Arial" w:eastAsia="Arial" w:hAnsi="Arial"/>
                <w:sz w:val="16"/>
                <w:szCs w:val="16"/>
                <w:b w:val="1"/>
                <w:bCs w:val="1"/>
                <w:color w:val="auto"/>
              </w:rPr>
              <w:t>Diluted Class B Common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5,149</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5,112</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1820"/>
              <w:spacing w:after="0"/>
              <w:rPr>
                <w:sz w:val="20"/>
                <w:szCs w:val="20"/>
                <w:color w:val="auto"/>
              </w:rPr>
            </w:pPr>
            <w:r>
              <w:rPr>
                <w:rFonts w:ascii="Arial" w:cs="Arial" w:eastAsia="Arial" w:hAnsi="Arial"/>
                <w:sz w:val="16"/>
                <w:szCs w:val="16"/>
                <w:b w:val="1"/>
                <w:bCs w:val="1"/>
                <w:color w:val="auto"/>
              </w:rPr>
              <w:t>Basic Class B Common</w:t>
            </w: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2,068</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1820"/>
              <w:spacing w:after="0"/>
              <w:rPr>
                <w:sz w:val="20"/>
                <w:szCs w:val="20"/>
                <w:color w:val="auto"/>
              </w:rPr>
            </w:pPr>
            <w:r>
              <w:rPr>
                <w:rFonts w:ascii="Arial" w:cs="Arial" w:eastAsia="Arial" w:hAnsi="Arial"/>
                <w:sz w:val="16"/>
                <w:szCs w:val="16"/>
                <w:b w:val="1"/>
                <w:bCs w:val="1"/>
                <w:color w:val="auto"/>
              </w:rPr>
              <w:t>Diluted Common</w:t>
            </w: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5,246</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5,165</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1820"/>
              <w:spacing w:after="0"/>
              <w:rPr>
                <w:sz w:val="20"/>
                <w:szCs w:val="20"/>
                <w:color w:val="auto"/>
              </w:rPr>
            </w:pPr>
            <w:r>
              <w:rPr>
                <w:rFonts w:ascii="Arial" w:cs="Arial" w:eastAsia="Arial" w:hAnsi="Arial"/>
                <w:sz w:val="16"/>
                <w:szCs w:val="16"/>
                <w:b w:val="1"/>
                <w:bCs w:val="1"/>
                <w:color w:val="auto"/>
              </w:rPr>
              <w:t>Diluted Class B Common</w:t>
            </w: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2,046</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2,086</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8" w:firstLine="8"/>
        <w:spacing w:after="0" w:line="250" w:lineRule="auto"/>
        <w:tabs>
          <w:tab w:leader="none" w:pos="19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See Note 1 of the Notes to the Unaudited Condensed Consolidated Financial Statements in our Annual Report on Form 10-K for the period ending July 31, 2020 for further information about amounts included in this line item for the years presented.</w:t>
      </w:r>
    </w:p>
    <w:p>
      <w:pPr>
        <w:ind w:left="-8" w:firstLine="8"/>
        <w:spacing w:after="0" w:line="241" w:lineRule="auto"/>
        <w:tabs>
          <w:tab w:leader="none" w:pos="19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See Note 9 of the Notes to the Unaudited Condensed Consolidated Financial Statements in our Annual Report on Form 10-K for the period ending July 31, 2020 for further information about amounts included in this line item for the years presented.</w:t>
      </w:r>
    </w:p>
    <w:p>
      <w:pPr>
        <w:ind w:left="-8" w:right="660" w:firstLine="8"/>
        <w:spacing w:after="0" w:line="255" w:lineRule="auto"/>
        <w:tabs>
          <w:tab w:leader="none" w:pos="19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See Notes 2 and 8 of the Notes to the Unaudited Condensed Consolidated Financial Statements in our Annual Report on Form 10-K for the period ending July 31, 2020 for further information about amounts included in this line item for the years presented.</w:t>
      </w:r>
    </w:p>
    <w:p>
      <w:pPr>
        <w:sectPr>
          <w:pgSz w:w="11900" w:h="16838" w:orient="portrait"/>
          <w:cols w:equalWidth="0" w:num="1">
            <w:col w:w="11192"/>
          </w:cols>
          <w:pgMar w:left="328" w:top="1440" w:right="379" w:bottom="1440" w:gutter="0" w:footer="0" w:header="0"/>
        </w:sectPr>
      </w:pPr>
    </w:p>
    <w:bookmarkStart w:id="10" w:name="page11"/>
    <w:bookmarkEnd w:id="10"/>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208915</wp:posOffset>
            </wp:positionV>
            <wp:extent cx="1474470" cy="488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(audited)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As of July 31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Cash and Cash Equivalents</w:t>
            </w:r>
          </w:p>
        </w:tc>
        <w:tc>
          <w:tcPr>
            <w:tcW w:w="3100" w:type="dxa"/>
            <w:vAlign w:val="bottom"/>
          </w:tcPr>
          <w:p>
            <w:pPr>
              <w:spacing w:after="0"/>
              <w:rPr>
                <w:sz w:val="23"/>
                <w:szCs w:val="23"/>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40,890</w:t>
            </w:r>
          </w:p>
        </w:tc>
        <w:tc>
          <w:tcPr>
            <w:tcW w:w="3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Accounts Receivable, Net</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34,911</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35,459</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Inventories</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23,893</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24,163</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Prepaid Expenses and Other</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8,726</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7,792</w:t>
            </w:r>
          </w:p>
        </w:tc>
        <w:tc>
          <w:tcPr>
            <w:tcW w:w="0" w:type="dxa"/>
            <w:vAlign w:val="bottom"/>
          </w:tcPr>
          <w:p>
            <w:pPr>
              <w:spacing w:after="0"/>
              <w:rPr>
                <w:sz w:val="1"/>
                <w:szCs w:val="1"/>
                <w:color w:val="auto"/>
              </w:rPr>
            </w:pPr>
          </w:p>
        </w:tc>
      </w:tr>
      <w:tr>
        <w:trPr>
          <w:trHeight w:val="27"/>
        </w:trPr>
        <w:tc>
          <w:tcPr>
            <w:tcW w:w="41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108,420</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89,276</w:t>
            </w:r>
          </w:p>
        </w:tc>
        <w:tc>
          <w:tcPr>
            <w:tcW w:w="0" w:type="dxa"/>
            <w:vAlign w:val="bottom"/>
          </w:tcPr>
          <w:p>
            <w:pPr>
              <w:spacing w:after="0"/>
              <w:rPr>
                <w:sz w:val="1"/>
                <w:szCs w:val="1"/>
                <w:color w:val="auto"/>
              </w:rPr>
            </w:pPr>
          </w:p>
        </w:tc>
      </w:tr>
      <w:tr>
        <w:trPr>
          <w:trHeight w:val="27"/>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92,948</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90,798</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b w:val="1"/>
                <w:bCs w:val="1"/>
                <w:color w:val="auto"/>
              </w:rPr>
              <w:t>Other Noncurrent Assets (1)</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34,514</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100" w:type="dxa"/>
            <w:vAlign w:val="bottom"/>
          </w:tcPr>
          <w:p>
            <w:pPr>
              <w:spacing w:after="0"/>
              <w:rPr>
                <w:sz w:val="22"/>
                <w:szCs w:val="22"/>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235,882</w:t>
            </w:r>
          </w:p>
        </w:tc>
        <w:tc>
          <w:tcPr>
            <w:tcW w:w="32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205,227</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3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180" w:type="dxa"/>
            <w:vAlign w:val="bottom"/>
            <w:vMerge w:val="continue"/>
          </w:tcPr>
          <w:p>
            <w:pPr>
              <w:spacing w:after="0"/>
              <w:rPr>
                <w:sz w:val="24"/>
                <w:szCs w:val="24"/>
                <w:color w:val="auto"/>
              </w:rPr>
            </w:pPr>
          </w:p>
        </w:tc>
        <w:tc>
          <w:tcPr>
            <w:tcW w:w="3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Current Maturities of Notes Payable</w:t>
            </w:r>
          </w:p>
        </w:tc>
        <w:tc>
          <w:tcPr>
            <w:tcW w:w="3100" w:type="dxa"/>
            <w:vAlign w:val="bottom"/>
          </w:tcPr>
          <w:p>
            <w:pPr>
              <w:spacing w:after="0"/>
              <w:rPr>
                <w:sz w:val="23"/>
                <w:szCs w:val="23"/>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Accounts Payable</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12,529</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8,092</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Dividends Payable</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1,808</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Other Current Liabilities</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30,870</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19,670</w:t>
            </w:r>
          </w:p>
        </w:tc>
        <w:tc>
          <w:tcPr>
            <w:tcW w:w="0" w:type="dxa"/>
            <w:vAlign w:val="bottom"/>
          </w:tcPr>
          <w:p>
            <w:pPr>
              <w:spacing w:after="0"/>
              <w:rPr>
                <w:sz w:val="1"/>
                <w:szCs w:val="1"/>
                <w:color w:val="auto"/>
              </w:rPr>
            </w:pPr>
          </w:p>
        </w:tc>
      </w:tr>
      <w:tr>
        <w:trPr>
          <w:trHeight w:val="27"/>
        </w:trPr>
        <w:tc>
          <w:tcPr>
            <w:tcW w:w="41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46,207</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32,606</w:t>
            </w:r>
          </w:p>
        </w:tc>
        <w:tc>
          <w:tcPr>
            <w:tcW w:w="0" w:type="dxa"/>
            <w:vAlign w:val="bottom"/>
          </w:tcPr>
          <w:p>
            <w:pPr>
              <w:spacing w:after="0"/>
              <w:rPr>
                <w:sz w:val="1"/>
                <w:szCs w:val="1"/>
                <w:color w:val="auto"/>
              </w:rPr>
            </w:pPr>
          </w:p>
        </w:tc>
      </w:tr>
      <w:tr>
        <w:trPr>
          <w:trHeight w:val="27"/>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Noncurrent Liabilities</w:t>
            </w: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Notes Payable</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8,848</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Other Noncurrent Liabilities (1)</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32,863</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34,023</w:t>
            </w:r>
          </w:p>
        </w:tc>
        <w:tc>
          <w:tcPr>
            <w:tcW w:w="0" w:type="dxa"/>
            <w:vAlign w:val="bottom"/>
          </w:tcPr>
          <w:p>
            <w:pPr>
              <w:spacing w:after="0"/>
              <w:rPr>
                <w:sz w:val="1"/>
                <w:szCs w:val="1"/>
                <w:color w:val="auto"/>
              </w:rPr>
            </w:pPr>
          </w:p>
        </w:tc>
      </w:tr>
      <w:tr>
        <w:trPr>
          <w:trHeight w:val="27"/>
        </w:trPr>
        <w:tc>
          <w:tcPr>
            <w:tcW w:w="41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Noncurrent Liabilities</w:t>
            </w: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41,711</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37,075</w:t>
            </w:r>
          </w:p>
        </w:tc>
        <w:tc>
          <w:tcPr>
            <w:tcW w:w="0" w:type="dxa"/>
            <w:vAlign w:val="bottom"/>
          </w:tcPr>
          <w:p>
            <w:pPr>
              <w:spacing w:after="0"/>
              <w:rPr>
                <w:sz w:val="1"/>
                <w:szCs w:val="1"/>
                <w:color w:val="auto"/>
              </w:rPr>
            </w:pPr>
          </w:p>
        </w:tc>
      </w:tr>
      <w:tr>
        <w:trPr>
          <w:trHeight w:val="27"/>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147,964</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135,546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100" w:type="dxa"/>
            <w:vAlign w:val="bottom"/>
          </w:tcPr>
          <w:p>
            <w:pPr>
              <w:spacing w:after="0"/>
              <w:rPr>
                <w:sz w:val="22"/>
                <w:szCs w:val="22"/>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235,882</w:t>
            </w:r>
          </w:p>
        </w:tc>
        <w:tc>
          <w:tcPr>
            <w:tcW w:w="32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205,227</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3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180" w:type="dxa"/>
            <w:vAlign w:val="bottom"/>
            <w:vMerge w:val="continue"/>
          </w:tcPr>
          <w:p>
            <w:pPr>
              <w:spacing w:after="0"/>
              <w:rPr>
                <w:sz w:val="24"/>
                <w:szCs w:val="24"/>
                <w:color w:val="auto"/>
              </w:rPr>
            </w:pPr>
          </w:p>
        </w:tc>
        <w:tc>
          <w:tcPr>
            <w:tcW w:w="3100" w:type="dxa"/>
            <w:vAlign w:val="bottom"/>
          </w:tcPr>
          <w:p>
            <w:pPr>
              <w:spacing w:after="0"/>
              <w:rPr>
                <w:sz w:val="24"/>
                <w:szCs w:val="24"/>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20.64</w:t>
            </w:r>
          </w:p>
        </w:tc>
        <w:tc>
          <w:tcPr>
            <w:tcW w:w="3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567"/>
        </w:trPr>
        <w:tc>
          <w:tcPr>
            <w:tcW w:w="4180" w:type="dxa"/>
            <w:vAlign w:val="bottom"/>
          </w:tcPr>
          <w:p>
            <w:pPr>
              <w:spacing w:after="0"/>
              <w:rPr>
                <w:sz w:val="20"/>
                <w:szCs w:val="20"/>
                <w:color w:val="auto"/>
              </w:rPr>
            </w:pPr>
            <w:r>
              <w:rPr>
                <w:rFonts w:ascii="Arial" w:cs="Arial" w:eastAsia="Arial" w:hAnsi="Arial"/>
                <w:sz w:val="18"/>
                <w:szCs w:val="18"/>
                <w:b w:val="1"/>
                <w:bCs w:val="1"/>
                <w:color w:val="auto"/>
              </w:rPr>
              <w:t>Acquisitions of:</w:t>
            </w:r>
          </w:p>
        </w:tc>
        <w:tc>
          <w:tcPr>
            <w:tcW w:w="3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3100" w:type="dxa"/>
            <w:vAlign w:val="bottom"/>
          </w:tcPr>
          <w:p>
            <w:pPr>
              <w:ind w:left="980"/>
              <w:spacing w:after="0"/>
              <w:rPr>
                <w:sz w:val="20"/>
                <w:szCs w:val="20"/>
                <w:color w:val="auto"/>
              </w:rPr>
            </w:pPr>
            <w:r>
              <w:rPr>
                <w:rFonts w:ascii="Arial" w:cs="Arial" w:eastAsia="Arial" w:hAnsi="Arial"/>
                <w:sz w:val="18"/>
                <w:szCs w:val="18"/>
                <w:b w:val="1"/>
                <w:bCs w:val="1"/>
                <w:color w:val="auto"/>
              </w:rPr>
              <w:t>Fourth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3,870</w:t>
            </w:r>
          </w:p>
        </w:tc>
        <w:tc>
          <w:tcPr>
            <w:tcW w:w="3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3100" w:type="dxa"/>
            <w:vAlign w:val="bottom"/>
          </w:tcPr>
          <w:p>
            <w:pPr>
              <w:ind w:left="98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14,740</w:t>
            </w:r>
          </w:p>
        </w:tc>
        <w:tc>
          <w:tcPr>
            <w:tcW w:w="3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15,029</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b w:val="1"/>
                <w:bCs w:val="1"/>
                <w:color w:val="auto"/>
              </w:rPr>
              <w:t>Depreciation and Amortization Charges</w:t>
            </w:r>
          </w:p>
        </w:tc>
        <w:tc>
          <w:tcPr>
            <w:tcW w:w="3100" w:type="dxa"/>
            <w:vAlign w:val="bottom"/>
          </w:tcPr>
          <w:p>
            <w:pPr>
              <w:ind w:left="980"/>
              <w:spacing w:after="0"/>
              <w:rPr>
                <w:sz w:val="20"/>
                <w:szCs w:val="20"/>
                <w:color w:val="auto"/>
              </w:rPr>
            </w:pPr>
            <w:r>
              <w:rPr>
                <w:rFonts w:ascii="Arial" w:cs="Arial" w:eastAsia="Arial" w:hAnsi="Arial"/>
                <w:sz w:val="18"/>
                <w:szCs w:val="18"/>
                <w:b w:val="1"/>
                <w:bCs w:val="1"/>
                <w:color w:val="auto"/>
              </w:rPr>
              <w:t>Fourth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3,524</w:t>
            </w:r>
          </w:p>
        </w:tc>
        <w:tc>
          <w:tcPr>
            <w:tcW w:w="3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3100" w:type="dxa"/>
            <w:vAlign w:val="bottom"/>
          </w:tcPr>
          <w:p>
            <w:pPr>
              <w:ind w:left="98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13,923</w:t>
            </w:r>
          </w:p>
        </w:tc>
        <w:tc>
          <w:tcPr>
            <w:tcW w:w="3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13,330</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Amounts as of July 31, 2020 include right-of-use operating lease assets and related liabilities required by adoption of Accounting Standards Codification 842, Leases.</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208915</wp:posOffset>
            </wp:positionV>
            <wp:extent cx="1474470" cy="4883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(in thousands)</w:t>
            </w: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(audited)</w:t>
            </w: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3"/>
                <w:szCs w:val="23"/>
                <w:color w:val="auto"/>
              </w:rPr>
            </w:pPr>
          </w:p>
        </w:tc>
        <w:tc>
          <w:tcPr>
            <w:tcW w:w="322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Twelve Months Ended</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12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July 31</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18,740</w:t>
            </w:r>
          </w:p>
        </w:tc>
        <w:tc>
          <w:tcPr>
            <w:tcW w:w="320" w:type="dxa"/>
            <w:vAlign w:val="bottom"/>
          </w:tcPr>
          <w:p>
            <w:pPr>
              <w:spacing w:after="0"/>
              <w:rPr>
                <w:sz w:val="23"/>
                <w:szCs w:val="23"/>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Depreciation and Amortization</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13,923</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13,330</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Increase in Accounts Receivable</w:t>
            </w: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Decrease (Increase) in Inventories</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Increase in Accounts Payable</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4,238</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Increase (Decrease) in Accrued Expenses</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8,632</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(Decrease) Increase in Pension and Postretirement Benefits</w:t>
            </w: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(5,684)</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Other</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2,412</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7"/>
        </w:trPr>
        <w:tc>
          <w:tcPr>
            <w:tcW w:w="728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Total Adjustments</w:t>
            </w: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23,722</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14,128</w:t>
            </w:r>
          </w:p>
        </w:tc>
        <w:tc>
          <w:tcPr>
            <w:tcW w:w="0" w:type="dxa"/>
            <w:vAlign w:val="bottom"/>
          </w:tcPr>
          <w:p>
            <w:pPr>
              <w:spacing w:after="0"/>
              <w:rPr>
                <w:sz w:val="1"/>
                <w:szCs w:val="1"/>
                <w:color w:val="auto"/>
              </w:rPr>
            </w:pPr>
          </w:p>
        </w:tc>
      </w:tr>
      <w:tr>
        <w:trPr>
          <w:trHeight w:val="27"/>
        </w:trPr>
        <w:tc>
          <w:tcPr>
            <w:tcW w:w="7280" w:type="dxa"/>
            <w:vAlign w:val="bottom"/>
            <w:vMerge w:val="restart"/>
          </w:tcPr>
          <w:p>
            <w:pPr>
              <w:spacing w:after="0"/>
              <w:rPr>
                <w:sz w:val="20"/>
                <w:szCs w:val="20"/>
                <w:color w:val="auto"/>
              </w:rPr>
            </w:pPr>
            <w:r>
              <w:rPr>
                <w:rFonts w:ascii="Arial" w:cs="Arial" w:eastAsia="Arial" w:hAnsi="Arial"/>
                <w:sz w:val="20"/>
                <w:szCs w:val="20"/>
                <w:b w:val="1"/>
                <w:bCs w:val="1"/>
                <w:color w:val="auto"/>
              </w:rPr>
              <w:t>Net Cash Provided by Operating Activities</w:t>
            </w: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2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42,462</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26,743</w:t>
            </w:r>
          </w:p>
        </w:tc>
        <w:tc>
          <w:tcPr>
            <w:tcW w:w="0" w:type="dxa"/>
            <w:vAlign w:val="bottom"/>
          </w:tcPr>
          <w:p>
            <w:pPr>
              <w:spacing w:after="0"/>
              <w:rPr>
                <w:sz w:val="1"/>
                <w:szCs w:val="1"/>
                <w:color w:val="auto"/>
              </w:rPr>
            </w:pPr>
          </w:p>
        </w:tc>
      </w:tr>
      <w:tr>
        <w:trPr>
          <w:trHeight w:val="23"/>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2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Capital Expenditures</w:t>
            </w: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(14,740)</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(15,029)</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Net Dispositions of Investment Securities</w:t>
            </w:r>
          </w:p>
        </w:tc>
        <w:tc>
          <w:tcPr>
            <w:tcW w:w="1100" w:type="dxa"/>
            <w:vAlign w:val="bottom"/>
          </w:tcPr>
          <w:p>
            <w:pPr>
              <w:spacing w:after="0"/>
              <w:rPr>
                <w:sz w:val="23"/>
                <w:szCs w:val="2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Other</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280" w:type="dxa"/>
            <w:vAlign w:val="bottom"/>
            <w:vMerge w:val="restart"/>
          </w:tcPr>
          <w:p>
            <w:pPr>
              <w:spacing w:after="0"/>
              <w:rPr>
                <w:sz w:val="20"/>
                <w:szCs w:val="20"/>
                <w:color w:val="auto"/>
              </w:rPr>
            </w:pPr>
            <w:r>
              <w:rPr>
                <w:rFonts w:ascii="Arial" w:cs="Arial" w:eastAsia="Arial" w:hAnsi="Arial"/>
                <w:sz w:val="20"/>
                <w:szCs w:val="20"/>
                <w:b w:val="1"/>
                <w:bCs w:val="1"/>
                <w:color w:val="auto"/>
              </w:rPr>
              <w:t>Net Cash Used in Investing Activities</w:t>
            </w: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2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(14,677)</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(7,888)</w:t>
            </w:r>
          </w:p>
        </w:tc>
        <w:tc>
          <w:tcPr>
            <w:tcW w:w="0" w:type="dxa"/>
            <w:vAlign w:val="bottom"/>
          </w:tcPr>
          <w:p>
            <w:pPr>
              <w:spacing w:after="0"/>
              <w:rPr>
                <w:sz w:val="1"/>
                <w:szCs w:val="1"/>
                <w:color w:val="auto"/>
              </w:rPr>
            </w:pPr>
          </w:p>
        </w:tc>
      </w:tr>
      <w:tr>
        <w:trPr>
          <w:trHeight w:val="23"/>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2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Proceeds from Issuance of Notes Payable</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Principal Payments on Notes Payable</w:t>
            </w: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(6,321)</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Dividends Paid</w:t>
            </w: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(7,030)</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(6,656)</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Purchase of Treasury Stock</w:t>
            </w: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(5,541)</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Other</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vMerge w:val="restart"/>
          </w:tcPr>
          <w:p>
            <w:pPr>
              <w:spacing w:after="0"/>
              <w:rPr>
                <w:sz w:val="20"/>
                <w:szCs w:val="20"/>
                <w:color w:val="auto"/>
              </w:rPr>
            </w:pPr>
            <w:r>
              <w:rPr>
                <w:rFonts w:ascii="Arial" w:cs="Arial" w:eastAsia="Arial" w:hAnsi="Arial"/>
                <w:sz w:val="20"/>
                <w:szCs w:val="20"/>
                <w:b w:val="1"/>
                <w:bCs w:val="1"/>
                <w:color w:val="auto"/>
              </w:rPr>
              <w:t>Net Cash Used in Financing Activities</w:t>
            </w: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2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(8,750)</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(9,886)</w:t>
            </w:r>
          </w:p>
        </w:tc>
        <w:tc>
          <w:tcPr>
            <w:tcW w:w="0" w:type="dxa"/>
            <w:vAlign w:val="bottom"/>
          </w:tcPr>
          <w:p>
            <w:pPr>
              <w:spacing w:after="0"/>
              <w:rPr>
                <w:sz w:val="1"/>
                <w:szCs w:val="1"/>
                <w:color w:val="auto"/>
              </w:rPr>
            </w:pPr>
          </w:p>
        </w:tc>
      </w:tr>
      <w:tr>
        <w:trPr>
          <w:trHeight w:val="23"/>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2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324"/>
        </w:trPr>
        <w:tc>
          <w:tcPr>
            <w:tcW w:w="7280" w:type="dxa"/>
            <w:vAlign w:val="bottom"/>
            <w:vMerge w:val="restart"/>
          </w:tcPr>
          <w:p>
            <w:pPr>
              <w:spacing w:after="0"/>
              <w:rPr>
                <w:sz w:val="20"/>
                <w:szCs w:val="20"/>
                <w:color w:val="auto"/>
              </w:rPr>
            </w:pPr>
            <w:r>
              <w:rPr>
                <w:rFonts w:ascii="Arial" w:cs="Arial" w:eastAsia="Arial" w:hAnsi="Arial"/>
                <w:sz w:val="20"/>
                <w:szCs w:val="20"/>
                <w:b w:val="1"/>
                <w:bCs w:val="1"/>
                <w:color w:val="auto"/>
              </w:rPr>
              <w:t>Net Increase in Cash and Cash Equivalents</w:t>
            </w: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19,028</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9,105</w:t>
            </w:r>
          </w:p>
        </w:tc>
        <w:tc>
          <w:tcPr>
            <w:tcW w:w="0" w:type="dxa"/>
            <w:vAlign w:val="bottom"/>
          </w:tcPr>
          <w:p>
            <w:pPr>
              <w:spacing w:after="0"/>
              <w:rPr>
                <w:sz w:val="1"/>
                <w:szCs w:val="1"/>
                <w:color w:val="auto"/>
              </w:rPr>
            </w:pPr>
          </w:p>
        </w:tc>
      </w:tr>
      <w:tr>
        <w:trPr>
          <w:trHeight w:val="266"/>
        </w:trPr>
        <w:tc>
          <w:tcPr>
            <w:tcW w:w="728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21,862</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8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40,890</w:t>
            </w:r>
          </w:p>
        </w:tc>
        <w:tc>
          <w:tcPr>
            <w:tcW w:w="320" w:type="dxa"/>
            <w:vAlign w:val="bottom"/>
          </w:tcPr>
          <w:p>
            <w:pPr>
              <w:spacing w:after="0"/>
              <w:rPr>
                <w:sz w:val="22"/>
                <w:szCs w:val="22"/>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00"/>
      </w:cols>
      <w:pgMar w:left="36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2020-10-13T15:18:40Z</dcterms:created>
  <dcterms:modified xsi:type="dcterms:W3CDTF">2020-10-13T15:18:40Z</dcterms:modified>
</cp:coreProperties>
</file>