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389" w:lineRule="exact"/>
        <w:rPr>
          <w:sz w:val="24"/>
          <w:szCs w:val="24"/>
          <w:color w:val="auto"/>
        </w:rPr>
      </w:pPr>
    </w:p>
    <w:p>
      <w:pPr>
        <w:ind w:left="40"/>
        <w:spacing w:after="0"/>
        <w:tabs>
          <w:tab w:leader="none" w:pos="1038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5"/>
          <w:szCs w:val="15"/>
          <w:color w:val="auto"/>
        </w:rPr>
        <w:t>June 11, 2015</w:t>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Oil-Dri Corporation of America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00" w:type="dxa"/>
            <w:vAlign w:val="bottom"/>
          </w:tcPr>
          <w:p>
            <w:pPr>
              <w:jc w:val="center"/>
              <w:ind w:right="830"/>
              <w:spacing w:after="0"/>
              <w:rPr>
                <w:sz w:val="20"/>
                <w:szCs w:val="20"/>
                <w:color w:val="auto"/>
              </w:rPr>
            </w:pPr>
            <w:r>
              <w:rPr>
                <w:rFonts w:ascii="Arial" w:cs="Arial" w:eastAsia="Arial" w:hAnsi="Arial"/>
                <w:sz w:val="18"/>
                <w:szCs w:val="18"/>
                <w:b w:val="1"/>
                <w:bCs w:val="1"/>
                <w:color w:val="auto"/>
                <w:w w:val="91"/>
              </w:rPr>
              <w:t>Delaware</w:t>
            </w: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001-12622</w:t>
            </w:r>
          </w:p>
        </w:tc>
        <w:tc>
          <w:tcPr>
            <w:tcW w:w="1660" w:type="dxa"/>
            <w:vAlign w:val="bottom"/>
          </w:tcPr>
          <w:p>
            <w:pPr>
              <w:spacing w:after="0"/>
              <w:rPr>
                <w:sz w:val="20"/>
                <w:szCs w:val="20"/>
                <w:color w:val="auto"/>
              </w:rPr>
            </w:pPr>
          </w:p>
        </w:tc>
        <w:tc>
          <w:tcPr>
            <w:tcW w:w="3580" w:type="dxa"/>
            <w:vAlign w:val="bottom"/>
          </w:tcPr>
          <w:p>
            <w:pPr>
              <w:ind w:left="1320"/>
              <w:spacing w:after="0"/>
              <w:rPr>
                <w:sz w:val="20"/>
                <w:szCs w:val="20"/>
                <w:color w:val="auto"/>
              </w:rPr>
            </w:pPr>
            <w:r>
              <w:rPr>
                <w:rFonts w:ascii="Arial" w:cs="Arial" w:eastAsia="Arial" w:hAnsi="Arial"/>
                <w:sz w:val="18"/>
                <w:szCs w:val="18"/>
                <w:b w:val="1"/>
                <w:bCs w:val="1"/>
                <w:color w:val="auto"/>
              </w:rPr>
              <w:t>36-2048898</w:t>
            </w:r>
          </w:p>
        </w:tc>
      </w:tr>
      <w:tr>
        <w:trPr>
          <w:trHeight w:val="27"/>
        </w:trPr>
        <w:tc>
          <w:tcPr>
            <w:tcW w:w="46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r>
      <w:tr>
        <w:trPr>
          <w:trHeight w:val="237"/>
        </w:trPr>
        <w:tc>
          <w:tcPr>
            <w:tcW w:w="4600" w:type="dxa"/>
            <w:vAlign w:val="bottom"/>
          </w:tcPr>
          <w:p>
            <w:pPr>
              <w:jc w:val="center"/>
              <w:ind w:right="830"/>
              <w:spacing w:after="0"/>
              <w:rPr>
                <w:sz w:val="20"/>
                <w:szCs w:val="20"/>
                <w:color w:val="auto"/>
              </w:rPr>
            </w:pPr>
            <w:r>
              <w:rPr>
                <w:rFonts w:ascii="Arial" w:cs="Arial" w:eastAsia="Arial" w:hAnsi="Arial"/>
                <w:sz w:val="18"/>
                <w:szCs w:val="18"/>
                <w:color w:val="auto"/>
                <w:w w:val="92"/>
              </w:rPr>
              <w:t>(State or other jurisdiction of incorporation)</w:t>
            </w:r>
          </w:p>
        </w:tc>
        <w:tc>
          <w:tcPr>
            <w:tcW w:w="3240" w:type="dxa"/>
            <w:vAlign w:val="bottom"/>
            <w:gridSpan w:val="2"/>
          </w:tcPr>
          <w:p>
            <w:pPr>
              <w:jc w:val="center"/>
              <w:ind w:right="980"/>
              <w:spacing w:after="0"/>
              <w:rPr>
                <w:sz w:val="20"/>
                <w:szCs w:val="20"/>
                <w:color w:val="auto"/>
              </w:rPr>
            </w:pPr>
            <w:r>
              <w:rPr>
                <w:rFonts w:ascii="Arial" w:cs="Arial" w:eastAsia="Arial" w:hAnsi="Arial"/>
                <w:sz w:val="18"/>
                <w:szCs w:val="18"/>
                <w:color w:val="auto"/>
                <w:w w:val="92"/>
              </w:rPr>
              <w:t>(Commission File Number)</w:t>
            </w:r>
          </w:p>
        </w:tc>
        <w:tc>
          <w:tcPr>
            <w:tcW w:w="3580" w:type="dxa"/>
            <w:vAlign w:val="bottom"/>
          </w:tcPr>
          <w:p>
            <w:pPr>
              <w:ind w:left="520"/>
              <w:spacing w:after="0"/>
              <w:rPr>
                <w:sz w:val="20"/>
                <w:szCs w:val="20"/>
                <w:color w:val="auto"/>
              </w:rPr>
            </w:pPr>
            <w:r>
              <w:rPr>
                <w:rFonts w:ascii="Arial" w:cs="Arial" w:eastAsia="Arial" w:hAnsi="Arial"/>
                <w:sz w:val="18"/>
                <w:szCs w:val="18"/>
                <w:color w:val="auto"/>
              </w:rPr>
              <w:t>(IRS Employer Identification No.)</w:t>
            </w:r>
          </w:p>
        </w:tc>
      </w:tr>
      <w:tr>
        <w:trPr>
          <w:trHeight w:val="1035"/>
        </w:trPr>
        <w:tc>
          <w:tcPr>
            <w:tcW w:w="78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1"/>
              </w:rPr>
              <w:t>410 North Michigan Avenue</w:t>
            </w:r>
          </w:p>
        </w:tc>
        <w:tc>
          <w:tcPr>
            <w:tcW w:w="3580" w:type="dxa"/>
            <w:vAlign w:val="bottom"/>
          </w:tcPr>
          <w:p>
            <w:pPr>
              <w:spacing w:after="0"/>
              <w:rPr>
                <w:sz w:val="24"/>
                <w:szCs w:val="24"/>
                <w:color w:val="auto"/>
              </w:rPr>
            </w:pPr>
          </w:p>
        </w:tc>
      </w:tr>
      <w:tr>
        <w:trPr>
          <w:trHeight w:val="216"/>
        </w:trPr>
        <w:tc>
          <w:tcPr>
            <w:tcW w:w="4600" w:type="dxa"/>
            <w:vAlign w:val="bottom"/>
          </w:tcPr>
          <w:p>
            <w:pPr>
              <w:jc w:val="center"/>
              <w:ind w:left="2970"/>
              <w:spacing w:after="0"/>
              <w:rPr>
                <w:sz w:val="20"/>
                <w:szCs w:val="20"/>
                <w:color w:val="auto"/>
              </w:rPr>
            </w:pPr>
            <w:r>
              <w:rPr>
                <w:rFonts w:ascii="Arial" w:cs="Arial" w:eastAsia="Arial" w:hAnsi="Arial"/>
                <w:sz w:val="18"/>
                <w:szCs w:val="18"/>
                <w:b w:val="1"/>
                <w:bCs w:val="1"/>
                <w:color w:val="auto"/>
                <w:w w:val="88"/>
              </w:rPr>
              <w:t>Suite 400</w:t>
            </w:r>
          </w:p>
        </w:tc>
        <w:tc>
          <w:tcPr>
            <w:tcW w:w="15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234"/>
        </w:trPr>
        <w:tc>
          <w:tcPr>
            <w:tcW w:w="4600" w:type="dxa"/>
            <w:vAlign w:val="bottom"/>
          </w:tcPr>
          <w:p>
            <w:pPr>
              <w:jc w:val="center"/>
              <w:ind w:left="2990"/>
              <w:spacing w:after="0"/>
              <w:rPr>
                <w:sz w:val="20"/>
                <w:szCs w:val="20"/>
                <w:color w:val="auto"/>
              </w:rPr>
            </w:pPr>
            <w:r>
              <w:rPr>
                <w:rFonts w:ascii="Arial" w:cs="Arial" w:eastAsia="Arial" w:hAnsi="Arial"/>
                <w:sz w:val="18"/>
                <w:szCs w:val="18"/>
                <w:b w:val="1"/>
                <w:bCs w:val="1"/>
                <w:color w:val="auto"/>
                <w:w w:val="89"/>
              </w:rPr>
              <w:t>Chicago, Illinois</w:t>
            </w:r>
          </w:p>
        </w:tc>
        <w:tc>
          <w:tcPr>
            <w:tcW w:w="15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580" w:type="dxa"/>
            <w:vAlign w:val="bottom"/>
          </w:tcPr>
          <w:p>
            <w:pPr>
              <w:jc w:val="right"/>
              <w:ind w:right="1350"/>
              <w:spacing w:after="0"/>
              <w:rPr>
                <w:sz w:val="20"/>
                <w:szCs w:val="20"/>
                <w:color w:val="auto"/>
              </w:rPr>
            </w:pPr>
            <w:r>
              <w:rPr>
                <w:rFonts w:ascii="Arial" w:cs="Arial" w:eastAsia="Arial" w:hAnsi="Arial"/>
                <w:sz w:val="18"/>
                <w:szCs w:val="18"/>
                <w:b w:val="1"/>
                <w:bCs w:val="1"/>
                <w:color w:val="auto"/>
              </w:rPr>
              <w:t>60611-4213</w:t>
            </w:r>
          </w:p>
        </w:tc>
      </w:tr>
      <w:tr>
        <w:trPr>
          <w:trHeight w:val="27"/>
        </w:trPr>
        <w:tc>
          <w:tcPr>
            <w:tcW w:w="6180" w:type="dxa"/>
            <w:vAlign w:val="bottom"/>
            <w:tcBorders>
              <w:bottom w:val="single" w:sz="8" w:color="auto"/>
            </w:tcBorders>
            <w:gridSpan w:val="2"/>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r>
      <w:tr>
        <w:trPr>
          <w:trHeight w:val="237"/>
        </w:trPr>
        <w:tc>
          <w:tcPr>
            <w:tcW w:w="7840" w:type="dxa"/>
            <w:vAlign w:val="bottom"/>
            <w:gridSpan w:val="3"/>
          </w:tcPr>
          <w:p>
            <w:pPr>
              <w:jc w:val="center"/>
              <w:ind w:right="180"/>
              <w:spacing w:after="0"/>
              <w:rPr>
                <w:sz w:val="20"/>
                <w:szCs w:val="20"/>
                <w:color w:val="auto"/>
              </w:rPr>
            </w:pPr>
            <w:r>
              <w:rPr>
                <w:rFonts w:ascii="Arial" w:cs="Arial" w:eastAsia="Arial" w:hAnsi="Arial"/>
                <w:sz w:val="18"/>
                <w:szCs w:val="18"/>
                <w:color w:val="auto"/>
                <w:w w:val="92"/>
              </w:rPr>
              <w:t>(Address of principal executive offices)</w:t>
            </w:r>
          </w:p>
        </w:tc>
        <w:tc>
          <w:tcPr>
            <w:tcW w:w="3580" w:type="dxa"/>
            <w:vAlign w:val="bottom"/>
          </w:tcPr>
          <w:p>
            <w:pPr>
              <w:ind w:left="1300"/>
              <w:spacing w:after="0"/>
              <w:rPr>
                <w:sz w:val="20"/>
                <w:szCs w:val="20"/>
                <w:color w:val="auto"/>
              </w:rPr>
            </w:pPr>
            <w:r>
              <w:rPr>
                <w:rFonts w:ascii="Arial" w:cs="Arial" w:eastAsia="Arial" w:hAnsi="Arial"/>
                <w:sz w:val="18"/>
                <w:szCs w:val="18"/>
                <w:color w:val="auto"/>
              </w:rPr>
              <w:t>(Zip Code)</w:t>
            </w:r>
          </w:p>
        </w:tc>
      </w:tr>
      <w:tr>
        <w:trPr>
          <w:trHeight w:val="837"/>
        </w:trPr>
        <w:tc>
          <w:tcPr>
            <w:tcW w:w="4600" w:type="dxa"/>
            <w:vAlign w:val="bottom"/>
          </w:tcPr>
          <w:p>
            <w:pPr>
              <w:ind w:left="40"/>
              <w:spacing w:after="0"/>
              <w:rPr>
                <w:sz w:val="20"/>
                <w:szCs w:val="20"/>
                <w:color w:val="auto"/>
              </w:rPr>
            </w:pPr>
            <w:r>
              <w:rPr>
                <w:rFonts w:ascii="Arial" w:cs="Arial" w:eastAsia="Arial" w:hAnsi="Arial"/>
                <w:sz w:val="18"/>
                <w:szCs w:val="18"/>
                <w:color w:val="auto"/>
              </w:rPr>
              <w:t>Registrant’s telephone number, including area code</w:t>
            </w:r>
          </w:p>
        </w:tc>
        <w:tc>
          <w:tcPr>
            <w:tcW w:w="32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(312) 321-1515</w:t>
            </w:r>
          </w:p>
        </w:tc>
        <w:tc>
          <w:tcPr>
            <w:tcW w:w="3580" w:type="dxa"/>
            <w:vAlign w:val="bottom"/>
          </w:tcPr>
          <w:p>
            <w:pPr>
              <w:spacing w:after="0"/>
              <w:rPr>
                <w:sz w:val="24"/>
                <w:szCs w:val="24"/>
                <w:color w:val="auto"/>
              </w:rPr>
            </w:pPr>
          </w:p>
        </w:tc>
      </w:tr>
      <w:tr>
        <w:trPr>
          <w:trHeight w:val="27"/>
        </w:trPr>
        <w:tc>
          <w:tcPr>
            <w:tcW w:w="46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531495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68"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333" w:lineRule="exact"/>
        <w:rPr>
          <w:sz w:val="24"/>
          <w:szCs w:val="24"/>
          <w:color w:val="auto"/>
        </w:rPr>
      </w:pPr>
    </w:p>
    <w:p>
      <w:pPr>
        <w:ind w:left="500" w:hanging="289"/>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500" w:hanging="289"/>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500" w:hanging="289"/>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left="500" w:hanging="289"/>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420"/>
          </w:cols>
          <w:pgMar w:left="240" w:top="688" w:right="239" w:bottom="1440" w:gutter="0" w:footer="0" w:header="0"/>
        </w:sectPr>
      </w:pPr>
    </w:p>
    <w:bookmarkStart w:id="1" w:name="page2"/>
    <w:bookmarkEnd w:id="1"/>
    <w:p>
      <w:pPr>
        <w:ind w:left="220"/>
        <w:spacing w:after="0"/>
        <w:rPr>
          <w:sz w:val="20"/>
          <w:szCs w:val="20"/>
          <w:color w:val="auto"/>
        </w:rPr>
      </w:pPr>
      <w:r>
        <w:rPr>
          <w:rFonts w:ascii="Arial" w:cs="Arial" w:eastAsia="Arial" w:hAnsi="Arial"/>
          <w:sz w:val="18"/>
          <w:szCs w:val="18"/>
          <w:b w:val="1"/>
          <w:bCs w:val="1"/>
          <w:u w:val="single" w:color="auto"/>
          <w:color w:val="auto"/>
        </w:rPr>
        <w:t>Item 8.01</w:t>
      </w:r>
      <w:r>
        <w:rPr>
          <w:rFonts w:ascii="Arial" w:cs="Arial" w:eastAsia="Arial" w:hAnsi="Arial"/>
          <w:sz w:val="18"/>
          <w:szCs w:val="18"/>
          <w:b w:val="1"/>
          <w:bCs w:val="1"/>
          <w:color w:val="auto"/>
        </w:rPr>
        <w:t xml:space="preserve"> Other Events.</w:t>
      </w:r>
    </w:p>
    <w:p>
      <w:pPr>
        <w:spacing w:after="0" w:line="256" w:lineRule="exact"/>
        <w:rPr>
          <w:sz w:val="20"/>
          <w:szCs w:val="20"/>
          <w:color w:val="auto"/>
        </w:rPr>
      </w:pPr>
    </w:p>
    <w:p>
      <w:pPr>
        <w:jc w:val="both"/>
        <w:ind w:firstLine="716"/>
        <w:spacing w:after="0" w:line="259" w:lineRule="auto"/>
        <w:rPr>
          <w:sz w:val="20"/>
          <w:szCs w:val="20"/>
          <w:color w:val="auto"/>
        </w:rPr>
      </w:pPr>
      <w:r>
        <w:rPr>
          <w:rFonts w:ascii="Arial" w:cs="Arial" w:eastAsia="Arial" w:hAnsi="Arial"/>
          <w:sz w:val="18"/>
          <w:szCs w:val="18"/>
          <w:color w:val="auto"/>
        </w:rPr>
        <w:t>At its regular meeting on June 11, 2015, the Registrant’s Board of Directors declared quarterly cash dividends of $0.21 per share of the Registrant’s Common Stock and $0.1575 per share of the Registrant’s Class B Stock. The dividends will be payable on September 4, 2015, to stockholders of record at the close of business on August 21, 2015. A copy of the Registrant’s press release announcing these matters is attached as Exhibit 99.1 and the information contained therein is incorporated herein by reference.</w:t>
      </w:r>
    </w:p>
    <w:p>
      <w:pPr>
        <w:spacing w:after="0" w:line="345" w:lineRule="exact"/>
        <w:rPr>
          <w:sz w:val="20"/>
          <w:szCs w:val="20"/>
          <w:color w:val="auto"/>
        </w:rPr>
      </w:pPr>
    </w:p>
    <w:p>
      <w:pPr>
        <w:ind w:left="220"/>
        <w:spacing w:after="0"/>
        <w:rPr>
          <w:sz w:val="20"/>
          <w:szCs w:val="20"/>
          <w:color w:val="auto"/>
        </w:rPr>
      </w:pPr>
      <w:r>
        <w:rPr>
          <w:rFonts w:ascii="Arial" w:cs="Arial" w:eastAsia="Arial" w:hAnsi="Arial"/>
          <w:sz w:val="18"/>
          <w:szCs w:val="18"/>
          <w:b w:val="1"/>
          <w:bCs w:val="1"/>
          <w:u w:val="single" w:color="auto"/>
          <w:color w:val="auto"/>
        </w:rPr>
        <w:t>Item 9.01</w:t>
      </w:r>
      <w:r>
        <w:rPr>
          <w:rFonts w:ascii="Arial" w:cs="Arial" w:eastAsia="Arial" w:hAnsi="Arial"/>
          <w:sz w:val="18"/>
          <w:szCs w:val="18"/>
          <w:b w:val="1"/>
          <w:bCs w:val="1"/>
          <w:color w:val="auto"/>
        </w:rPr>
        <w:t xml:space="preserve"> Financial Statements and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Exhibit</w:t>
            </w:r>
          </w:p>
        </w:tc>
        <w:tc>
          <w:tcPr>
            <w:tcW w:w="9800" w:type="dxa"/>
            <w:vAlign w:val="bottom"/>
          </w:tcPr>
          <w:p>
            <w:pPr>
              <w:spacing w:after="0"/>
              <w:rPr>
                <w:sz w:val="18"/>
                <w:szCs w:val="18"/>
                <w:color w:val="auto"/>
              </w:rPr>
            </w:pPr>
          </w:p>
        </w:tc>
      </w:tr>
      <w:tr>
        <w:trPr>
          <w:trHeight w:val="230"/>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Number</w:t>
            </w:r>
          </w:p>
        </w:tc>
        <w:tc>
          <w:tcPr>
            <w:tcW w:w="9800" w:type="dxa"/>
            <w:vAlign w:val="bottom"/>
          </w:tcPr>
          <w:p>
            <w:pPr>
              <w:ind w:left="4060"/>
              <w:spacing w:after="0"/>
              <w:rPr>
                <w:sz w:val="20"/>
                <w:szCs w:val="20"/>
                <w:color w:val="auto"/>
              </w:rPr>
            </w:pPr>
            <w:r>
              <w:rPr>
                <w:rFonts w:ascii="Arial" w:cs="Arial" w:eastAsia="Arial" w:hAnsi="Arial"/>
                <w:sz w:val="18"/>
                <w:szCs w:val="18"/>
                <w:color w:val="auto"/>
              </w:rPr>
              <w:t>Description of Exhibits</w:t>
            </w:r>
          </w:p>
        </w:tc>
      </w:tr>
      <w:tr>
        <w:trPr>
          <w:trHeight w:val="27"/>
        </w:trPr>
        <w:tc>
          <w:tcPr>
            <w:tcW w:w="12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9800" w:type="dxa"/>
            <w:vAlign w:val="bottom"/>
            <w:tcBorders>
              <w:bottom w:val="single" w:sz="8" w:color="auto"/>
            </w:tcBorders>
          </w:tcPr>
          <w:p>
            <w:pPr>
              <w:spacing w:after="0"/>
              <w:rPr>
                <w:sz w:val="2"/>
                <w:szCs w:val="2"/>
                <w:color w:val="auto"/>
              </w:rPr>
            </w:pPr>
          </w:p>
        </w:tc>
      </w:tr>
      <w:tr>
        <w:trPr>
          <w:trHeight w:val="507"/>
        </w:trPr>
        <w:tc>
          <w:tcPr>
            <w:tcW w:w="1280" w:type="dxa"/>
            <w:vAlign w:val="bottom"/>
          </w:tcPr>
          <w:p>
            <w:pPr>
              <w:jc w:val="right"/>
              <w:ind w:right="30"/>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Press Release of the Registrant dated June 11, 2015 (Cash Dividends)</w:t>
            </w:r>
          </w:p>
        </w:tc>
      </w:tr>
    </w:tbl>
    <w:p>
      <w:pPr>
        <w:sectPr>
          <w:pgSz w:w="11900" w:h="16838" w:orient="portrait"/>
          <w:cols w:equalWidth="0" w:num="1">
            <w:col w:w="11420"/>
          </w:cols>
          <w:pgMar w:left="240" w:top="958" w:right="239" w:bottom="1440" w:gutter="0" w:footer="0" w:header="0"/>
        </w:sectPr>
      </w:pPr>
    </w:p>
    <w:bookmarkStart w:id="2" w:name="page3"/>
    <w:bookmarkEnd w:id="2"/>
    <w:p>
      <w:pPr>
        <w:jc w:val="center"/>
        <w:ind w:right="-3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71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OIL-DRI CORPORATION OF AMERICA</w:t>
      </w:r>
    </w:p>
    <w:p>
      <w:pPr>
        <w:spacing w:after="0" w:line="333" w:lineRule="exact"/>
        <w:rPr>
          <w:sz w:val="20"/>
          <w:szCs w:val="20"/>
          <w:color w:val="auto"/>
        </w:rPr>
      </w:pPr>
    </w:p>
    <w:p>
      <w:pPr>
        <w:ind w:left="56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Douglas A.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31750</wp:posOffset>
            </wp:positionV>
            <wp:extent cx="23837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Douglas A. Graham</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Vice President and General Counsel</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Date: June 11, 2015</w:t>
      </w:r>
    </w:p>
    <w:p>
      <w:pPr>
        <w:sectPr>
          <w:pgSz w:w="11900" w:h="16838" w:orient="portrait"/>
          <w:cols w:equalWidth="0" w:num="1">
            <w:col w:w="11060"/>
          </w:cols>
          <w:pgMar w:left="240" w:top="580" w:right="59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u w:val="single" w:color="auto"/>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Exhibit</w:t>
            </w:r>
          </w:p>
        </w:tc>
        <w:tc>
          <w:tcPr>
            <w:tcW w:w="9800" w:type="dxa"/>
            <w:vAlign w:val="bottom"/>
          </w:tcPr>
          <w:p>
            <w:pPr>
              <w:spacing w:after="0"/>
              <w:rPr>
                <w:sz w:val="18"/>
                <w:szCs w:val="18"/>
                <w:color w:val="auto"/>
              </w:rPr>
            </w:pPr>
          </w:p>
        </w:tc>
      </w:tr>
      <w:tr>
        <w:trPr>
          <w:trHeight w:val="230"/>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Number</w:t>
            </w:r>
          </w:p>
        </w:tc>
        <w:tc>
          <w:tcPr>
            <w:tcW w:w="9800" w:type="dxa"/>
            <w:vAlign w:val="bottom"/>
          </w:tcPr>
          <w:p>
            <w:pPr>
              <w:ind w:left="4060"/>
              <w:spacing w:after="0"/>
              <w:rPr>
                <w:sz w:val="20"/>
                <w:szCs w:val="20"/>
                <w:color w:val="auto"/>
              </w:rPr>
            </w:pPr>
            <w:r>
              <w:rPr>
                <w:rFonts w:ascii="Arial" w:cs="Arial" w:eastAsia="Arial" w:hAnsi="Arial"/>
                <w:sz w:val="18"/>
                <w:szCs w:val="18"/>
                <w:color w:val="auto"/>
              </w:rPr>
              <w:t>Description of Exhibits</w:t>
            </w:r>
          </w:p>
        </w:tc>
      </w:tr>
      <w:tr>
        <w:trPr>
          <w:trHeight w:val="27"/>
        </w:trPr>
        <w:tc>
          <w:tcPr>
            <w:tcW w:w="12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9800" w:type="dxa"/>
            <w:vAlign w:val="bottom"/>
            <w:tcBorders>
              <w:bottom w:val="single" w:sz="8" w:color="auto"/>
            </w:tcBorders>
          </w:tcPr>
          <w:p>
            <w:pPr>
              <w:spacing w:after="0"/>
              <w:rPr>
                <w:sz w:val="2"/>
                <w:szCs w:val="2"/>
                <w:color w:val="auto"/>
              </w:rPr>
            </w:pPr>
          </w:p>
        </w:tc>
      </w:tr>
      <w:tr>
        <w:trPr>
          <w:trHeight w:val="507"/>
        </w:trPr>
        <w:tc>
          <w:tcPr>
            <w:tcW w:w="1280" w:type="dxa"/>
            <w:vAlign w:val="bottom"/>
          </w:tcPr>
          <w:p>
            <w:pPr>
              <w:jc w:val="right"/>
              <w:ind w:right="30"/>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Press Release of the Registrant dated June 11, 2015 (Cash Dividends)</w:t>
            </w:r>
          </w:p>
        </w:tc>
      </w:tr>
    </w:tbl>
    <w:p>
      <w:pPr>
        <w:sectPr>
          <w:pgSz w:w="11900" w:h="16838" w:orient="portrait"/>
          <w:cols w:equalWidth="0" w:num="1">
            <w:col w:w="11420"/>
          </w:cols>
          <w:pgMar w:left="240" w:top="58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5"/>
          <w:szCs w:val="15"/>
          <w:color w:val="002D69"/>
        </w:rPr>
        <w:drawing>
          <wp:anchor simplePos="0" relativeHeight="251657728" behindDoc="1" locked="0" layoutInCell="0" allowOverlap="1">
            <wp:simplePos x="0" y="0"/>
            <wp:positionH relativeFrom="page">
              <wp:posOffset>3115945</wp:posOffset>
            </wp:positionH>
            <wp:positionV relativeFrom="page">
              <wp:posOffset>88900</wp:posOffset>
            </wp:positionV>
            <wp:extent cx="1337945" cy="445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337945" cy="445770"/>
                    </a:xfrm>
                    <a:prstGeom prst="rect">
                      <a:avLst/>
                    </a:prstGeom>
                    <a:noFill/>
                  </pic:spPr>
                </pic:pic>
              </a:graphicData>
            </a:graphic>
          </wp:anchor>
        </w:drawing>
        <w:t>410 N. Michigan Ave. Chicago, Illinois 60611, U.S.A</w:t>
      </w:r>
    </w:p>
    <w:p>
      <w:pPr>
        <w:spacing w:after="0" w:line="178" w:lineRule="exact"/>
        <w:rPr>
          <w:sz w:val="20"/>
          <w:szCs w:val="20"/>
          <w:color w:val="auto"/>
        </w:rPr>
      </w:pPr>
    </w:p>
    <w:p>
      <w:pPr>
        <w:ind w:left="4740"/>
        <w:spacing w:after="0"/>
        <w:rPr>
          <w:sz w:val="20"/>
          <w:szCs w:val="20"/>
          <w:color w:val="auto"/>
        </w:rPr>
      </w:pPr>
      <w:r>
        <w:rPr>
          <w:rFonts w:ascii="Arial" w:cs="Arial" w:eastAsia="Arial" w:hAnsi="Arial"/>
          <w:sz w:val="22"/>
          <w:szCs w:val="22"/>
          <w:b w:val="1"/>
          <w:bCs w:val="1"/>
          <w:color w:val="002D69"/>
        </w:rPr>
        <w:t>News Announcement</w:t>
      </w:r>
    </w:p>
    <w:p>
      <w:pPr>
        <w:spacing w:after="0" w:line="28" w:lineRule="exact"/>
        <w:rPr>
          <w:sz w:val="20"/>
          <w:szCs w:val="20"/>
          <w:color w:val="auto"/>
        </w:rPr>
      </w:pPr>
    </w:p>
    <w:p>
      <w:pPr>
        <w:ind w:left="4700"/>
        <w:spacing w:after="0"/>
        <w:rPr>
          <w:sz w:val="20"/>
          <w:szCs w:val="20"/>
          <w:color w:val="auto"/>
        </w:rPr>
      </w:pPr>
      <w:r>
        <w:rPr>
          <w:rFonts w:ascii="Arial" w:cs="Arial" w:eastAsia="Arial" w:hAnsi="Arial"/>
          <w:sz w:val="22"/>
          <w:szCs w:val="22"/>
          <w:i w:val="1"/>
          <w:iCs w:val="1"/>
          <w:color w:val="002D69"/>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Exhibit 99.1</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Oil-Dri Board of Directors Declares Quarterly Dividends</w:t>
      </w:r>
    </w:p>
    <w:p>
      <w:pPr>
        <w:spacing w:after="0" w:line="200" w:lineRule="exact"/>
        <w:rPr>
          <w:sz w:val="20"/>
          <w:szCs w:val="20"/>
          <w:color w:val="auto"/>
        </w:rPr>
      </w:pPr>
    </w:p>
    <w:p>
      <w:pPr>
        <w:spacing w:after="0" w:line="323" w:lineRule="exact"/>
        <w:rPr>
          <w:sz w:val="20"/>
          <w:szCs w:val="20"/>
          <w:color w:val="auto"/>
        </w:rPr>
      </w:pPr>
    </w:p>
    <w:p>
      <w:pPr>
        <w:ind w:right="100"/>
        <w:spacing w:after="0" w:line="343" w:lineRule="auto"/>
        <w:rPr>
          <w:sz w:val="20"/>
          <w:szCs w:val="20"/>
          <w:color w:val="auto"/>
        </w:rPr>
      </w:pPr>
      <w:r>
        <w:rPr>
          <w:rFonts w:ascii="Arial" w:cs="Arial" w:eastAsia="Arial" w:hAnsi="Arial"/>
          <w:sz w:val="19"/>
          <w:szCs w:val="19"/>
          <w:color w:val="auto"/>
        </w:rPr>
        <w:t>CHICAGO—(June 11, 2015)—The Board of Directors of Oil-Dri Corporation of America (NYSE: ODC) today declared quarterly cash dividends of $0.21 per share of the Company’s Common Stock and $0.1575 per share of the Company’s Class B Stock.</w:t>
      </w:r>
    </w:p>
    <w:p>
      <w:pPr>
        <w:spacing w:after="0" w:line="145" w:lineRule="exact"/>
        <w:rPr>
          <w:sz w:val="20"/>
          <w:szCs w:val="20"/>
          <w:color w:val="auto"/>
        </w:rPr>
      </w:pPr>
    </w:p>
    <w:p>
      <w:pPr>
        <w:ind w:right="160"/>
        <w:spacing w:after="0" w:line="253" w:lineRule="auto"/>
        <w:rPr>
          <w:sz w:val="20"/>
          <w:szCs w:val="20"/>
          <w:color w:val="auto"/>
        </w:rPr>
      </w:pPr>
      <w:r>
        <w:rPr>
          <w:rFonts w:ascii="Arial" w:cs="Arial" w:eastAsia="Arial" w:hAnsi="Arial"/>
          <w:sz w:val="22"/>
          <w:szCs w:val="22"/>
          <w:color w:val="auto"/>
        </w:rPr>
        <w:t>The dividends declared today will be payable in the first quarter of fiscal 2016, on September 4, 2015, to stockholders of record at the close of business on August 21, 2015. The Company has paid cash dividends continuously since 1974 and has increased dividends annually for each of the last twelve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392" w:lineRule="exact"/>
        <w:rPr>
          <w:sz w:val="20"/>
          <w:szCs w:val="20"/>
          <w:color w:val="auto"/>
        </w:rPr>
      </w:pPr>
    </w:p>
    <w:p>
      <w:pPr>
        <w:jc w:val="center"/>
        <w:spacing w:after="0" w:line="275" w:lineRule="auto"/>
        <w:rPr>
          <w:sz w:val="20"/>
          <w:szCs w:val="20"/>
          <w:color w:val="auto"/>
        </w:rPr>
      </w:pPr>
      <w:r>
        <w:rPr>
          <w:rFonts w:ascii="Arial" w:cs="Arial" w:eastAsia="Arial" w:hAnsi="Arial"/>
          <w:sz w:val="16"/>
          <w:szCs w:val="16"/>
          <w:i w:val="1"/>
          <w:iCs w:val="1"/>
          <w:color w:val="auto"/>
        </w:rPr>
        <w:t>Oil-Dri Corporation of America is a leading supplier of specialty sorbent products for agricultural, horticultural, fluids purification, specialty, industrial and automotive markets and is a leading manufacturer of cat litter.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140"/>
        <w:spacing w:after="0"/>
        <w:rPr>
          <w:sz w:val="20"/>
          <w:szCs w:val="20"/>
          <w:color w:val="auto"/>
        </w:rPr>
      </w:pPr>
      <w:r>
        <w:rPr>
          <w:rFonts w:ascii="Arial" w:cs="Arial" w:eastAsia="Arial" w:hAnsi="Arial"/>
          <w:sz w:val="14"/>
          <w:szCs w:val="14"/>
          <w:b w:val="1"/>
          <w:bCs w:val="1"/>
          <w:color w:val="002D69"/>
        </w:rPr>
        <w:t>Laura G. Scheland</w:t>
      </w:r>
    </w:p>
    <w:p>
      <w:pPr>
        <w:spacing w:after="0" w:line="17" w:lineRule="exact"/>
        <w:rPr>
          <w:sz w:val="20"/>
          <w:szCs w:val="20"/>
          <w:color w:val="auto"/>
        </w:rPr>
      </w:pPr>
    </w:p>
    <w:p>
      <w:pPr>
        <w:ind w:left="4940"/>
        <w:spacing w:after="0"/>
        <w:rPr>
          <w:sz w:val="20"/>
          <w:szCs w:val="20"/>
          <w:color w:val="auto"/>
        </w:rPr>
      </w:pPr>
      <w:r>
        <w:rPr>
          <w:rFonts w:ascii="Arial" w:cs="Arial" w:eastAsia="Arial" w:hAnsi="Arial"/>
          <w:sz w:val="14"/>
          <w:szCs w:val="14"/>
          <w:i w:val="1"/>
          <w:iCs w:val="1"/>
          <w:color w:val="002D69"/>
        </w:rPr>
        <w:t>Investor Relations Contact</w:t>
      </w:r>
    </w:p>
    <w:p>
      <w:pPr>
        <w:spacing w:after="0" w:line="1" w:lineRule="exact"/>
        <w:rPr>
          <w:sz w:val="20"/>
          <w:szCs w:val="20"/>
          <w:color w:val="auto"/>
        </w:rPr>
      </w:pPr>
    </w:p>
    <w:p>
      <w:pPr>
        <w:ind w:left="4800"/>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ind w:left="4820"/>
        <w:spacing w:after="0"/>
        <w:rPr>
          <w:sz w:val="20"/>
          <w:szCs w:val="20"/>
          <w:color w:val="auto"/>
        </w:rPr>
      </w:pPr>
      <w:r>
        <w:rPr>
          <w:rFonts w:ascii="Arial" w:cs="Arial" w:eastAsia="Arial" w:hAnsi="Arial"/>
          <w:sz w:val="14"/>
          <w:szCs w:val="14"/>
          <w:color w:val="002D69"/>
        </w:rPr>
        <w:t>InvestorRelations@oildri.com</w:t>
      </w:r>
    </w:p>
    <w:p>
      <w:pPr>
        <w:spacing w:after="0" w:line="1" w:lineRule="exact"/>
        <w:rPr>
          <w:sz w:val="20"/>
          <w:szCs w:val="20"/>
          <w:color w:val="auto"/>
        </w:rPr>
      </w:pPr>
    </w:p>
    <w:p>
      <w:pPr>
        <w:ind w:left="5280"/>
        <w:spacing w:after="0"/>
        <w:rPr>
          <w:sz w:val="20"/>
          <w:szCs w:val="20"/>
          <w:color w:val="auto"/>
        </w:rPr>
      </w:pPr>
      <w:r>
        <w:rPr>
          <w:rFonts w:ascii="Arial" w:cs="Arial" w:eastAsia="Arial" w:hAnsi="Arial"/>
          <w:sz w:val="14"/>
          <w:szCs w:val="14"/>
          <w:color w:val="002D69"/>
        </w:rPr>
        <w:t>(312) 321 1515</w:t>
      </w:r>
    </w:p>
    <w:sectPr>
      <w:pgSz w:w="11900" w:h="16838" w:orient="portrait"/>
      <w:cols w:equalWidth="0" w:num="1">
        <w:col w:w="11420"/>
      </w:cols>
      <w:pgMar w:left="240" w:top="82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2020-01-23T19:14:54Z</dcterms:created>
  <dcterms:modified xsi:type="dcterms:W3CDTF">2020-01-23T19:14:54Z</dcterms:modified>
</cp:coreProperties>
</file>