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ildri10q.htm"/>
      <w:bookmarkStart w:id="1" w:name="ksoildri10q"/>
      <w:bookmarkEnd w:id="0"/>
      <w:bookmarkEnd w:id="1"/>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UNITED STATES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Washington, D. 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FORM 10-Q</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367"/>
        <w:gridCol w:w="9838"/>
      </w:tblGrid>
      <w:tr>
        <w:trPr/>
        <w:tc>
          <w:tcPr>
            <w:tcW w:w="367" w:type="dxa"/>
            <w:tcBorders/>
            <w:shd w:fill="FFFFFF" w:val="clear"/>
            <w:vAlign w:val="center"/>
          </w:tcPr>
          <w:p>
            <w:pPr>
              <w:pStyle w:val="TableContents"/>
              <w:spacing w:before="0" w:after="283"/>
              <w:rPr/>
            </w:pPr>
            <w:r>
              <w:rPr/>
              <w:t> </w:t>
            </w:r>
            <w:r>
              <w:rPr>
                <w:rFonts w:ascii="times new roman" w:hAnsi="times new roman"/>
                <w:sz w:val="20"/>
              </w:rPr>
              <w:t>[x] </w:t>
            </w:r>
          </w:p>
        </w:tc>
        <w:tc>
          <w:tcPr>
            <w:tcW w:w="9838" w:type="dxa"/>
            <w:tcBorders/>
            <w:shd w:fill="FFFFFF" w:val="clear"/>
            <w:vAlign w:val="center"/>
          </w:tcPr>
          <w:p>
            <w:pPr>
              <w:pStyle w:val="TableContents"/>
              <w:spacing w:before="0" w:after="283"/>
              <w:jc w:val="center"/>
              <w:rPr/>
            </w:pPr>
            <w:r>
              <w:rPr/>
              <w:t> </w:t>
            </w:r>
            <w:r>
              <w:rPr>
                <w:rFonts w:ascii="times new roman" w:hAnsi="times new roman"/>
                <w:sz w:val="20"/>
              </w:rPr>
              <w:t>Quarterly Report Pursuant to Section 13 or 15(d) of the</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jc w:val="center"/>
              <w:rPr/>
            </w:pPr>
            <w:r>
              <w:rPr/>
              <w:t> </w:t>
            </w:r>
            <w:r>
              <w:rPr>
                <w:rFonts w:ascii="times new roman" w:hAnsi="times new roman"/>
                <w:sz w:val="20"/>
              </w:rPr>
              <w:t>Securities Exchange Act of 1934</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jc w:val="center"/>
              <w:rPr/>
            </w:pPr>
            <w:r>
              <w:rPr/>
              <w:t> </w:t>
            </w:r>
            <w:r>
              <w:rPr>
                <w:rFonts w:ascii="times new roman" w:hAnsi="times new roman"/>
                <w:sz w:val="20"/>
              </w:rPr>
              <w:t>For the Quarterly Period Ended October 31, 2010</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rPr/>
            </w:pPr>
            <w:r>
              <w:rPr/>
              <w:t> </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jc w:val="center"/>
              <w:rPr/>
            </w:pPr>
            <w:r>
              <w:rPr/>
              <w:t> </w:t>
            </w:r>
            <w:r>
              <w:rPr>
                <w:rFonts w:ascii="times new roman" w:hAnsi="times new roman"/>
                <w:sz w:val="20"/>
              </w:rPr>
              <w:t>or</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jc w:val="center"/>
              <w:rPr/>
            </w:pPr>
            <w:r>
              <w:rPr/>
              <w:t> </w:t>
            </w:r>
          </w:p>
        </w:tc>
      </w:tr>
      <w:tr>
        <w:trPr/>
        <w:tc>
          <w:tcPr>
            <w:tcW w:w="367" w:type="dxa"/>
            <w:tcBorders/>
            <w:shd w:fill="FFFFFF" w:val="clear"/>
            <w:vAlign w:val="center"/>
          </w:tcPr>
          <w:p>
            <w:pPr>
              <w:pStyle w:val="TableContents"/>
              <w:spacing w:before="0" w:after="283"/>
              <w:rPr/>
            </w:pPr>
            <w:r>
              <w:rPr/>
              <w:t> </w:t>
            </w:r>
            <w:r>
              <w:rPr>
                <w:rFonts w:ascii="times new roman" w:hAnsi="times new roman"/>
                <w:sz w:val="20"/>
              </w:rPr>
              <w:t>[ ]      </w:t>
            </w:r>
          </w:p>
        </w:tc>
        <w:tc>
          <w:tcPr>
            <w:tcW w:w="9838" w:type="dxa"/>
            <w:tcBorders/>
            <w:shd w:fill="FFFFFF" w:val="clear"/>
            <w:vAlign w:val="center"/>
          </w:tcPr>
          <w:p>
            <w:pPr>
              <w:pStyle w:val="TableContents"/>
              <w:spacing w:before="0" w:after="283"/>
              <w:jc w:val="center"/>
              <w:rPr/>
            </w:pPr>
            <w:r>
              <w:rPr/>
              <w:t> </w:t>
            </w:r>
            <w:r>
              <w:rPr>
                <w:rFonts w:ascii="times new roman" w:hAnsi="times new roman"/>
                <w:sz w:val="20"/>
              </w:rPr>
              <w:t>Transition Report Pursuant to Section 13 or 15(d) of the</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jc w:val="center"/>
              <w:rPr/>
            </w:pPr>
            <w:r>
              <w:rPr/>
              <w:t> </w:t>
            </w:r>
            <w:r>
              <w:rPr>
                <w:rFonts w:ascii="times new roman" w:hAnsi="times new roman"/>
                <w:sz w:val="20"/>
              </w:rPr>
              <w:t>Securities Exchange Act of 1934</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jc w:val="center"/>
              <w:rPr/>
            </w:pPr>
            <w:r>
              <w:rPr/>
              <w:t> </w:t>
            </w:r>
            <w:r>
              <w:rPr>
                <w:rFonts w:ascii="times new roman" w:hAnsi="times new roman"/>
                <w:sz w:val="20"/>
              </w:rPr>
              <w:t>For the transition period from _____________ to ______________</w:t>
            </w:r>
          </w:p>
        </w:tc>
      </w:tr>
      <w:tr>
        <w:trPr/>
        <w:tc>
          <w:tcPr>
            <w:tcW w:w="367" w:type="dxa"/>
            <w:tcBorders/>
            <w:shd w:fill="FFFFFF" w:val="clear"/>
            <w:vAlign w:val="center"/>
          </w:tcPr>
          <w:p>
            <w:pPr>
              <w:pStyle w:val="TableContents"/>
              <w:spacing w:before="0" w:after="283"/>
              <w:rPr/>
            </w:pPr>
            <w:r>
              <w:rPr/>
              <w:t> </w:t>
            </w:r>
          </w:p>
        </w:tc>
        <w:tc>
          <w:tcPr>
            <w:tcW w:w="9838" w:type="dxa"/>
            <w:tcBorders/>
            <w:shd w:fill="FFFFFF" w:val="clear"/>
            <w:vAlign w:val="center"/>
          </w:tcPr>
          <w:p>
            <w:pPr>
              <w:pStyle w:val="TableContents"/>
              <w:spacing w:before="0" w:after="283"/>
              <w:rPr/>
            </w:pPr>
            <w:r>
              <w:rPr/>
              <w:t> </w:t>
            </w:r>
          </w:p>
        </w:tc>
      </w:tr>
    </w:tbl>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001-12622</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(Exact name of the registrant as specified in its charter)</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37"/>
        <w:gridCol w:w="4746"/>
        <w:gridCol w:w="356"/>
        <w:gridCol w:w="3916"/>
        <w:gridCol w:w="950"/>
      </w:tblGrid>
      <w:tr>
        <w:trPr/>
        <w:tc>
          <w:tcPr>
            <w:tcW w:w="237" w:type="dxa"/>
            <w:tcBorders/>
            <w:shd w:fill="auto" w:val="clear"/>
          </w:tcPr>
          <w:p>
            <w:pPr>
              <w:pStyle w:val="TableContents"/>
              <w:spacing w:before="0" w:after="283"/>
              <w:rPr/>
            </w:pPr>
            <w:r>
              <w:rPr/>
              <w:t xml:space="preserve">  </w:t>
            </w:r>
          </w:p>
        </w:tc>
        <w:tc>
          <w:tcPr>
            <w:tcW w:w="474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Delaware</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(State or other jurisdiction of incorporation or </w:t>
            </w:r>
          </w:p>
          <w:p>
            <w:pPr>
              <w:pStyle w:val="TableContents"/>
              <w:spacing w:before="0" w:after="0"/>
              <w:ind w:left="0" w:right="0" w:hanging="0"/>
              <w:jc w:val="center"/>
              <w:rPr>
                <w:rFonts w:ascii="times new roman" w:hAnsi="times new roman"/>
                <w:sz w:val="20"/>
              </w:rPr>
            </w:pPr>
            <w:r>
              <w:rPr>
                <w:rFonts w:ascii="times new roman" w:hAnsi="times new roman"/>
                <w:sz w:val="20"/>
              </w:rPr>
              <w:t>organization)</w:t>
            </w:r>
          </w:p>
        </w:tc>
        <w:tc>
          <w:tcPr>
            <w:tcW w:w="356" w:type="dxa"/>
            <w:tcBorders/>
            <w:shd w:fill="auto" w:val="clear"/>
          </w:tcPr>
          <w:p>
            <w:pPr>
              <w:pStyle w:val="TableContents"/>
              <w:spacing w:before="0" w:after="283"/>
              <w:rPr/>
            </w:pPr>
            <w:r>
              <w:rPr/>
              <w:t xml:space="preserve">  </w:t>
            </w:r>
          </w:p>
        </w:tc>
        <w:tc>
          <w:tcPr>
            <w:tcW w:w="391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36-2048898</w:t>
            </w:r>
          </w:p>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c>
          <w:tcPr>
            <w:tcW w:w="950" w:type="dxa"/>
            <w:tcBorders/>
            <w:shd w:fill="auto" w:val="clear"/>
          </w:tcPr>
          <w:p>
            <w:pPr>
              <w:pStyle w:val="TableContents"/>
              <w:spacing w:before="0" w:after="283"/>
              <w:rPr/>
            </w:pPr>
            <w:r>
              <w:rPr/>
              <w:t xml:space="preserve">  </w:t>
            </w:r>
          </w:p>
        </w:tc>
      </w:tr>
      <w:tr>
        <w:trPr/>
        <w:tc>
          <w:tcPr>
            <w:tcW w:w="237" w:type="dxa"/>
            <w:tcBorders/>
            <w:shd w:fill="auto" w:val="clear"/>
          </w:tcPr>
          <w:p>
            <w:pPr>
              <w:pStyle w:val="TableContents"/>
              <w:spacing w:before="0" w:after="283"/>
              <w:rPr/>
            </w:pPr>
            <w:r>
              <w:rPr/>
              <w:t xml:space="preserve">  </w:t>
            </w:r>
          </w:p>
        </w:tc>
        <w:tc>
          <w:tcPr>
            <w:tcW w:w="4746" w:type="dxa"/>
            <w:tcBorders/>
            <w:shd w:fill="auto" w:val="clear"/>
          </w:tcPr>
          <w:p>
            <w:pPr>
              <w:pStyle w:val="TableContents"/>
              <w:spacing w:before="0" w:after="283"/>
              <w:rPr/>
            </w:pPr>
            <w:r>
              <w:rPr/>
              <w:t xml:space="preserve">  </w:t>
            </w:r>
          </w:p>
        </w:tc>
        <w:tc>
          <w:tcPr>
            <w:tcW w:w="356" w:type="dxa"/>
            <w:tcBorders/>
            <w:shd w:fill="auto" w:val="clear"/>
          </w:tcPr>
          <w:p>
            <w:pPr>
              <w:pStyle w:val="TableContents"/>
              <w:spacing w:before="0" w:after="283"/>
              <w:rPr/>
            </w:pPr>
            <w:r>
              <w:rPr/>
              <w:t xml:space="preserve">  </w:t>
            </w:r>
          </w:p>
        </w:tc>
        <w:tc>
          <w:tcPr>
            <w:tcW w:w="3916" w:type="dxa"/>
            <w:tcBorders/>
            <w:shd w:fill="auto" w:val="clear"/>
          </w:tcPr>
          <w:p>
            <w:pPr>
              <w:pStyle w:val="TableContents"/>
              <w:spacing w:before="0" w:after="283"/>
              <w:rPr/>
            </w:pPr>
            <w:r>
              <w:rPr/>
              <w:t xml:space="preserve">  </w:t>
            </w:r>
          </w:p>
        </w:tc>
        <w:tc>
          <w:tcPr>
            <w:tcW w:w="950" w:type="dxa"/>
            <w:tcBorders/>
            <w:shd w:fill="auto" w:val="clear"/>
          </w:tcPr>
          <w:p>
            <w:pPr>
              <w:pStyle w:val="TableContents"/>
              <w:spacing w:before="0" w:after="283"/>
              <w:rPr/>
            </w:pPr>
            <w:r>
              <w:rPr/>
              <w:t xml:space="preserve">  </w:t>
            </w:r>
          </w:p>
        </w:tc>
      </w:tr>
      <w:tr>
        <w:trPr/>
        <w:tc>
          <w:tcPr>
            <w:tcW w:w="237" w:type="dxa"/>
            <w:tcBorders/>
            <w:shd w:fill="auto" w:val="clear"/>
          </w:tcPr>
          <w:p>
            <w:pPr>
              <w:pStyle w:val="TableContents"/>
              <w:spacing w:before="0" w:after="283"/>
              <w:rPr/>
            </w:pPr>
            <w:r>
              <w:rPr/>
              <w:t xml:space="preserve">  </w:t>
            </w:r>
          </w:p>
        </w:tc>
        <w:tc>
          <w:tcPr>
            <w:tcW w:w="474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410 North Michigan Avenue, Suite 400</w:t>
            </w:r>
          </w:p>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Chicago, Illinois</w:t>
            </w:r>
          </w:p>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56" w:type="dxa"/>
            <w:tcBorders/>
            <w:shd w:fill="auto" w:val="clear"/>
          </w:tcPr>
          <w:p>
            <w:pPr>
              <w:pStyle w:val="TableContents"/>
              <w:spacing w:before="0" w:after="283"/>
              <w:rPr/>
            </w:pPr>
            <w:r>
              <w:rPr/>
              <w:t xml:space="preserve">  </w:t>
            </w:r>
          </w:p>
        </w:tc>
        <w:tc>
          <w:tcPr>
            <w:tcW w:w="391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60611-4213</w:t>
            </w:r>
          </w:p>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c>
          <w:tcPr>
            <w:tcW w:w="950" w:type="dxa"/>
            <w:tcBorders/>
            <w:shd w:fill="auto" w:val="clear"/>
          </w:tcPr>
          <w:p>
            <w:pPr>
              <w:pStyle w:val="TableContents"/>
              <w:spacing w:before="0" w:after="283"/>
              <w:rPr/>
            </w:pPr>
            <w:r>
              <w:rPr/>
              <w:t xml:space="preserve">  </w:t>
            </w:r>
          </w:p>
        </w:tc>
      </w:tr>
    </w:tbl>
    <w:p>
      <w:pPr>
        <w:pStyle w:val="TextBody"/>
        <w:spacing w:before="0" w:after="0"/>
        <w:ind w:left="0" w:right="0" w:hanging="0"/>
        <w:jc w:val="left"/>
        <w:rPr>
          <w:rFonts w:ascii="Times New Roman" w:hAnsi="Times New Roman"/>
          <w:sz w:val="20"/>
        </w:rPr>
      </w:pPr>
      <w:r>
        <w:rPr>
          <w:rFonts w:ascii="Times New Roman" w:hAnsi="Times New Roman"/>
          <w:sz w:val="20"/>
        </w:rPr>
        <w:t>The registrant's telephone number, including area code: (312) 321-1515</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o</w:t>
      </w:r>
      <w:r>
        <w:rPr>
          <w:rFonts w:ascii="Times New Roman" w:hAnsi="Times New Roman"/>
          <w:sz w:val="20"/>
        </w:rPr>
        <w:t xml:space="preserve">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364"/>
        <w:gridCol w:w="2613"/>
        <w:gridCol w:w="2364"/>
        <w:gridCol w:w="2864"/>
      </w:tblGrid>
      <w:tr>
        <w:trPr/>
        <w:tc>
          <w:tcPr>
            <w:tcW w:w="2364" w:type="dxa"/>
            <w:tcBorders/>
            <w:shd w:fill="auto" w:val="clear"/>
          </w:tcPr>
          <w:p>
            <w:pPr>
              <w:pStyle w:val="TableContents"/>
              <w:spacing w:before="0" w:after="0"/>
              <w:ind w:left="0" w:right="273" w:hanging="0"/>
              <w:jc w:val="left"/>
              <w:rPr>
                <w:rFonts w:ascii="times new roman" w:hAnsi="times new roman"/>
                <w:sz w:val="20"/>
              </w:rPr>
            </w:pPr>
            <w:r>
              <w:rPr>
                <w:rFonts w:ascii="times new roman" w:hAnsi="times new roman"/>
                <w:sz w:val="20"/>
              </w:rPr>
              <w:t>Large accelerated filer </w:t>
            </w:r>
            <w:r>
              <w:rPr>
                <w:rFonts w:ascii="wingdings" w:hAnsi="wingdings"/>
                <w:sz w:val="20"/>
              </w:rPr>
              <w:t>o</w:t>
            </w:r>
          </w:p>
        </w:tc>
        <w:tc>
          <w:tcPr>
            <w:tcW w:w="2613"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Accelerated filer  </w:t>
            </w:r>
            <w:r>
              <w:rPr>
                <w:rFonts w:ascii="wingdings" w:hAnsi="wingdings"/>
                <w:sz w:val="20"/>
              </w:rPr>
              <w:t>x</w:t>
            </w:r>
          </w:p>
        </w:tc>
        <w:tc>
          <w:tcPr>
            <w:tcW w:w="2364" w:type="dxa"/>
            <w:tcBorders/>
            <w:shd w:fill="auto" w:val="clear"/>
          </w:tcPr>
          <w:p>
            <w:pPr>
              <w:pStyle w:val="TableContents"/>
              <w:spacing w:before="0" w:after="0"/>
              <w:ind w:left="0" w:right="360" w:firstLine="180"/>
              <w:jc w:val="left"/>
              <w:rPr>
                <w:rFonts w:ascii="times new roman" w:hAnsi="times new roman"/>
                <w:sz w:val="20"/>
              </w:rPr>
            </w:pPr>
            <w:r>
              <w:rPr>
                <w:rFonts w:ascii="times new roman" w:hAnsi="times new roman"/>
                <w:sz w:val="20"/>
              </w:rPr>
              <w:t>Non-accelerated filer </w:t>
            </w:r>
            <w:r>
              <w:rPr>
                <w:rFonts w:ascii="wingdings" w:hAnsi="wingdings"/>
                <w:sz w:val="20"/>
              </w:rPr>
              <w:t>o</w:t>
            </w:r>
          </w:p>
        </w:tc>
        <w:tc>
          <w:tcPr>
            <w:tcW w:w="2864"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Smaller reporting company </w:t>
            </w:r>
            <w:r>
              <w:rPr>
                <w:rFonts w:ascii="wingdings" w:hAnsi="wingdings"/>
                <w:sz w:val="20"/>
              </w:rPr>
              <w:t>o</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shell company (as defined in Rule 12b-2 of the Exchange Act).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o</w:t>
      </w:r>
      <w:r>
        <w:rPr>
          <w:rFonts w:ascii="Times New Roman" w:hAnsi="Times New Roman"/>
          <w:sz w:val="20"/>
        </w:rPr>
        <w:t xml:space="preserve">   No </w:t>
      </w:r>
      <w:r>
        <w:rPr>
          <w:rFonts w:ascii="Wingdings" w:hAnsi="Wingdings"/>
          <w:sz w:val="20"/>
        </w:rPr>
        <w:t>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the number of shares outstanding of each of the issuer’s classes of common stock as of October 31,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Common Stock – 5,098,400 Shares and Class B Stock – 2,049,409 Shares</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rPr/>
      </w:pPr>
      <w:r>
        <w:rPr/>
        <w:t> </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1161"/>
        <w:gridCol w:w="7718"/>
        <w:gridCol w:w="1326"/>
      </w:tblGrid>
      <w:tr>
        <w:trPr/>
        <w:tc>
          <w:tcPr>
            <w:tcW w:w="10205" w:type="dxa"/>
            <w:gridSpan w:val="3"/>
            <w:tcBorders/>
            <w:shd w:fill="FFFFFF" w:val="clear"/>
            <w:vAlign w:val="center"/>
          </w:tcPr>
          <w:p>
            <w:pPr>
              <w:pStyle w:val="TableContents"/>
              <w:spacing w:before="0" w:after="283"/>
              <w:jc w:val="center"/>
              <w:rPr>
                <w:rFonts w:ascii="times new roman" w:hAnsi="times new roman"/>
                <w:b/>
                <w:sz w:val="20"/>
              </w:rPr>
            </w:pPr>
            <w:r>
              <w:rPr>
                <w:rFonts w:ascii="times new roman" w:hAnsi="times new roman"/>
                <w:b/>
                <w:sz w:val="20"/>
              </w:rPr>
              <w:t>CONTENTS</w:t>
            </w:r>
          </w:p>
        </w:tc>
      </w:tr>
      <w:tr>
        <w:trPr/>
        <w:tc>
          <w:tcPr>
            <w:tcW w:w="1161" w:type="dxa"/>
            <w:tcBorders/>
            <w:shd w:fill="FFFFFF" w:val="clear"/>
            <w:vAlign w:val="center"/>
          </w:tcPr>
          <w:p>
            <w:pPr>
              <w:pStyle w:val="TableContents"/>
              <w:spacing w:before="0" w:after="283"/>
              <w:rPr/>
            </w:pPr>
            <w:r>
              <w:rPr/>
              <w:t> </w:t>
            </w:r>
          </w:p>
        </w:tc>
        <w:tc>
          <w:tcPr>
            <w:tcW w:w="7718" w:type="dxa"/>
            <w:tcBorders/>
            <w:shd w:fill="FFFFFF" w:val="clear"/>
            <w:vAlign w:val="center"/>
          </w:tcPr>
          <w:p>
            <w:pPr>
              <w:pStyle w:val="TableContents"/>
              <w:spacing w:before="0" w:after="283"/>
              <w:rPr/>
            </w:pPr>
            <w:r>
              <w:rPr/>
              <w:t> </w:t>
            </w:r>
          </w:p>
        </w:tc>
        <w:tc>
          <w:tcPr>
            <w:tcW w:w="1326" w:type="dxa"/>
            <w:tcBorders/>
            <w:shd w:fill="FFFF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p>
        </w:tc>
        <w:tc>
          <w:tcPr>
            <w:tcW w:w="7718" w:type="dxa"/>
            <w:tcBorders/>
            <w:shd w:fill="FFFFFF" w:val="clear"/>
            <w:vAlign w:val="center"/>
          </w:tcPr>
          <w:p>
            <w:pPr>
              <w:pStyle w:val="TableContents"/>
              <w:spacing w:before="0" w:after="283"/>
              <w:rPr/>
            </w:pPr>
            <w:r>
              <w:rPr/>
              <w:t> </w:t>
            </w:r>
          </w:p>
        </w:tc>
        <w:tc>
          <w:tcPr>
            <w:tcW w:w="1326" w:type="dxa"/>
            <w:tcBorders/>
            <w:shd w:fill="FFFFFF" w:val="clear"/>
            <w:vAlign w:val="center"/>
          </w:tcPr>
          <w:p>
            <w:pPr>
              <w:pStyle w:val="TableContents"/>
              <w:spacing w:before="0" w:after="283"/>
              <w:rPr/>
            </w:pPr>
            <w:r>
              <w:rPr/>
              <w:t> </w:t>
            </w:r>
            <w:r>
              <w:rPr>
                <w:rFonts w:ascii="times new roman" w:hAnsi="times new roman"/>
                <w:b/>
                <w:sz w:val="20"/>
                <w:u w:val="single"/>
              </w:rPr>
              <w:t>Page</w:t>
            </w:r>
          </w:p>
        </w:tc>
      </w:tr>
      <w:tr>
        <w:trPr/>
        <w:tc>
          <w:tcPr>
            <w:tcW w:w="10205" w:type="dxa"/>
            <w:gridSpan w:val="3"/>
            <w:tcBorders/>
            <w:shd w:fill="FFFFFF" w:val="clear"/>
            <w:vAlign w:val="center"/>
          </w:tcPr>
          <w:p>
            <w:pPr>
              <w:pStyle w:val="TableContents"/>
              <w:spacing w:before="0" w:after="283"/>
              <w:jc w:val="center"/>
              <w:rPr/>
            </w:pPr>
            <w:r>
              <w:rPr/>
              <w:t>  </w:t>
            </w:r>
            <w:r>
              <w:rPr>
                <w:rFonts w:ascii="times new roman" w:hAnsi="times new roman"/>
                <w:b/>
                <w:sz w:val="20"/>
              </w:rPr>
              <w:t>PART I – FINANCIAL INFORMATION</w:t>
            </w:r>
          </w:p>
        </w:tc>
      </w:tr>
      <w:tr>
        <w:trPr/>
        <w:tc>
          <w:tcPr>
            <w:tcW w:w="1161" w:type="dxa"/>
            <w:tcBorders/>
            <w:shd w:fill="FFFFFF" w:val="clear"/>
            <w:vAlign w:val="center"/>
          </w:tcPr>
          <w:p>
            <w:pPr>
              <w:pStyle w:val="TableContents"/>
              <w:spacing w:before="0" w:after="283"/>
              <w:rPr/>
            </w:pPr>
            <w:r>
              <w:rPr/>
              <w:t> </w:t>
            </w:r>
          </w:p>
        </w:tc>
        <w:tc>
          <w:tcPr>
            <w:tcW w:w="7718" w:type="dxa"/>
            <w:tcBorders/>
            <w:shd w:fill="FFFFFF" w:val="clear"/>
            <w:vAlign w:val="center"/>
          </w:tcPr>
          <w:p>
            <w:pPr>
              <w:pStyle w:val="TableContents"/>
              <w:spacing w:before="0" w:after="283"/>
              <w:rPr/>
            </w:pPr>
            <w:r>
              <w:rPr/>
              <w:t> </w:t>
            </w:r>
          </w:p>
        </w:tc>
        <w:tc>
          <w:tcPr>
            <w:tcW w:w="1326" w:type="dxa"/>
            <w:tcBorders/>
            <w:shd w:fill="FFFFFF" w:val="clear"/>
            <w:vAlign w:val="center"/>
          </w:tcPr>
          <w:p>
            <w:pPr>
              <w:pStyle w:val="TableContents"/>
              <w:spacing w:before="0" w:after="283"/>
              <w:rPr/>
            </w:pPr>
            <w:r>
              <w:rPr/>
              <w:t> </w:t>
            </w:r>
          </w:p>
        </w:tc>
      </w:tr>
      <w:tr>
        <w:trPr/>
        <w:tc>
          <w:tcPr>
            <w:tcW w:w="1161" w:type="dxa"/>
            <w:tcBorders/>
            <w:shd w:fill="CCEEFF" w:val="clear"/>
            <w:vAlign w:val="center"/>
          </w:tcPr>
          <w:p>
            <w:pPr>
              <w:pStyle w:val="TableContents"/>
              <w:spacing w:before="0" w:after="283"/>
              <w:rPr/>
            </w:pPr>
            <w:r>
              <w:rPr/>
              <w:t> </w:t>
            </w:r>
            <w:r>
              <w:rPr>
                <w:rFonts w:ascii="times new roman" w:hAnsi="times new roman"/>
                <w:b/>
                <w:sz w:val="20"/>
              </w:rPr>
              <w:t>Item 1:</w:t>
            </w:r>
          </w:p>
        </w:tc>
        <w:tc>
          <w:tcPr>
            <w:tcW w:w="7718" w:type="dxa"/>
            <w:tcBorders/>
            <w:shd w:fill="CCEEFF" w:val="clear"/>
            <w:vAlign w:val="center"/>
          </w:tcPr>
          <w:p>
            <w:pPr>
              <w:pStyle w:val="TableContents"/>
              <w:spacing w:before="0" w:after="283"/>
              <w:rPr/>
            </w:pPr>
            <w:r>
              <w:rPr/>
              <w:t> </w:t>
            </w:r>
            <w:r>
              <w:rPr>
                <w:rFonts w:ascii="times new roman" w:hAnsi="times new roman"/>
                <w:sz w:val="20"/>
              </w:rPr>
              <w:t>Financial Statements</w:t>
            </w:r>
          </w:p>
        </w:tc>
        <w:tc>
          <w:tcPr>
            <w:tcW w:w="1326" w:type="dxa"/>
            <w:tcBorders/>
            <w:shd w:fill="CCEEFF" w:val="clear"/>
            <w:vAlign w:val="center"/>
          </w:tcPr>
          <w:p>
            <w:pPr>
              <w:pStyle w:val="TableContents"/>
              <w:spacing w:before="0" w:after="283"/>
              <w:rPr/>
            </w:pPr>
            <w:r>
              <w:rPr/>
              <w:t> </w:t>
            </w:r>
            <w:hyperlink w:anchor="3">
              <w:r>
                <w:rPr>
                  <w:rStyle w:val="InternetLink"/>
                  <w:rFonts w:ascii="times new roman" w:hAnsi="times new roman"/>
                  <w:sz w:val="20"/>
                </w:rPr>
                <w:t>3</w:t>
              </w:r>
            </w:hyperlink>
            <w:r>
              <w:rPr>
                <w:rFonts w:ascii="times new roman" w:hAnsi="times new roman"/>
                <w:sz w:val="20"/>
              </w:rPr>
              <w:t xml:space="preserve"> – </w:t>
            </w:r>
            <w:hyperlink w:anchor="14">
              <w:r>
                <w:rPr>
                  <w:rStyle w:val="InternetLink"/>
                  <w:rFonts w:ascii="times new roman" w:hAnsi="times new roman"/>
                  <w:sz w:val="20"/>
                </w:rPr>
                <w:t>14</w:t>
              </w:r>
            </w:hyperlink>
          </w:p>
        </w:tc>
      </w:tr>
      <w:tr>
        <w:trPr/>
        <w:tc>
          <w:tcPr>
            <w:tcW w:w="1161" w:type="dxa"/>
            <w:tcBorders/>
            <w:shd w:fill="FFFFFF" w:val="clear"/>
            <w:vAlign w:val="center"/>
          </w:tcPr>
          <w:p>
            <w:pPr>
              <w:pStyle w:val="TableContents"/>
              <w:spacing w:before="0" w:after="283"/>
              <w:rPr/>
            </w:pPr>
            <w:r>
              <w:rPr/>
              <w:t> </w:t>
            </w:r>
          </w:p>
        </w:tc>
        <w:tc>
          <w:tcPr>
            <w:tcW w:w="7718" w:type="dxa"/>
            <w:tcBorders/>
            <w:shd w:fill="FFFFFF" w:val="clear"/>
            <w:vAlign w:val="center"/>
          </w:tcPr>
          <w:p>
            <w:pPr>
              <w:pStyle w:val="TableContents"/>
              <w:spacing w:before="0" w:after="283"/>
              <w:rPr/>
            </w:pPr>
            <w:r>
              <w:rPr/>
              <w:t> </w:t>
            </w:r>
          </w:p>
        </w:tc>
        <w:tc>
          <w:tcPr>
            <w:tcW w:w="1326" w:type="dxa"/>
            <w:tcBorders/>
            <w:shd w:fill="FFFFFF" w:val="clear"/>
            <w:vAlign w:val="center"/>
          </w:tcPr>
          <w:p>
            <w:pPr>
              <w:pStyle w:val="TableContents"/>
              <w:spacing w:before="0" w:after="283"/>
              <w:rPr/>
            </w:pPr>
            <w:r>
              <w:rPr/>
              <w:t> </w:t>
            </w:r>
          </w:p>
        </w:tc>
      </w:tr>
      <w:tr>
        <w:trPr/>
        <w:tc>
          <w:tcPr>
            <w:tcW w:w="1161" w:type="dxa"/>
            <w:tcBorders/>
            <w:shd w:fill="CCEEFF" w:val="clear"/>
            <w:vAlign w:val="center"/>
          </w:tcPr>
          <w:p>
            <w:pPr>
              <w:pStyle w:val="TableContents"/>
              <w:spacing w:before="0" w:after="283"/>
              <w:rPr/>
            </w:pPr>
            <w:r>
              <w:rPr/>
              <w:t> </w:t>
            </w:r>
            <w:r>
              <w:rPr>
                <w:rFonts w:ascii="times new roman" w:hAnsi="times new roman"/>
                <w:b/>
                <w:sz w:val="20"/>
              </w:rPr>
              <w:t>Item 2:</w:t>
            </w:r>
          </w:p>
        </w:tc>
        <w:tc>
          <w:tcPr>
            <w:tcW w:w="7718" w:type="dxa"/>
            <w:tcBorders/>
            <w:shd w:fill="CCEEFF" w:val="clear"/>
            <w:vAlign w:val="center"/>
          </w:tcPr>
          <w:p>
            <w:pPr>
              <w:pStyle w:val="TableContents"/>
              <w:spacing w:before="0" w:after="283"/>
              <w:rPr/>
            </w:pPr>
            <w:r>
              <w:rPr/>
              <w:t> </w:t>
            </w:r>
            <w:r>
              <w:rPr>
                <w:rFonts w:ascii="times new roman" w:hAnsi="times new roman"/>
                <w:sz w:val="20"/>
              </w:rPr>
              <w:t>Management’s Discussion and Analysis of Financial Condition</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p>
        </w:tc>
        <w:tc>
          <w:tcPr>
            <w:tcW w:w="7718" w:type="dxa"/>
            <w:tcBorders/>
            <w:shd w:fill="FFFFFF" w:val="clear"/>
            <w:vAlign w:val="center"/>
          </w:tcPr>
          <w:p>
            <w:pPr>
              <w:pStyle w:val="TableContents"/>
              <w:spacing w:before="0" w:after="283"/>
              <w:rPr/>
            </w:pPr>
            <w:r>
              <w:rPr/>
              <w:t> </w:t>
            </w:r>
            <w:r>
              <w:rPr>
                <w:rFonts w:ascii="times new roman" w:hAnsi="times new roman"/>
                <w:sz w:val="20"/>
              </w:rPr>
              <w:t>and Results Of Operations</w:t>
            </w:r>
          </w:p>
        </w:tc>
        <w:tc>
          <w:tcPr>
            <w:tcW w:w="1326" w:type="dxa"/>
            <w:tcBorders/>
            <w:shd w:fill="FFFFFF" w:val="clear"/>
            <w:vAlign w:val="center"/>
          </w:tcPr>
          <w:p>
            <w:pPr>
              <w:pStyle w:val="TableContents"/>
              <w:spacing w:before="0" w:after="283"/>
              <w:rPr/>
            </w:pPr>
            <w:r>
              <w:rPr/>
              <w:t> </w:t>
            </w:r>
            <w:hyperlink w:anchor="14">
              <w:r>
                <w:rPr>
                  <w:rStyle w:val="InternetLink"/>
                  <w:rFonts w:ascii="times new roman" w:hAnsi="times new roman"/>
                  <w:sz w:val="20"/>
                </w:rPr>
                <w:t xml:space="preserve">14 </w:t>
              </w:r>
            </w:hyperlink>
            <w:r>
              <w:rPr>
                <w:rFonts w:ascii="times new roman" w:hAnsi="times new roman"/>
                <w:sz w:val="20"/>
              </w:rPr>
              <w:t xml:space="preserve">- </w:t>
            </w:r>
            <w:hyperlink w:anchor="20">
              <w:r>
                <w:rPr>
                  <w:rStyle w:val="InternetLink"/>
                  <w:rFonts w:ascii="times new roman" w:hAnsi="times new roman"/>
                  <w:sz w:val="20"/>
                </w:rPr>
                <w:t>20</w:t>
              </w:r>
            </w:hyperlink>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r>
              <w:rPr>
                <w:rFonts w:ascii="times new roman" w:hAnsi="times new roman"/>
                <w:b/>
                <w:sz w:val="20"/>
              </w:rPr>
              <w:t>Item 3:</w:t>
            </w:r>
          </w:p>
        </w:tc>
        <w:tc>
          <w:tcPr>
            <w:tcW w:w="7718" w:type="dxa"/>
            <w:tcBorders/>
            <w:shd w:fill="FFFFFF" w:val="clear"/>
            <w:vAlign w:val="center"/>
          </w:tcPr>
          <w:p>
            <w:pPr>
              <w:pStyle w:val="TableContents"/>
              <w:spacing w:before="0" w:after="283"/>
              <w:rPr/>
            </w:pPr>
            <w:r>
              <w:rPr/>
              <w:t> </w:t>
            </w:r>
            <w:r>
              <w:rPr>
                <w:rFonts w:ascii="times new roman" w:hAnsi="times new roman"/>
                <w:sz w:val="20"/>
              </w:rPr>
              <w:t>Quantitative and Qualitative Disclosures About Market Risk</w:t>
            </w:r>
          </w:p>
        </w:tc>
        <w:tc>
          <w:tcPr>
            <w:tcW w:w="1326" w:type="dxa"/>
            <w:tcBorders/>
            <w:shd w:fill="FFFFFF" w:val="clear"/>
            <w:vAlign w:val="center"/>
          </w:tcPr>
          <w:p>
            <w:pPr>
              <w:pStyle w:val="TableContents"/>
              <w:spacing w:before="0" w:after="283"/>
              <w:rPr/>
            </w:pPr>
            <w:r>
              <w:rPr/>
              <w:t> </w:t>
            </w:r>
            <w:hyperlink w:anchor="20">
              <w:r>
                <w:rPr>
                  <w:rStyle w:val="InternetLink"/>
                  <w:rFonts w:ascii="times new roman" w:hAnsi="times new roman"/>
                  <w:sz w:val="20"/>
                </w:rPr>
                <w:t xml:space="preserve">20 </w:t>
              </w:r>
            </w:hyperlink>
            <w:r>
              <w:rPr>
                <w:rFonts w:ascii="times new roman" w:hAnsi="times new roman"/>
                <w:sz w:val="20"/>
              </w:rPr>
              <w:t xml:space="preserve">- </w:t>
            </w:r>
            <w:hyperlink w:anchor="21">
              <w:r>
                <w:rPr>
                  <w:rStyle w:val="InternetLink"/>
                  <w:rFonts w:ascii="times new roman" w:hAnsi="times new roman"/>
                  <w:sz w:val="20"/>
                </w:rPr>
                <w:t>21</w:t>
              </w:r>
            </w:hyperlink>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r>
              <w:rPr>
                <w:rFonts w:ascii="times new roman" w:hAnsi="times new roman"/>
                <w:b/>
                <w:sz w:val="20"/>
              </w:rPr>
              <w:t>Item 4:</w:t>
            </w:r>
          </w:p>
        </w:tc>
        <w:tc>
          <w:tcPr>
            <w:tcW w:w="7718" w:type="dxa"/>
            <w:tcBorders/>
            <w:shd w:fill="FFFFFF" w:val="clear"/>
            <w:vAlign w:val="center"/>
          </w:tcPr>
          <w:p>
            <w:pPr>
              <w:pStyle w:val="TableContents"/>
              <w:spacing w:before="0" w:after="283"/>
              <w:rPr/>
            </w:pPr>
            <w:r>
              <w:rPr/>
              <w:t> </w:t>
            </w:r>
            <w:r>
              <w:rPr>
                <w:rFonts w:ascii="times new roman" w:hAnsi="times new roman"/>
                <w:sz w:val="20"/>
              </w:rPr>
              <w:t>Controls and Procedures</w:t>
            </w:r>
          </w:p>
        </w:tc>
        <w:tc>
          <w:tcPr>
            <w:tcW w:w="1326" w:type="dxa"/>
            <w:tcBorders/>
            <w:shd w:fill="FFFFFF" w:val="clear"/>
            <w:vAlign w:val="center"/>
          </w:tcPr>
          <w:p>
            <w:pPr>
              <w:pStyle w:val="TableContents"/>
              <w:spacing w:before="0" w:after="283"/>
              <w:rPr/>
            </w:pPr>
            <w:r>
              <w:rPr/>
              <w:t>        </w:t>
            </w:r>
            <w:hyperlink w:anchor="22">
              <w:r>
                <w:rPr>
                  <w:rStyle w:val="InternetLink"/>
                  <w:rFonts w:ascii="times new roman" w:hAnsi="times new roman"/>
                  <w:sz w:val="20"/>
                </w:rPr>
                <w:t>22</w:t>
              </w:r>
            </w:hyperlink>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0205" w:type="dxa"/>
            <w:gridSpan w:val="3"/>
            <w:tcBorders/>
            <w:shd w:fill="FFFFFF" w:val="clear"/>
            <w:vAlign w:val="center"/>
          </w:tcPr>
          <w:p>
            <w:pPr>
              <w:pStyle w:val="TableContents"/>
              <w:spacing w:before="0" w:after="283"/>
              <w:jc w:val="center"/>
              <w:rPr/>
            </w:pPr>
            <w:r>
              <w:rPr/>
              <w:t>  </w:t>
            </w:r>
            <w:r>
              <w:rPr>
                <w:rFonts w:ascii="times new roman" w:hAnsi="times new roman"/>
                <w:b/>
                <w:sz w:val="20"/>
              </w:rPr>
              <w:t>PART II – OTHER INFORMATION</w:t>
            </w:r>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r>
              <w:rPr>
                <w:rFonts w:ascii="times new roman" w:hAnsi="times new roman"/>
                <w:b/>
                <w:sz w:val="20"/>
              </w:rPr>
              <w:t>Item 2:</w:t>
            </w:r>
          </w:p>
        </w:tc>
        <w:tc>
          <w:tcPr>
            <w:tcW w:w="7718" w:type="dxa"/>
            <w:tcBorders/>
            <w:shd w:fill="FFFFFF" w:val="clear"/>
            <w:vAlign w:val="center"/>
          </w:tcPr>
          <w:p>
            <w:pPr>
              <w:pStyle w:val="TableContents"/>
              <w:spacing w:before="0" w:after="283"/>
              <w:rPr/>
            </w:pPr>
            <w:r>
              <w:rPr/>
              <w:t> </w:t>
            </w:r>
            <w:r>
              <w:rPr>
                <w:rFonts w:ascii="times new roman" w:hAnsi="times new roman"/>
                <w:sz w:val="20"/>
              </w:rPr>
              <w:t>Unregistered Sales of Equity Securities and Use of Proceeds </w:t>
            </w:r>
          </w:p>
        </w:tc>
        <w:tc>
          <w:tcPr>
            <w:tcW w:w="1326" w:type="dxa"/>
            <w:tcBorders/>
            <w:shd w:fill="FFFFFF" w:val="clear"/>
            <w:vAlign w:val="center"/>
          </w:tcPr>
          <w:p>
            <w:pPr>
              <w:pStyle w:val="TableContents"/>
              <w:spacing w:before="0" w:after="283"/>
              <w:rPr/>
            </w:pPr>
            <w:r>
              <w:rPr/>
              <w:t xml:space="preserve">        </w:t>
            </w:r>
            <w:hyperlink w:anchor="23">
              <w:r>
                <w:rPr>
                  <w:rStyle w:val="InternetLink"/>
                  <w:rFonts w:ascii="times new roman" w:hAnsi="times new roman"/>
                  <w:sz w:val="20"/>
                </w:rPr>
                <w:t>23</w:t>
              </w:r>
            </w:hyperlink>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r>
              <w:rPr>
                <w:rFonts w:ascii="times new roman" w:hAnsi="times new roman"/>
                <w:b/>
                <w:sz w:val="20"/>
              </w:rPr>
              <w:t>Item 5:</w:t>
            </w:r>
          </w:p>
        </w:tc>
        <w:tc>
          <w:tcPr>
            <w:tcW w:w="7718" w:type="dxa"/>
            <w:tcBorders/>
            <w:shd w:fill="FFFFFF" w:val="clear"/>
            <w:vAlign w:val="center"/>
          </w:tcPr>
          <w:p>
            <w:pPr>
              <w:pStyle w:val="TableContents"/>
              <w:spacing w:before="0" w:after="283"/>
              <w:rPr/>
            </w:pPr>
            <w:r>
              <w:rPr/>
              <w:t> </w:t>
            </w:r>
            <w:r>
              <w:rPr>
                <w:rFonts w:ascii="times new roman" w:hAnsi="times new roman"/>
                <w:sz w:val="20"/>
              </w:rPr>
              <w:t>Other Information</w:t>
            </w:r>
          </w:p>
        </w:tc>
        <w:tc>
          <w:tcPr>
            <w:tcW w:w="1326" w:type="dxa"/>
            <w:tcBorders/>
            <w:shd w:fill="FFFFFF" w:val="clear"/>
            <w:vAlign w:val="center"/>
          </w:tcPr>
          <w:p>
            <w:pPr>
              <w:pStyle w:val="TableContents"/>
              <w:spacing w:before="0" w:after="283"/>
              <w:rPr/>
            </w:pPr>
            <w:r>
              <w:rPr/>
              <w:t xml:space="preserve">        </w:t>
            </w:r>
            <w:hyperlink w:anchor="24">
              <w:r>
                <w:rPr>
                  <w:rStyle w:val="InternetLink"/>
                  <w:rFonts w:ascii="times new roman" w:hAnsi="times new roman"/>
                  <w:sz w:val="20"/>
                </w:rPr>
                <w:t>24</w:t>
              </w:r>
            </w:hyperlink>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r>
              <w:rPr>
                <w:rFonts w:ascii="times new roman" w:hAnsi="times new roman"/>
                <w:b/>
                <w:sz w:val="20"/>
              </w:rPr>
              <w:t>Item 6:</w:t>
            </w:r>
          </w:p>
        </w:tc>
        <w:tc>
          <w:tcPr>
            <w:tcW w:w="7718" w:type="dxa"/>
            <w:tcBorders/>
            <w:shd w:fill="FFFFFF" w:val="clear"/>
            <w:vAlign w:val="center"/>
          </w:tcPr>
          <w:p>
            <w:pPr>
              <w:pStyle w:val="TableContents"/>
              <w:spacing w:before="0" w:after="283"/>
              <w:rPr/>
            </w:pPr>
            <w:r>
              <w:rPr/>
              <w:t> </w:t>
            </w:r>
            <w:r>
              <w:rPr>
                <w:rFonts w:ascii="times new roman" w:hAnsi="times new roman"/>
                <w:sz w:val="20"/>
              </w:rPr>
              <w:t>Exhibits </w:t>
            </w:r>
          </w:p>
        </w:tc>
        <w:tc>
          <w:tcPr>
            <w:tcW w:w="1326" w:type="dxa"/>
            <w:tcBorders/>
            <w:shd w:fill="FFFFFF" w:val="clear"/>
            <w:vAlign w:val="center"/>
          </w:tcPr>
          <w:p>
            <w:pPr>
              <w:pStyle w:val="TableContents"/>
              <w:spacing w:before="0" w:after="283"/>
              <w:rPr/>
            </w:pPr>
            <w:r>
              <w:rPr/>
              <w:t xml:space="preserve">        </w:t>
            </w:r>
            <w:hyperlink w:anchor="24">
              <w:r>
                <w:rPr>
                  <w:rStyle w:val="InternetLink"/>
                  <w:rFonts w:ascii="times new roman" w:hAnsi="times new roman"/>
                  <w:sz w:val="20"/>
                </w:rPr>
                <w:t>24</w:t>
              </w:r>
            </w:hyperlink>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r>
              <w:rPr>
                <w:rFonts w:ascii="times new roman" w:hAnsi="times new roman"/>
                <w:b/>
                <w:sz w:val="20"/>
              </w:rPr>
              <w:t>Signatures</w:t>
            </w:r>
            <w:r>
              <w:rPr>
                <w:rFonts w:ascii="times new roman" w:hAnsi="times new roman"/>
                <w:sz w:val="20"/>
              </w:rPr>
              <w:t>   </w:t>
            </w:r>
          </w:p>
        </w:tc>
        <w:tc>
          <w:tcPr>
            <w:tcW w:w="7718" w:type="dxa"/>
            <w:tcBorders/>
            <w:shd w:fill="FFFFFF" w:val="clear"/>
            <w:vAlign w:val="center"/>
          </w:tcPr>
          <w:p>
            <w:pPr>
              <w:pStyle w:val="TableContents"/>
              <w:spacing w:before="0" w:after="283"/>
              <w:rPr/>
            </w:pPr>
            <w:r>
              <w:rPr/>
              <w:t> </w:t>
            </w:r>
          </w:p>
        </w:tc>
        <w:tc>
          <w:tcPr>
            <w:tcW w:w="1326" w:type="dxa"/>
            <w:tcBorders/>
            <w:shd w:fill="FFFFFF" w:val="clear"/>
            <w:vAlign w:val="center"/>
          </w:tcPr>
          <w:p>
            <w:pPr>
              <w:pStyle w:val="TableContents"/>
              <w:spacing w:before="0" w:after="283"/>
              <w:rPr/>
            </w:pPr>
            <w:r>
              <w:rPr/>
              <w:t xml:space="preserve">        </w:t>
            </w:r>
            <w:hyperlink w:anchor="25">
              <w:r>
                <w:rPr>
                  <w:rStyle w:val="InternetLink"/>
                  <w:rFonts w:ascii="times new roman" w:hAnsi="times new roman"/>
                  <w:sz w:val="20"/>
                </w:rPr>
                <w:t>25</w:t>
              </w:r>
            </w:hyperlink>
          </w:p>
        </w:tc>
      </w:tr>
      <w:tr>
        <w:trPr/>
        <w:tc>
          <w:tcPr>
            <w:tcW w:w="1161" w:type="dxa"/>
            <w:tcBorders/>
            <w:shd w:fill="CCEEFF" w:val="clear"/>
            <w:vAlign w:val="center"/>
          </w:tcPr>
          <w:p>
            <w:pPr>
              <w:pStyle w:val="TableContents"/>
              <w:spacing w:before="0" w:after="283"/>
              <w:rPr/>
            </w:pPr>
            <w:r>
              <w:rPr/>
              <w:t> </w:t>
            </w:r>
          </w:p>
        </w:tc>
        <w:tc>
          <w:tcPr>
            <w:tcW w:w="7718"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rPr/>
            </w:pPr>
            <w:r>
              <w:rPr/>
              <w:t> </w:t>
            </w:r>
          </w:p>
        </w:tc>
      </w:tr>
      <w:tr>
        <w:trPr/>
        <w:tc>
          <w:tcPr>
            <w:tcW w:w="1161" w:type="dxa"/>
            <w:tcBorders/>
            <w:shd w:fill="FFFFFF" w:val="clear"/>
            <w:vAlign w:val="center"/>
          </w:tcPr>
          <w:p>
            <w:pPr>
              <w:pStyle w:val="TableContents"/>
              <w:spacing w:before="0" w:after="283"/>
              <w:rPr/>
            </w:pPr>
            <w:r>
              <w:rPr/>
              <w:t> </w:t>
            </w:r>
            <w:r>
              <w:rPr>
                <w:rFonts w:ascii="times new roman" w:hAnsi="times new roman"/>
                <w:b/>
                <w:sz w:val="20"/>
              </w:rPr>
              <w:t>Exhibits</w:t>
            </w:r>
          </w:p>
        </w:tc>
        <w:tc>
          <w:tcPr>
            <w:tcW w:w="7718" w:type="dxa"/>
            <w:tcBorders/>
            <w:shd w:fill="FFFFFF" w:val="clear"/>
            <w:vAlign w:val="center"/>
          </w:tcPr>
          <w:p>
            <w:pPr>
              <w:pStyle w:val="TableContents"/>
              <w:spacing w:before="0" w:after="283"/>
              <w:rPr/>
            </w:pPr>
            <w:r>
              <w:rPr/>
              <w:t> </w:t>
            </w:r>
          </w:p>
        </w:tc>
        <w:tc>
          <w:tcPr>
            <w:tcW w:w="1326" w:type="dxa"/>
            <w:tcBorders/>
            <w:shd w:fill="FFFFFF" w:val="clear"/>
            <w:vAlign w:val="center"/>
          </w:tcPr>
          <w:p>
            <w:pPr>
              <w:pStyle w:val="TableContents"/>
              <w:spacing w:before="0" w:after="283"/>
              <w:rPr/>
            </w:pPr>
            <w:r>
              <w:rPr/>
              <w:t xml:space="preserve">        </w:t>
            </w:r>
            <w:hyperlink w:anchor="26">
              <w:r>
                <w:rPr>
                  <w:rStyle w:val="InternetLink"/>
                  <w:rFonts w:ascii="times new roman" w:hAnsi="times new roman"/>
                  <w:sz w:val="20"/>
                </w:rPr>
                <w:t>26</w:t>
              </w:r>
            </w:hyperlink>
          </w:p>
        </w:tc>
      </w:tr>
    </w:tbl>
    <w:p>
      <w:pPr>
        <w:pStyle w:val="TextBody"/>
        <w:spacing w:before="0" w:after="0"/>
        <w:rPr/>
      </w:pPr>
      <w:r>
        <w:rPr/>
        <w:t> </w:t>
      </w:r>
    </w:p>
    <w:p>
      <w:pPr>
        <w:pStyle w:val="TextBody"/>
        <w:spacing w:before="0" w:after="0"/>
        <w:ind w:left="0" w:right="0" w:hanging="0"/>
        <w:rPr/>
      </w:pPr>
      <w:r>
        <w:rPr/>
        <w:b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rPr/>
      </w:pPr>
      <w:r>
        <w:rPr/>
      </w:r>
    </w:p>
    <w:p>
      <w:pPr>
        <w:pStyle w:val="TextBody"/>
        <w:spacing w:before="0" w:after="0"/>
        <w:ind w:left="739" w:right="0" w:hanging="0"/>
        <w:jc w:val="both"/>
        <w:rPr>
          <w:rFonts w:ascii="Times New Roman" w:hAnsi="Times New Roman"/>
          <w:sz w:val="20"/>
        </w:rPr>
      </w:pPr>
      <w:bookmarkStart w:id="2" w:name="TAB1"/>
      <w:bookmarkEnd w:id="2"/>
      <w:r>
        <w:rPr>
          <w:rFonts w:ascii="Times New Roman" w:hAnsi="Times New Roman"/>
          <w:sz w:val="20"/>
        </w:rPr>
        <w:t>Certain statements in this report, including, but not limited to, those under the heading “Management’s Discussion and Analysis of Financial Condition and Results of Operations” and those statements elsewhere in this report and other documents we file with the Securities and Exchange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pPr>
      <w:r>
        <w:rPr/>
      </w:r>
    </w:p>
    <w:p>
      <w:pPr>
        <w:pStyle w:val="TextBody"/>
        <w:spacing w:before="0" w:after="0"/>
        <w:ind w:left="739" w:right="0" w:hanging="0"/>
        <w:jc w:val="both"/>
        <w:rPr>
          <w:rFonts w:ascii="Times New Roman" w:hAnsi="Times New Roman"/>
          <w:sz w:val="20"/>
        </w:rPr>
      </w:pPr>
      <w:bookmarkStart w:id="3" w:name="TAB11"/>
      <w:bookmarkEnd w:id="3"/>
      <w:r>
        <w:rPr>
          <w:rFonts w:ascii="Times New Roman" w:hAnsi="Times New Roman"/>
          <w:sz w:val="20"/>
        </w:rPr>
        <w:t>Such statements are subject to certain risks, uncertainties and assumptions that could cause actual results to differ materially, including those described in Item 1A, Risk Factors, of our Annual Report on Form 10-K for the fiscal year ended July 31, 2010,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spacing w:before="0" w:after="0"/>
        <w:ind w:left="0" w:right="0" w:hanging="0"/>
        <w:jc w:val="both"/>
        <w:rPr/>
      </w:pPr>
      <w:r>
        <w:rPr/>
        <w:t> </w:t>
      </w:r>
      <w:r>
        <w:rPr/>
        <w:b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TRADEMARK NOTICE</w:t>
      </w:r>
    </w:p>
    <w:p>
      <w:pPr>
        <w:pStyle w:val="TextBody"/>
        <w:spacing w:before="0" w:after="0"/>
        <w:ind w:left="0" w:right="0" w:hanging="0"/>
        <w:rPr/>
      </w:pPr>
      <w:r>
        <w:rPr/>
      </w:r>
    </w:p>
    <w:p>
      <w:pPr>
        <w:pStyle w:val="TextBody"/>
        <w:spacing w:before="0" w:after="0"/>
        <w:ind w:left="739" w:right="0" w:hanging="0"/>
        <w:jc w:val="both"/>
        <w:rPr>
          <w:rFonts w:ascii="Times New Roman" w:hAnsi="Times New Roman"/>
          <w:sz w:val="20"/>
        </w:rPr>
      </w:pPr>
      <w:bookmarkStart w:id="4" w:name="TAB12"/>
      <w:bookmarkEnd w:id="4"/>
      <w:r>
        <w:rPr>
          <w:rFonts w:ascii="Times New Roman" w:hAnsi="Times New Roman"/>
          <w:sz w:val="20"/>
        </w:rPr>
        <w:t>Agsorb, Calibrin, Cat’s Pride, ConditionAde, Flo-Fre, Jonny Cat, KatKit, Oil-Dri, Pel-Unite, Perform, Poultry Guard, Pro Mound, Pure-Flo, Rapid Dry, Select and Ultra-Clear are all registered trademarks of Oil-Dri Corporation of America or of its subsidiaries.  Pro’s Choice, Saular and Verge are trademarks of Oil-Dri Corporation of America.  Fresh Step is a registered trademark of The Clorox Company.</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 w:name="PN"/>
      <w:bookmarkEnd w:id="1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 w:name="GLHD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xml:space="preserve">  </w:t>
      </w:r>
    </w:p>
    <w:p>
      <w:pPr>
        <w:pStyle w:val="TextBody"/>
        <w:spacing w:before="0" w:after="0"/>
        <w:ind w:left="0" w:right="0" w:hanging="0"/>
        <w:jc w:val="left"/>
        <w:rPr>
          <w:rFonts w:ascii="times new roman" w:hAnsi="times new roman"/>
          <w:b/>
          <w:sz w:val="20"/>
        </w:rPr>
      </w:pPr>
      <w:r>
        <w:rPr>
          <w:rFonts w:ascii="times new roman" w:hAnsi="times new roman"/>
          <w:b/>
          <w:sz w:val="20"/>
        </w:rPr>
        <w:t>PART I - FINANCIAL INFOR</w:t>
      </w:r>
      <w:bookmarkStart w:id="14" w:name="3"/>
      <w:bookmarkEnd w:id="14"/>
      <w:r>
        <w:rPr>
          <w:rFonts w:ascii="times new roman" w:hAnsi="times new roman"/>
          <w:b/>
          <w:sz w:val="20"/>
        </w:rPr>
        <w:t>MATION</w:t>
      </w:r>
    </w:p>
    <w:tbl>
      <w:tblPr>
        <w:tblW w:w="5000" w:type="pct"/>
        <w:jc w:val="left"/>
        <w:tblInd w:w="0" w:type="dxa"/>
        <w:tblCellMar>
          <w:top w:w="0" w:type="dxa"/>
          <w:left w:w="0" w:type="dxa"/>
          <w:bottom w:w="0" w:type="dxa"/>
          <w:right w:w="0" w:type="dxa"/>
        </w:tblCellMar>
      </w:tblPr>
      <w:tblGrid>
        <w:gridCol w:w="7419"/>
        <w:gridCol w:w="108"/>
        <w:gridCol w:w="126"/>
        <w:gridCol w:w="1041"/>
        <w:gridCol w:w="113"/>
        <w:gridCol w:w="108"/>
        <w:gridCol w:w="126"/>
        <w:gridCol w:w="1041"/>
        <w:gridCol w:w="123"/>
      </w:tblGrid>
      <w:tr>
        <w:trPr/>
        <w:tc>
          <w:tcPr>
            <w:tcW w:w="10082" w:type="dxa"/>
            <w:gridSpan w:val="8"/>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ITEM 1. Financial Statements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bookmarkStart w:id="15" w:name="range!a5%3Ad38"/>
            <w:bookmarkEnd w:id="15"/>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rPr/>
            </w:pPr>
            <w:r>
              <w:rPr/>
              <w:t> </w:t>
            </w:r>
          </w:p>
        </w:tc>
        <w:tc>
          <w:tcPr>
            <w:tcW w:w="11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October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July 31,</w:t>
            </w:r>
          </w:p>
          <w:p>
            <w:pPr>
              <w:pStyle w:val="TableContents"/>
              <w:spacing w:before="0" w:after="0"/>
              <w:ind w:left="0" w:right="0" w:hanging="0"/>
              <w:jc w:val="center"/>
              <w:rPr/>
            </w:pPr>
            <w:r>
              <w:rPr/>
              <w:t> </w:t>
            </w:r>
            <w:r>
              <w:rPr>
                <w:rFonts w:ascii="times new roman" w:hAnsi="times new roman"/>
                <w:b/>
                <w:sz w:val="20"/>
              </w:rPr>
              <w:t>2010</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555" w:type="dxa"/>
            <w:gridSpan w:val="6"/>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Current Assets</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16,099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shd w:fill="CCEEFF" w:val="clear"/>
            <w:vAlign w:val="bottom"/>
          </w:tcPr>
          <w:p>
            <w:pPr>
              <w:pStyle w:val="TableContents"/>
              <w:spacing w:before="0" w:after="283"/>
              <w:ind w:left="240" w:right="0" w:hanging="0"/>
              <w:jc w:val="right"/>
              <w:rPr>
                <w:rFonts w:ascii="times new roman" w:hAnsi="times new roman"/>
                <w:sz w:val="20"/>
              </w:rPr>
            </w:pPr>
            <w:bookmarkStart w:id="16" w:name="TAB13"/>
            <w:bookmarkStart w:id="17" w:name="TAB14"/>
            <w:bookmarkEnd w:id="16"/>
            <w:bookmarkEnd w:id="17"/>
            <w:r>
              <w:rPr>
                <w:rFonts w:ascii="times new roman" w:hAnsi="times new roman"/>
                <w:sz w:val="20"/>
              </w:rPr>
              <w:t>18,762</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short-term securities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3,854</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18" w:name="TAB15"/>
            <w:bookmarkEnd w:id="18"/>
            <w:r>
              <w:rPr>
                <w:rFonts w:ascii="times new roman" w:hAnsi="times new roman"/>
                <w:sz w:val="20"/>
              </w:rPr>
              <w:t>5,859</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receivable, less allowance of $609 and</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$572 at October 31, 2010 and July 31, 2010, respectively</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28,037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19" w:name="TAB16"/>
            <w:bookmarkEnd w:id="19"/>
            <w:r>
              <w:rPr>
                <w:rFonts w:ascii="times new roman" w:hAnsi="times new roman"/>
                <w:sz w:val="20"/>
              </w:rPr>
              <w:t>27,178</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Inventories</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17,296</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0" w:name="TAB17"/>
            <w:bookmarkEnd w:id="20"/>
            <w:r>
              <w:rPr>
                <w:rFonts w:ascii="times new roman" w:hAnsi="times new roman"/>
                <w:sz w:val="20"/>
              </w:rPr>
              <w:t>16,023</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income taxes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2,867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21" w:name="TAB18"/>
            <w:bookmarkEnd w:id="21"/>
            <w:r>
              <w:rPr>
                <w:rFonts w:ascii="times new roman" w:hAnsi="times new roman"/>
                <w:sz w:val="20"/>
              </w:rPr>
              <w:t>2,867</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repairs expense</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3,781</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2" w:name="TAB19"/>
            <w:bookmarkEnd w:id="22"/>
            <w:r>
              <w:rPr>
                <w:rFonts w:ascii="times new roman" w:hAnsi="times new roman"/>
                <w:sz w:val="20"/>
              </w:rPr>
              <w:t>3,993</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2,113</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ind w:left="1114" w:right="0" w:hanging="0"/>
              <w:jc w:val="right"/>
              <w:rPr>
                <w:rFonts w:ascii="times new roman" w:hAnsi="times new roman"/>
                <w:sz w:val="20"/>
              </w:rPr>
            </w:pPr>
            <w:bookmarkStart w:id="23" w:name="TAB110"/>
            <w:bookmarkEnd w:id="23"/>
            <w:r>
              <w:rPr>
                <w:rFonts w:ascii="times new roman" w:hAnsi="times new roman"/>
                <w:sz w:val="20"/>
              </w:rPr>
              <w:t>1,507</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Current Assets</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74,047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ind w:left="1114" w:right="0" w:hanging="0"/>
              <w:jc w:val="right"/>
              <w:rPr>
                <w:rFonts w:ascii="times new roman" w:hAnsi="times new roman"/>
                <w:sz w:val="20"/>
              </w:rPr>
            </w:pPr>
            <w:bookmarkStart w:id="24" w:name="TAB111"/>
            <w:bookmarkEnd w:id="24"/>
            <w:r>
              <w:rPr>
                <w:rFonts w:ascii="times new roman" w:hAnsi="times new roman"/>
                <w:sz w:val="20"/>
              </w:rPr>
              <w:t>76,189</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Property, Plant and Equipment</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178,886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177,617</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 and amortization</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(116,795</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(115,115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1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Property, Plant and Equipment, Net</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62,091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62,502</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Other Assets</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Goodwill</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5,162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5" w:name="TAB112"/>
            <w:bookmarkEnd w:id="25"/>
            <w:r>
              <w:rPr>
                <w:rFonts w:ascii="times new roman" w:hAnsi="times new roman"/>
                <w:sz w:val="20"/>
              </w:rPr>
              <w:t>5,162</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Trademarks and patents, net of accumulated amortization</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of $364 and $357 at October 31, 2010 and July 31, 2010,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609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6" w:name="TAB113"/>
            <w:bookmarkEnd w:id="26"/>
            <w:r>
              <w:rPr>
                <w:rFonts w:ascii="times new roman" w:hAnsi="times new roman"/>
                <w:sz w:val="20"/>
              </w:rPr>
              <w:t>617</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issuance costs, net of accumulated amortization</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of $353 and $524 at October 31, 2010 and July 31, 2010,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241</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7" w:name="TAB114"/>
            <w:bookmarkEnd w:id="27"/>
            <w:r>
              <w:rPr>
                <w:rFonts w:ascii="times new roman" w:hAnsi="times new roman"/>
                <w:sz w:val="20"/>
              </w:rPr>
              <w:t>255</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Licensing agreements and non-compete agreements, net of</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accumulated amortization of $1,173 and $3,611 at</w:t>
            </w:r>
          </w:p>
          <w:p>
            <w:pPr>
              <w:pStyle w:val="TableContents"/>
              <w:spacing w:before="0" w:after="0"/>
              <w:ind w:left="180" w:right="0" w:hanging="180"/>
              <w:jc w:val="left"/>
              <w:rPr/>
            </w:pPr>
            <w:r>
              <w:rPr/>
              <w:t> </w:t>
            </w:r>
            <w:r>
              <w:rPr>
                <w:rFonts w:ascii="times new roman" w:hAnsi="times new roman"/>
                <w:sz w:val="20"/>
              </w:rPr>
              <w:t>October 31, 2010 and July 31, 2010,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1,067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8" w:name="TAB115"/>
            <w:bookmarkEnd w:id="28"/>
            <w:r>
              <w:rPr>
                <w:rFonts w:ascii="times new roman" w:hAnsi="times new roman"/>
                <w:sz w:val="20"/>
              </w:rPr>
              <w:t>1,127</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income taxes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3,948</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29" w:name="TAB116"/>
            <w:bookmarkEnd w:id="29"/>
            <w:r>
              <w:rPr>
                <w:rFonts w:ascii="times new roman" w:hAnsi="times new roman"/>
                <w:sz w:val="20"/>
              </w:rPr>
              <w:t>3,981</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4,178</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ind w:left="1114" w:right="0" w:hanging="0"/>
              <w:jc w:val="right"/>
              <w:rPr>
                <w:rFonts w:ascii="times new roman" w:hAnsi="times new roman"/>
                <w:sz w:val="20"/>
              </w:rPr>
            </w:pPr>
            <w:bookmarkStart w:id="30" w:name="TAB117"/>
            <w:bookmarkEnd w:id="30"/>
            <w:r>
              <w:rPr>
                <w:rFonts w:ascii="times new roman" w:hAnsi="times new roman"/>
                <w:sz w:val="20"/>
              </w:rPr>
              <w:t>4,149</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Other Assets</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15,205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ind w:left="1114" w:right="0" w:hanging="0"/>
              <w:jc w:val="right"/>
              <w:rPr>
                <w:rFonts w:ascii="times new roman" w:hAnsi="times new roman"/>
                <w:sz w:val="20"/>
              </w:rPr>
            </w:pPr>
            <w:bookmarkStart w:id="31" w:name="TAB118"/>
            <w:bookmarkEnd w:id="31"/>
            <w:r>
              <w:rPr>
                <w:rFonts w:ascii="times new roman" w:hAnsi="times new roman"/>
                <w:sz w:val="20"/>
              </w:rPr>
              <w:t>15,291</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108"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151,343</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153,982</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1"/>
      <w:bookmarkStart w:id="33" w:name="PGBRK1"/>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1"/>
      <w:bookmarkStart w:id="35" w:name="FTR1"/>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 w:name="GLFTR1"/>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 w:name="PN1"/>
      <w:bookmarkEnd w:id="37"/>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1"/>
      <w:bookmarkStart w:id="39" w:name="HD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 w:name="GLHDR1"/>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br/>
        <w:t> </w:t>
      </w:r>
    </w:p>
    <w:tbl>
      <w:tblPr>
        <w:tblW w:w="5000" w:type="pct"/>
        <w:jc w:val="left"/>
        <w:tblInd w:w="0" w:type="dxa"/>
        <w:tblCellMar>
          <w:top w:w="0" w:type="dxa"/>
          <w:left w:w="0" w:type="dxa"/>
          <w:bottom w:w="0" w:type="dxa"/>
          <w:right w:w="0" w:type="dxa"/>
        </w:tblCellMar>
      </w:tblPr>
      <w:tblGrid>
        <w:gridCol w:w="7459"/>
        <w:gridCol w:w="107"/>
        <w:gridCol w:w="127"/>
        <w:gridCol w:w="1021"/>
        <w:gridCol w:w="113"/>
        <w:gridCol w:w="107"/>
        <w:gridCol w:w="127"/>
        <w:gridCol w:w="1021"/>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&amp; STOCKHOLDERS’ EQUITY</w:t>
            </w:r>
          </w:p>
        </w:tc>
        <w:tc>
          <w:tcPr>
            <w:tcW w:w="107" w:type="dxa"/>
            <w:tcBorders/>
            <w:shd w:fill="auto" w:val="clear"/>
            <w:vAlign w:val="bottom"/>
          </w:tcPr>
          <w:p>
            <w:pPr>
              <w:pStyle w:val="TableContents"/>
              <w:spacing w:before="0" w:after="283"/>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October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July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516" w:type="dxa"/>
            <w:gridSpan w:val="6"/>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Current Liabilities</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maturities of notes payable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1" w:type="dxa"/>
            <w:tcBorders/>
            <w:shd w:fill="CCEEFF" w:val="clear"/>
            <w:vAlign w:val="bottom"/>
          </w:tcPr>
          <w:p>
            <w:pPr>
              <w:pStyle w:val="TableContents"/>
              <w:spacing w:before="0" w:after="283"/>
              <w:ind w:left="238" w:right="0" w:hanging="0"/>
              <w:jc w:val="right"/>
              <w:rPr>
                <w:rFonts w:ascii="times new roman" w:hAnsi="times new roman"/>
                <w:b/>
                <w:sz w:val="20"/>
              </w:rPr>
            </w:pPr>
            <w:bookmarkStart w:id="41" w:name="TAB119"/>
            <w:bookmarkEnd w:id="41"/>
            <w:r>
              <w:rPr>
                <w:rFonts w:ascii="times new roman" w:hAnsi="times new roman"/>
                <w:b/>
                <w:sz w:val="20"/>
              </w:rPr>
              <w:t>4,100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ind w:left="238" w:right="0" w:hanging="0"/>
              <w:jc w:val="right"/>
              <w:rPr>
                <w:rFonts w:ascii="times new roman" w:hAnsi="times new roman"/>
                <w:sz w:val="20"/>
              </w:rPr>
            </w:pPr>
            <w:bookmarkStart w:id="42" w:name="TAB120"/>
            <w:bookmarkEnd w:id="42"/>
            <w:r>
              <w:rPr>
                <w:rFonts w:ascii="times new roman" w:hAnsi="times new roman"/>
                <w:sz w:val="20"/>
              </w:rPr>
              <w:t>3,500</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17" w:right="0" w:hanging="0"/>
              <w:jc w:val="right"/>
              <w:rPr>
                <w:rFonts w:ascii="times new roman" w:hAnsi="times new roman"/>
                <w:b/>
                <w:sz w:val="20"/>
              </w:rPr>
            </w:pPr>
            <w:bookmarkStart w:id="43" w:name="TAB121"/>
            <w:bookmarkEnd w:id="43"/>
            <w:r>
              <w:rPr>
                <w:rFonts w:ascii="times new roman" w:hAnsi="times new roman"/>
                <w:b/>
                <w:sz w:val="20"/>
              </w:rPr>
              <w:t>6,424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84" w:right="0" w:hanging="0"/>
              <w:jc w:val="right"/>
              <w:rPr>
                <w:rFonts w:ascii="times new roman" w:hAnsi="times new roman"/>
                <w:sz w:val="20"/>
              </w:rPr>
            </w:pPr>
            <w:bookmarkStart w:id="44" w:name="TAB122"/>
            <w:bookmarkEnd w:id="44"/>
            <w:r>
              <w:rPr>
                <w:rFonts w:ascii="times new roman" w:hAnsi="times new roman"/>
                <w:sz w:val="20"/>
              </w:rPr>
              <w:t>6,482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Dividends payable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45" w:name="TAB123"/>
            <w:bookmarkEnd w:id="45"/>
            <w:r>
              <w:rPr>
                <w:rFonts w:ascii="times new roman" w:hAnsi="times new roman"/>
                <w:b/>
                <w:sz w:val="20"/>
              </w:rPr>
              <w:t>1,061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46" w:name="TAB124"/>
            <w:bookmarkEnd w:id="46"/>
            <w:r>
              <w:rPr>
                <w:rFonts w:ascii="times new roman" w:hAnsi="times new roman"/>
                <w:sz w:val="20"/>
              </w:rPr>
              <w:t>1,043</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Salaries, wages and commissions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47" w:name="TAB125"/>
            <w:bookmarkEnd w:id="47"/>
            <w:r>
              <w:rPr>
                <w:rFonts w:ascii="times new roman" w:hAnsi="times new roman"/>
                <w:b/>
                <w:sz w:val="20"/>
              </w:rPr>
              <w:t>4,029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48" w:name="TAB126"/>
            <w:bookmarkEnd w:id="48"/>
            <w:r>
              <w:rPr>
                <w:rFonts w:ascii="times new roman" w:hAnsi="times new roman"/>
                <w:sz w:val="20"/>
              </w:rPr>
              <w:t>7,064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Trade promotions and advertising</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17" w:right="0" w:hanging="0"/>
              <w:jc w:val="right"/>
              <w:rPr>
                <w:rFonts w:ascii="times new roman" w:hAnsi="times new roman"/>
                <w:b/>
                <w:sz w:val="20"/>
              </w:rPr>
            </w:pPr>
            <w:bookmarkStart w:id="49" w:name="TAB127"/>
            <w:bookmarkEnd w:id="49"/>
            <w:r>
              <w:rPr>
                <w:rFonts w:ascii="times new roman" w:hAnsi="times new roman"/>
                <w:b/>
                <w:sz w:val="20"/>
              </w:rPr>
              <w:t>2,453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84" w:right="0" w:hanging="0"/>
              <w:jc w:val="right"/>
              <w:rPr>
                <w:rFonts w:ascii="times new roman" w:hAnsi="times new roman"/>
                <w:sz w:val="20"/>
              </w:rPr>
            </w:pPr>
            <w:bookmarkStart w:id="50" w:name="TAB128"/>
            <w:bookmarkEnd w:id="50"/>
            <w:r>
              <w:rPr>
                <w:rFonts w:ascii="times new roman" w:hAnsi="times new roman"/>
                <w:sz w:val="20"/>
              </w:rPr>
              <w:t>2,313</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Freight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51" w:name="TAB129"/>
            <w:bookmarkEnd w:id="51"/>
            <w:r>
              <w:rPr>
                <w:rFonts w:ascii="times new roman" w:hAnsi="times new roman"/>
                <w:b/>
                <w:sz w:val="20"/>
              </w:rPr>
              <w:t>1,517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52" w:name="TAB130"/>
            <w:bookmarkEnd w:id="52"/>
            <w:r>
              <w:rPr>
                <w:rFonts w:ascii="times new roman" w:hAnsi="times new roman"/>
                <w:sz w:val="20"/>
              </w:rPr>
              <w:t>1,504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517" w:right="0" w:hanging="0"/>
              <w:jc w:val="right"/>
              <w:rPr>
                <w:rFonts w:ascii="times new roman" w:hAnsi="times new roman"/>
                <w:b/>
                <w:sz w:val="20"/>
              </w:rPr>
            </w:pPr>
            <w:bookmarkStart w:id="53" w:name="TAB131"/>
            <w:bookmarkEnd w:id="53"/>
            <w:r>
              <w:rPr>
                <w:rFonts w:ascii="times new roman" w:hAnsi="times new roman"/>
                <w:b/>
                <w:sz w:val="20"/>
              </w:rPr>
              <w:t>5,937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584" w:right="0" w:hanging="0"/>
              <w:jc w:val="right"/>
              <w:rPr>
                <w:rFonts w:ascii="times new roman" w:hAnsi="times new roman"/>
                <w:sz w:val="20"/>
              </w:rPr>
            </w:pPr>
            <w:bookmarkStart w:id="54" w:name="TAB132"/>
            <w:bookmarkEnd w:id="54"/>
            <w:r>
              <w:rPr>
                <w:rFonts w:ascii="times new roman" w:hAnsi="times new roman"/>
                <w:sz w:val="20"/>
              </w:rPr>
              <w:t>5,885</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Current Liabilities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384" w:right="0" w:hanging="0"/>
              <w:jc w:val="right"/>
              <w:rPr>
                <w:rFonts w:ascii="times new roman" w:hAnsi="times new roman"/>
                <w:b/>
                <w:sz w:val="20"/>
              </w:rPr>
            </w:pPr>
            <w:bookmarkStart w:id="55" w:name="TAB133"/>
            <w:bookmarkEnd w:id="55"/>
            <w:r>
              <w:rPr>
                <w:rFonts w:ascii="times new roman" w:hAnsi="times new roman"/>
                <w:b/>
                <w:sz w:val="20"/>
              </w:rPr>
              <w:t>25,521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450" w:right="0" w:hanging="0"/>
              <w:jc w:val="right"/>
              <w:rPr>
                <w:rFonts w:ascii="times new roman" w:hAnsi="times new roman"/>
                <w:sz w:val="20"/>
              </w:rPr>
            </w:pPr>
            <w:bookmarkStart w:id="56" w:name="TAB134"/>
            <w:bookmarkEnd w:id="56"/>
            <w:r>
              <w:rPr>
                <w:rFonts w:ascii="times new roman" w:hAnsi="times new roman"/>
                <w:sz w:val="20"/>
              </w:rPr>
              <w:t>27,791</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Noncurrent Liabilities</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84" w:right="0" w:hanging="0"/>
              <w:jc w:val="right"/>
              <w:rPr>
                <w:rFonts w:ascii="times new roman" w:hAnsi="times new roman"/>
                <w:b/>
                <w:sz w:val="20"/>
              </w:rPr>
            </w:pPr>
            <w:bookmarkStart w:id="57" w:name="TAB135"/>
            <w:bookmarkEnd w:id="57"/>
            <w:r>
              <w:rPr>
                <w:rFonts w:ascii="times new roman" w:hAnsi="times new roman"/>
                <w:b/>
                <w:sz w:val="20"/>
              </w:rPr>
              <w:t>12,700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50" w:right="0" w:hanging="0"/>
              <w:jc w:val="right"/>
              <w:rPr>
                <w:rFonts w:ascii="times new roman" w:hAnsi="times new roman"/>
                <w:sz w:val="20"/>
              </w:rPr>
            </w:pPr>
            <w:bookmarkStart w:id="58" w:name="TAB136"/>
            <w:bookmarkEnd w:id="58"/>
            <w:r>
              <w:rPr>
                <w:rFonts w:ascii="times new roman" w:hAnsi="times new roman"/>
                <w:sz w:val="20"/>
              </w:rPr>
              <w:t>14,800</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compensation</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59" w:name="TAB137"/>
            <w:bookmarkEnd w:id="59"/>
            <w:r>
              <w:rPr>
                <w:rFonts w:ascii="times new roman" w:hAnsi="times new roman"/>
                <w:b/>
                <w:sz w:val="20"/>
              </w:rPr>
              <w:t>6,639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60" w:name="TAB138"/>
            <w:bookmarkEnd w:id="60"/>
            <w:r>
              <w:rPr>
                <w:rFonts w:ascii="times new roman" w:hAnsi="times new roman"/>
                <w:sz w:val="20"/>
              </w:rPr>
              <w:t>6,818</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Pension and postretirement benefits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12,947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50" w:right="0" w:hanging="0"/>
              <w:jc w:val="right"/>
              <w:rPr>
                <w:rFonts w:ascii="times new roman" w:hAnsi="times new roman"/>
                <w:sz w:val="20"/>
              </w:rPr>
            </w:pPr>
            <w:bookmarkStart w:id="61" w:name="TAB139"/>
            <w:bookmarkEnd w:id="61"/>
            <w:r>
              <w:rPr>
                <w:rFonts w:ascii="times new roman" w:hAnsi="times new roman"/>
                <w:sz w:val="20"/>
              </w:rPr>
              <w:t>12,558</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517" w:right="0" w:hanging="0"/>
              <w:jc w:val="right"/>
              <w:rPr>
                <w:rFonts w:ascii="times new roman" w:hAnsi="times new roman"/>
                <w:b/>
                <w:sz w:val="20"/>
              </w:rPr>
            </w:pPr>
            <w:bookmarkStart w:id="62" w:name="TAB140"/>
            <w:bookmarkEnd w:id="62"/>
            <w:r>
              <w:rPr>
                <w:rFonts w:ascii="times new roman" w:hAnsi="times new roman"/>
                <w:b/>
                <w:sz w:val="20"/>
              </w:rPr>
              <w:t>1,385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584" w:right="0" w:hanging="0"/>
              <w:jc w:val="right"/>
              <w:rPr>
                <w:rFonts w:ascii="times new roman" w:hAnsi="times new roman"/>
                <w:sz w:val="20"/>
              </w:rPr>
            </w:pPr>
            <w:bookmarkStart w:id="63" w:name="TAB141"/>
            <w:bookmarkEnd w:id="63"/>
            <w:r>
              <w:rPr>
                <w:rFonts w:ascii="times new roman" w:hAnsi="times new roman"/>
                <w:sz w:val="20"/>
              </w:rPr>
              <w:t>1,426</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Noncurrent Liabilities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84" w:right="0" w:hanging="0"/>
              <w:jc w:val="right"/>
              <w:rPr>
                <w:rFonts w:ascii="times new roman" w:hAnsi="times new roman"/>
                <w:b/>
                <w:sz w:val="20"/>
              </w:rPr>
            </w:pPr>
            <w:bookmarkStart w:id="64" w:name="TAB142"/>
            <w:bookmarkEnd w:id="64"/>
            <w:r>
              <w:rPr>
                <w:rFonts w:ascii="times new roman" w:hAnsi="times new roman"/>
                <w:b/>
                <w:sz w:val="20"/>
              </w:rPr>
              <w:t>33,671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50" w:right="0" w:hanging="0"/>
              <w:jc w:val="right"/>
              <w:rPr>
                <w:rFonts w:ascii="times new roman" w:hAnsi="times new roman"/>
                <w:sz w:val="20"/>
              </w:rPr>
            </w:pPr>
            <w:bookmarkStart w:id="65" w:name="TAB143"/>
            <w:bookmarkEnd w:id="65"/>
            <w:r>
              <w:rPr>
                <w:rFonts w:ascii="times new roman" w:hAnsi="times new roman"/>
                <w:sz w:val="20"/>
              </w:rPr>
              <w:t>35,602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Liabilities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84" w:right="0" w:hanging="0"/>
              <w:jc w:val="right"/>
              <w:rPr>
                <w:rFonts w:ascii="times new roman" w:hAnsi="times new roman"/>
                <w:b/>
                <w:sz w:val="20"/>
              </w:rPr>
            </w:pPr>
            <w:bookmarkStart w:id="66" w:name="TAB144"/>
            <w:bookmarkEnd w:id="66"/>
            <w:r>
              <w:rPr>
                <w:rFonts w:ascii="times new roman" w:hAnsi="times new roman"/>
                <w:b/>
                <w:sz w:val="20"/>
              </w:rPr>
              <w:t>59,192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34" w:right="0" w:hanging="0"/>
              <w:jc w:val="right"/>
              <w:rPr>
                <w:rFonts w:ascii="times new roman" w:hAnsi="times new roman"/>
                <w:sz w:val="20"/>
              </w:rPr>
            </w:pPr>
            <w:bookmarkStart w:id="67" w:name="TAB145"/>
            <w:bookmarkEnd w:id="67"/>
            <w:r>
              <w:rPr>
                <w:rFonts w:ascii="times new roman" w:hAnsi="times new roman"/>
                <w:sz w:val="20"/>
              </w:rPr>
              <w:t>63,393</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Stockholders’ Equity</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par value $.10 per share, issued</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7,662,221 shares at October 31, 2010 and 7,639,922</w:t>
            </w:r>
          </w:p>
          <w:p>
            <w:pPr>
              <w:pStyle w:val="TableContents"/>
              <w:spacing w:before="0" w:after="0"/>
              <w:ind w:left="0" w:right="0" w:hanging="0"/>
              <w:jc w:val="left"/>
              <w:rPr/>
            </w:pPr>
            <w:r>
              <w:rPr/>
              <w:t>  </w:t>
            </w:r>
            <w:r>
              <w:rPr>
                <w:rFonts w:ascii="times new roman" w:hAnsi="times new roman"/>
                <w:sz w:val="20"/>
              </w:rPr>
              <w:t>shares at July 31, 2010</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84" w:right="0" w:hanging="0"/>
              <w:jc w:val="right"/>
              <w:rPr>
                <w:rFonts w:ascii="times new roman" w:hAnsi="times new roman"/>
                <w:b/>
                <w:sz w:val="20"/>
              </w:rPr>
            </w:pPr>
            <w:bookmarkStart w:id="68" w:name="TAB146"/>
            <w:bookmarkEnd w:id="68"/>
            <w:r>
              <w:rPr>
                <w:rFonts w:ascii="times new roman" w:hAnsi="times new roman"/>
                <w:b/>
                <w:sz w:val="20"/>
              </w:rPr>
              <w:t>767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34" w:right="0" w:hanging="0"/>
              <w:jc w:val="right"/>
              <w:rPr>
                <w:rFonts w:ascii="times new roman" w:hAnsi="times new roman"/>
                <w:sz w:val="20"/>
              </w:rPr>
            </w:pPr>
            <w:bookmarkStart w:id="69" w:name="TAB147"/>
            <w:bookmarkEnd w:id="69"/>
            <w:r>
              <w:rPr>
                <w:rFonts w:ascii="times new roman" w:hAnsi="times new roman"/>
                <w:sz w:val="20"/>
              </w:rPr>
              <w:t>764</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B Stock, par value $.10 per share, issued</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2,374,150 shares at October 31, 2010 and 2,244,217</w:t>
            </w:r>
          </w:p>
          <w:p>
            <w:pPr>
              <w:pStyle w:val="TableContents"/>
              <w:spacing w:before="0" w:after="0"/>
              <w:ind w:left="0" w:right="0" w:hanging="0"/>
              <w:jc w:val="left"/>
              <w:rPr/>
            </w:pPr>
            <w:r>
              <w:rPr/>
              <w:t>  </w:t>
            </w:r>
            <w:r>
              <w:rPr>
                <w:rFonts w:ascii="times new roman" w:hAnsi="times new roman"/>
                <w:sz w:val="20"/>
              </w:rPr>
              <w:t>shares at July 31, 2010</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84" w:right="0" w:hanging="0"/>
              <w:jc w:val="right"/>
              <w:rPr>
                <w:rFonts w:ascii="times new roman" w:hAnsi="times new roman"/>
                <w:b/>
                <w:sz w:val="20"/>
              </w:rPr>
            </w:pPr>
            <w:bookmarkStart w:id="70" w:name="TAB148"/>
            <w:bookmarkEnd w:id="70"/>
            <w:r>
              <w:rPr>
                <w:rFonts w:ascii="times new roman" w:hAnsi="times new roman"/>
                <w:b/>
                <w:sz w:val="20"/>
              </w:rPr>
              <w:t>237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34" w:right="0" w:hanging="0"/>
              <w:jc w:val="right"/>
              <w:rPr>
                <w:rFonts w:ascii="times new roman" w:hAnsi="times new roman"/>
                <w:sz w:val="20"/>
              </w:rPr>
            </w:pPr>
            <w:bookmarkStart w:id="71" w:name="TAB149"/>
            <w:bookmarkEnd w:id="71"/>
            <w:r>
              <w:rPr>
                <w:rFonts w:ascii="times new roman" w:hAnsi="times new roman"/>
                <w:sz w:val="20"/>
              </w:rPr>
              <w:t>224</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50" w:right="0" w:hanging="0"/>
              <w:jc w:val="right"/>
              <w:rPr>
                <w:rFonts w:ascii="times new roman" w:hAnsi="times new roman"/>
                <w:b/>
                <w:sz w:val="20"/>
              </w:rPr>
            </w:pPr>
            <w:bookmarkStart w:id="72" w:name="TAB150"/>
            <w:bookmarkEnd w:id="72"/>
            <w:r>
              <w:rPr>
                <w:rFonts w:ascii="times new roman" w:hAnsi="times new roman"/>
                <w:b/>
                <w:sz w:val="20"/>
              </w:rPr>
              <w:t>28,238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50" w:right="0" w:hanging="0"/>
              <w:jc w:val="right"/>
              <w:rPr>
                <w:rFonts w:ascii="times new roman" w:hAnsi="times new roman"/>
                <w:sz w:val="20"/>
              </w:rPr>
            </w:pPr>
            <w:bookmarkStart w:id="73" w:name="TAB151"/>
            <w:bookmarkEnd w:id="73"/>
            <w:r>
              <w:rPr>
                <w:rFonts w:ascii="times new roman" w:hAnsi="times new roman"/>
                <w:sz w:val="20"/>
              </w:rPr>
              <w:t>25,104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Restricted unearned stock compensation</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06" w:right="0" w:hanging="0"/>
              <w:jc w:val="right"/>
              <w:rPr>
                <w:rFonts w:ascii="times new roman" w:hAnsi="times new roman"/>
                <w:b/>
                <w:sz w:val="20"/>
              </w:rPr>
            </w:pPr>
            <w:bookmarkStart w:id="74" w:name="TAB152"/>
            <w:bookmarkEnd w:id="74"/>
            <w:r>
              <w:rPr>
                <w:rFonts w:ascii="times new roman" w:hAnsi="times new roman"/>
                <w:b/>
                <w:sz w:val="20"/>
              </w:rPr>
              <w:t>(2,911</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606" w:right="0" w:hanging="0"/>
              <w:jc w:val="right"/>
              <w:rPr>
                <w:rFonts w:ascii="times new roman" w:hAnsi="times new roman"/>
                <w:sz w:val="20"/>
              </w:rPr>
            </w:pPr>
            <w:bookmarkStart w:id="75" w:name="TAB153"/>
            <w:bookmarkEnd w:id="75"/>
            <w:r>
              <w:rPr>
                <w:rFonts w:ascii="times new roman" w:hAnsi="times new roman"/>
                <w:sz w:val="20"/>
              </w:rPr>
              <w:t>(156</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Retained earnings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250" w:right="0" w:hanging="0"/>
              <w:jc w:val="right"/>
              <w:rPr>
                <w:rFonts w:ascii="times new roman" w:hAnsi="times new roman"/>
                <w:b/>
                <w:sz w:val="20"/>
              </w:rPr>
            </w:pPr>
            <w:bookmarkStart w:id="76" w:name="TAB154"/>
            <w:bookmarkEnd w:id="76"/>
            <w:r>
              <w:rPr>
                <w:rFonts w:ascii="times new roman" w:hAnsi="times new roman"/>
                <w:b/>
                <w:sz w:val="20"/>
              </w:rPr>
              <w:t>118,198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317" w:right="0" w:hanging="0"/>
              <w:jc w:val="right"/>
              <w:rPr>
                <w:rFonts w:ascii="times new roman" w:hAnsi="times new roman"/>
                <w:sz w:val="20"/>
              </w:rPr>
            </w:pPr>
            <w:bookmarkStart w:id="77" w:name="TAB155"/>
            <w:bookmarkEnd w:id="77"/>
            <w:r>
              <w:rPr>
                <w:rFonts w:ascii="times new roman" w:hAnsi="times new roman"/>
                <w:sz w:val="20"/>
              </w:rPr>
              <w:t>116,917</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Income</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Unrealized gain on marketable securities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63</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917" w:right="0" w:hanging="0"/>
              <w:jc w:val="right"/>
              <w:rPr>
                <w:rFonts w:ascii="times new roman" w:hAnsi="times new roman"/>
                <w:sz w:val="20"/>
              </w:rPr>
            </w:pPr>
            <w:bookmarkStart w:id="78" w:name="TAB156"/>
            <w:bookmarkEnd w:id="78"/>
            <w:r>
              <w:rPr>
                <w:rFonts w:ascii="times new roman" w:hAnsi="times new roman"/>
                <w:sz w:val="20"/>
              </w:rPr>
              <w:t>67</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Pension and postretirement benefits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(5,252</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06" w:right="0" w:hanging="0"/>
              <w:jc w:val="right"/>
              <w:rPr>
                <w:rFonts w:ascii="times new roman" w:hAnsi="times new roman"/>
                <w:sz w:val="20"/>
              </w:rPr>
            </w:pPr>
            <w:bookmarkStart w:id="79" w:name="TAB157"/>
            <w:bookmarkEnd w:id="79"/>
            <w:r>
              <w:rPr>
                <w:rFonts w:ascii="times new roman" w:hAnsi="times new roman"/>
                <w:sz w:val="20"/>
              </w:rPr>
              <w:t>(5,310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Cumulative translation adjustment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238" w:right="0" w:hanging="0"/>
              <w:jc w:val="right"/>
              <w:rPr>
                <w:rFonts w:ascii="times new roman" w:hAnsi="times new roman"/>
                <w:b/>
                <w:sz w:val="20"/>
              </w:rPr>
            </w:pPr>
            <w:bookmarkStart w:id="80" w:name="TAB158"/>
            <w:bookmarkEnd w:id="80"/>
            <w:r>
              <w:rPr>
                <w:rFonts w:ascii="times new roman" w:hAnsi="times new roman"/>
                <w:b/>
                <w:sz w:val="20"/>
              </w:rPr>
              <w:t>517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784" w:right="0" w:hanging="0"/>
              <w:jc w:val="right"/>
              <w:rPr>
                <w:rFonts w:ascii="times new roman" w:hAnsi="times new roman"/>
                <w:sz w:val="20"/>
              </w:rPr>
            </w:pPr>
            <w:bookmarkStart w:id="81" w:name="TAB159"/>
            <w:bookmarkEnd w:id="81"/>
            <w:r>
              <w:rPr>
                <w:rFonts w:ascii="times new roman" w:hAnsi="times new roman"/>
                <w:sz w:val="20"/>
              </w:rPr>
              <w:t>492</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17" w:right="0" w:hanging="0"/>
              <w:jc w:val="right"/>
              <w:rPr>
                <w:rFonts w:ascii="times new roman" w:hAnsi="times new roman"/>
                <w:b/>
                <w:sz w:val="20"/>
              </w:rPr>
            </w:pPr>
            <w:bookmarkStart w:id="82" w:name="TAB160"/>
            <w:bookmarkEnd w:id="82"/>
            <w:r>
              <w:rPr>
                <w:rFonts w:ascii="times new roman" w:hAnsi="times new roman"/>
                <w:b/>
                <w:sz w:val="20"/>
              </w:rPr>
              <w:t>139,857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17" w:right="0" w:hanging="0"/>
              <w:jc w:val="right"/>
              <w:rPr>
                <w:rFonts w:ascii="times new roman" w:hAnsi="times new roman"/>
                <w:sz w:val="20"/>
              </w:rPr>
            </w:pPr>
            <w:bookmarkStart w:id="83" w:name="TAB161"/>
            <w:bookmarkEnd w:id="83"/>
            <w:r>
              <w:rPr>
                <w:rFonts w:ascii="times new roman" w:hAnsi="times new roman"/>
                <w:sz w:val="20"/>
              </w:rPr>
              <w:t>138,102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Treasury Stock, at cost (2,563,821 Common and 324,741</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Class B shares at October 31, 2010 and 2,558,764 Common and</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324,741 Class B shares at July 31, 2010)</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273" w:right="0" w:hanging="0"/>
              <w:jc w:val="right"/>
              <w:rPr>
                <w:rFonts w:ascii="times new roman" w:hAnsi="times new roman"/>
                <w:b/>
                <w:sz w:val="20"/>
              </w:rPr>
            </w:pPr>
            <w:bookmarkStart w:id="84" w:name="TAB162"/>
            <w:bookmarkEnd w:id="84"/>
            <w:r>
              <w:rPr>
                <w:rFonts w:ascii="times new roman" w:hAnsi="times new roman"/>
                <w:b/>
                <w:sz w:val="20"/>
              </w:rPr>
              <w:t>(47,706</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(47,513</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Stockholders’ Equity</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50" w:right="0" w:hanging="0"/>
              <w:jc w:val="right"/>
              <w:rPr>
                <w:rFonts w:ascii="times new roman" w:hAnsi="times new roman"/>
                <w:b/>
                <w:sz w:val="20"/>
              </w:rPr>
            </w:pPr>
            <w:bookmarkStart w:id="85" w:name="TAB163"/>
            <w:bookmarkEnd w:id="85"/>
            <w:r>
              <w:rPr>
                <w:rFonts w:ascii="times new roman" w:hAnsi="times new roman"/>
                <w:b/>
                <w:sz w:val="20"/>
              </w:rPr>
              <w:t>92,151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00" w:right="0" w:hanging="0"/>
              <w:jc w:val="right"/>
              <w:rPr>
                <w:rFonts w:ascii="times new roman" w:hAnsi="times new roman"/>
                <w:sz w:val="20"/>
              </w:rPr>
            </w:pPr>
            <w:bookmarkStart w:id="86" w:name="TAB164"/>
            <w:bookmarkEnd w:id="86"/>
            <w:r>
              <w:rPr>
                <w:rFonts w:ascii="times new roman" w:hAnsi="times new roman"/>
                <w:sz w:val="20"/>
              </w:rPr>
              <w:t>90,589</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&amp; Stockholders’ Equity</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1" w:type="dxa"/>
            <w:tcBorders>
              <w:bottom w:val="double" w:sz="8" w:space="0" w:color="000000"/>
            </w:tcBorders>
            <w:shd w:fill="FFFFFF" w:val="clear"/>
            <w:tcMar>
              <w:bottom w:w="28" w:type="dxa"/>
            </w:tcMar>
            <w:vAlign w:val="bottom"/>
          </w:tcPr>
          <w:p>
            <w:pPr>
              <w:pStyle w:val="TableContents"/>
              <w:spacing w:before="0" w:after="283"/>
              <w:ind w:left="238" w:right="0" w:hanging="0"/>
              <w:jc w:val="right"/>
              <w:rPr>
                <w:rFonts w:ascii="times new roman" w:hAnsi="times new roman"/>
                <w:b/>
                <w:sz w:val="20"/>
              </w:rPr>
            </w:pPr>
            <w:bookmarkStart w:id="87" w:name="TAB165"/>
            <w:bookmarkEnd w:id="87"/>
            <w:r>
              <w:rPr>
                <w:rFonts w:ascii="times new roman" w:hAnsi="times new roman"/>
                <w:b/>
                <w:sz w:val="20"/>
              </w:rPr>
              <w:t>151,343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bottom w:val="double" w:sz="8" w:space="0" w:color="000000"/>
            </w:tcBorders>
            <w:shd w:fill="FFFFFF" w:val="clear"/>
            <w:tcMar>
              <w:bottom w:w="28" w:type="dxa"/>
            </w:tcMar>
            <w:vAlign w:val="bottom"/>
          </w:tcPr>
          <w:p>
            <w:pPr>
              <w:pStyle w:val="TableContents"/>
              <w:spacing w:before="0" w:after="283"/>
              <w:ind w:left="248" w:right="0" w:hanging="0"/>
              <w:jc w:val="right"/>
              <w:rPr>
                <w:rFonts w:ascii="times new roman" w:hAnsi="times new roman"/>
                <w:sz w:val="20"/>
              </w:rPr>
            </w:pPr>
            <w:bookmarkStart w:id="88" w:name="TAB166"/>
            <w:bookmarkEnd w:id="88"/>
            <w:r>
              <w:rPr>
                <w:rFonts w:ascii="times new roman" w:hAnsi="times new roman"/>
                <w:sz w:val="20"/>
              </w:rPr>
              <w:t>153,982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2"/>
      <w:bookmarkStart w:id="90" w:name="PGBRK2"/>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FTR2"/>
      <w:bookmarkStart w:id="92" w:name="FTR2"/>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 w:name="GLFTR2"/>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 w:name="PN2"/>
      <w:bookmarkEnd w:id="9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2"/>
      <w:bookmarkStart w:id="96" w:name="HDR2"/>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 w:name="GLHDR2"/>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42"/>
        <w:gridCol w:w="109"/>
        <w:gridCol w:w="127"/>
        <w:gridCol w:w="1027"/>
        <w:gridCol w:w="114"/>
        <w:gridCol w:w="109"/>
        <w:gridCol w:w="127"/>
        <w:gridCol w:w="1027"/>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Income and Retained Earnings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except for per share amounts)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w:t>
            </w:r>
          </w:p>
          <w:p>
            <w:pPr>
              <w:pStyle w:val="TableContents"/>
              <w:spacing w:before="0" w:after="0"/>
              <w:ind w:left="0" w:right="0" w:hanging="0"/>
              <w:jc w:val="center"/>
              <w:rPr/>
            </w:pPr>
            <w:r>
              <w:rPr/>
              <w:t> </w:t>
            </w:r>
            <w:r>
              <w:rPr>
                <w:rFonts w:ascii="times new roman" w:hAnsi="times new roman"/>
                <w:b/>
                <w:sz w:val="20"/>
              </w:rPr>
              <w:t>October 31,</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56,285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53,404</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 of Sales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(43,077</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(41,081</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13,208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12,323</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(9,386</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(8,971</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from Operations</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3,822</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3,352</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 (Expense)</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(411</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net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Other Income (Expense), Net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(342</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3,480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3,055</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(961</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2,519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2,194</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Retained Earnings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beginning of year</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116,917</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111,593</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dividends declared and treasury stock issuances</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(1,238</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Retained Earnings – October 31</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118,198</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112,790</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0.38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0.30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0.35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Average Shares Outstanding</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5,086</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5,193</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1,897</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1,880</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7,123</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7,248</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3"/>
      <w:bookmarkStart w:id="99" w:name="PGBRK3"/>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3"/>
      <w:bookmarkStart w:id="101" w:name="FTR3"/>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 w:name="GLFTR3"/>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3"/>
      <w:bookmarkEnd w:id="103"/>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3"/>
      <w:bookmarkStart w:id="105" w:name="HDR3"/>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 w:name="GLHDR3"/>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rPr/>
      </w:pPr>
      <w:r>
        <w:rPr/>
      </w:r>
    </w:p>
    <w:tbl>
      <w:tblPr>
        <w:tblW w:w="3000" w:type="pct"/>
        <w:jc w:val="left"/>
        <w:tblInd w:w="0" w:type="dxa"/>
        <w:tblCellMar>
          <w:top w:w="0" w:type="dxa"/>
          <w:left w:w="0" w:type="dxa"/>
          <w:bottom w:w="0" w:type="dxa"/>
          <w:right w:w="0" w:type="dxa"/>
        </w:tblCellMar>
      </w:tblPr>
      <w:tblGrid>
        <w:gridCol w:w="3648"/>
        <w:gridCol w:w="101"/>
        <w:gridCol w:w="127"/>
        <w:gridCol w:w="894"/>
        <w:gridCol w:w="109"/>
        <w:gridCol w:w="101"/>
        <w:gridCol w:w="127"/>
        <w:gridCol w:w="894"/>
        <w:gridCol w:w="122"/>
      </w:tblGrid>
      <w:tr>
        <w:trPr/>
        <w:tc>
          <w:tcPr>
            <w:tcW w:w="600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2" w:type="dxa"/>
            <w:tcBorders/>
            <w:shd w:fill="auto" w:val="clear"/>
            <w:vAlign w:val="bottom"/>
          </w:tcPr>
          <w:p>
            <w:pPr>
              <w:pStyle w:val="TableContents"/>
              <w:spacing w:before="0" w:after="283"/>
              <w:jc w:val="left"/>
              <w:rPr/>
            </w:pPr>
            <w:r>
              <w:rPr/>
              <w:t> </w:t>
            </w:r>
          </w:p>
        </w:tc>
      </w:tr>
      <w:tr>
        <w:trPr/>
        <w:tc>
          <w:tcPr>
            <w:tcW w:w="600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Comprehensive Income</w:t>
            </w:r>
          </w:p>
        </w:tc>
        <w:tc>
          <w:tcPr>
            <w:tcW w:w="122" w:type="dxa"/>
            <w:tcBorders/>
            <w:shd w:fill="auto" w:val="clear"/>
            <w:vAlign w:val="bottom"/>
          </w:tcPr>
          <w:p>
            <w:pPr>
              <w:pStyle w:val="TableContents"/>
              <w:spacing w:before="0" w:after="283"/>
              <w:jc w:val="left"/>
              <w:rPr/>
            </w:pPr>
            <w:r>
              <w:rPr/>
              <w:t> </w:t>
            </w:r>
          </w:p>
        </w:tc>
      </w:tr>
      <w:tr>
        <w:trPr/>
        <w:tc>
          <w:tcPr>
            <w:tcW w:w="600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2" w:type="dxa"/>
            <w:tcBorders/>
            <w:shd w:fill="auto" w:val="clear"/>
            <w:vAlign w:val="bottom"/>
          </w:tcPr>
          <w:p>
            <w:pPr>
              <w:pStyle w:val="TableContents"/>
              <w:spacing w:before="0" w:after="283"/>
              <w:jc w:val="left"/>
              <w:rPr/>
            </w:pPr>
            <w:r>
              <w:rPr/>
              <w:t> </w:t>
            </w:r>
          </w:p>
        </w:tc>
      </w:tr>
      <w:tr>
        <w:trPr/>
        <w:tc>
          <w:tcPr>
            <w:tcW w:w="600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2" w:type="dxa"/>
            <w:tcBorders/>
            <w:shd w:fill="auto" w:val="clear"/>
            <w:vAlign w:val="bottom"/>
          </w:tcPr>
          <w:p>
            <w:pPr>
              <w:pStyle w:val="TableContents"/>
              <w:spacing w:before="0" w:after="283"/>
              <w:jc w:val="left"/>
              <w:rPr/>
            </w:pPr>
            <w:r>
              <w:rPr/>
              <w:t> </w:t>
            </w:r>
          </w:p>
        </w:tc>
      </w:tr>
      <w:tr>
        <w:trPr/>
        <w:tc>
          <w:tcPr>
            <w:tcW w:w="3648"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2252" w:type="dxa"/>
            <w:gridSpan w:val="6"/>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3648"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225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w:t>
            </w:r>
          </w:p>
          <w:p>
            <w:pPr>
              <w:pStyle w:val="TableContents"/>
              <w:spacing w:before="0" w:after="0"/>
              <w:ind w:left="0" w:right="0" w:hanging="0"/>
              <w:jc w:val="center"/>
              <w:rPr/>
            </w:pPr>
            <w:r>
              <w:rPr/>
              <w:t> </w:t>
            </w:r>
            <w:r>
              <w:rPr>
                <w:rFonts w:ascii="times new roman" w:hAnsi="times new roman"/>
                <w:b/>
                <w:sz w:val="20"/>
              </w:rPr>
              <w:t>October 31,</w:t>
            </w:r>
          </w:p>
        </w:tc>
        <w:tc>
          <w:tcPr>
            <w:tcW w:w="122" w:type="dxa"/>
            <w:tcBorders/>
            <w:shd w:fill="auto" w:val="clear"/>
            <w:vAlign w:val="bottom"/>
          </w:tcPr>
          <w:p>
            <w:pPr>
              <w:pStyle w:val="TableContents"/>
              <w:spacing w:before="0" w:after="283"/>
              <w:jc w:val="left"/>
              <w:rPr/>
            </w:pPr>
            <w:r>
              <w:rPr/>
              <w:t> </w:t>
            </w:r>
          </w:p>
        </w:tc>
      </w:tr>
      <w:tr>
        <w:trPr/>
        <w:tc>
          <w:tcPr>
            <w:tcW w:w="3648"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0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9"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2" w:type="dxa"/>
            <w:tcBorders/>
            <w:shd w:fill="auto" w:val="clear"/>
            <w:vAlign w:val="bottom"/>
          </w:tcPr>
          <w:p>
            <w:pPr>
              <w:pStyle w:val="TableContents"/>
              <w:spacing w:before="0" w:after="283"/>
              <w:jc w:val="left"/>
              <w:rPr/>
            </w:pPr>
            <w:r>
              <w:rPr/>
              <w:t> </w:t>
            </w:r>
          </w:p>
        </w:tc>
      </w:tr>
      <w:tr>
        <w:trPr/>
        <w:tc>
          <w:tcPr>
            <w:tcW w:w="3648"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021"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21"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364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94"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2,519</w:t>
            </w:r>
          </w:p>
        </w:tc>
        <w:tc>
          <w:tcPr>
            <w:tcW w:w="109"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2,194</w:t>
            </w:r>
          </w:p>
        </w:tc>
        <w:tc>
          <w:tcPr>
            <w:tcW w:w="122" w:type="dxa"/>
            <w:tcBorders/>
            <w:shd w:fill="CCEEFF" w:val="clear"/>
            <w:vAlign w:val="bottom"/>
          </w:tcPr>
          <w:p>
            <w:pPr>
              <w:pStyle w:val="TableContents"/>
              <w:spacing w:before="0" w:after="283"/>
              <w:jc w:val="left"/>
              <w:rPr/>
            </w:pPr>
            <w:r>
              <w:rPr/>
              <w:t> </w:t>
            </w:r>
          </w:p>
        </w:tc>
      </w:tr>
      <w:tr>
        <w:trPr/>
        <w:tc>
          <w:tcPr>
            <w:tcW w:w="3648"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894"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8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64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10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6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Unrealized gain (loss) on marketable securities</w:t>
            </w:r>
          </w:p>
        </w:tc>
        <w:tc>
          <w:tcPr>
            <w:tcW w:w="10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894"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(5</w:t>
            </w:r>
          </w:p>
        </w:tc>
        <w:tc>
          <w:tcPr>
            <w:tcW w:w="109"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8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2" w:type="dxa"/>
            <w:tcBorders/>
            <w:shd w:fill="FFFFFF" w:val="clear"/>
            <w:vAlign w:val="bottom"/>
          </w:tcPr>
          <w:p>
            <w:pPr>
              <w:pStyle w:val="TableContents"/>
              <w:spacing w:before="0" w:after="283"/>
              <w:jc w:val="left"/>
              <w:rPr/>
            </w:pPr>
            <w:r>
              <w:rPr/>
              <w:t> </w:t>
            </w:r>
          </w:p>
        </w:tc>
      </w:tr>
      <w:tr>
        <w:trPr/>
        <w:tc>
          <w:tcPr>
            <w:tcW w:w="36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Pension and postretirement benefits</w:t>
            </w:r>
          </w:p>
        </w:tc>
        <w:tc>
          <w:tcPr>
            <w:tcW w:w="10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58</w:t>
            </w:r>
          </w:p>
        </w:tc>
        <w:tc>
          <w:tcPr>
            <w:tcW w:w="109"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2" w:type="dxa"/>
            <w:tcBorders/>
            <w:shd w:fill="CCEEFF" w:val="clear"/>
            <w:vAlign w:val="bottom"/>
          </w:tcPr>
          <w:p>
            <w:pPr>
              <w:pStyle w:val="TableContents"/>
              <w:spacing w:before="0" w:after="283"/>
              <w:jc w:val="left"/>
              <w:rPr/>
            </w:pPr>
            <w:r>
              <w:rPr/>
              <w:t> </w:t>
            </w:r>
          </w:p>
        </w:tc>
      </w:tr>
      <w:tr>
        <w:trPr/>
        <w:tc>
          <w:tcPr>
            <w:tcW w:w="36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Cumulative translation adjustment</w:t>
            </w:r>
          </w:p>
        </w:tc>
        <w:tc>
          <w:tcPr>
            <w:tcW w:w="101"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26</w:t>
            </w:r>
          </w:p>
        </w:tc>
        <w:tc>
          <w:tcPr>
            <w:tcW w:w="109"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648" w:type="dxa"/>
            <w:tcBorders/>
            <w:shd w:fill="CCEEFF" w:val="clear"/>
            <w:vAlign w:val="bottom"/>
          </w:tcPr>
          <w:p>
            <w:pPr>
              <w:pStyle w:val="TableContents"/>
              <w:spacing w:before="0" w:after="283"/>
              <w:rPr/>
            </w:pPr>
            <w:r>
              <w:rPr/>
              <w:t xml:space="preserve">  </w:t>
            </w:r>
          </w:p>
        </w:tc>
        <w:tc>
          <w:tcPr>
            <w:tcW w:w="10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64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Comprehensive Income</w:t>
            </w:r>
          </w:p>
        </w:tc>
        <w:tc>
          <w:tcPr>
            <w:tcW w:w="101"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94"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b/>
                <w:sz w:val="20"/>
              </w:rPr>
            </w:pPr>
            <w:bookmarkStart w:id="107" w:name="TAB167"/>
            <w:bookmarkEnd w:id="107"/>
            <w:r>
              <w:rPr>
                <w:rFonts w:ascii="times new roman" w:hAnsi="times new roman"/>
                <w:b/>
                <w:sz w:val="20"/>
              </w:rPr>
              <w:t>2,598</w:t>
            </w:r>
          </w:p>
        </w:tc>
        <w:tc>
          <w:tcPr>
            <w:tcW w:w="109"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sz w:val="20"/>
              </w:rPr>
            </w:pPr>
            <w:bookmarkStart w:id="108" w:name="TAB168"/>
            <w:bookmarkEnd w:id="108"/>
            <w:r>
              <w:rPr>
                <w:rFonts w:ascii="times new roman" w:hAnsi="times new roman"/>
                <w:sz w:val="20"/>
              </w:rPr>
              <w:t>2,252</w:t>
            </w:r>
          </w:p>
        </w:tc>
        <w:tc>
          <w:tcPr>
            <w:tcW w:w="122" w:type="dxa"/>
            <w:tcBorders/>
            <w:shd w:fill="FFFFFF" w:val="clear"/>
            <w:vAlign w:val="bottom"/>
          </w:tcPr>
          <w:p>
            <w:pPr>
              <w:pStyle w:val="TableContents"/>
              <w:spacing w:before="0" w:after="283"/>
              <w:jc w:val="left"/>
              <w:rPr/>
            </w:pPr>
            <w:r>
              <w:rPr/>
              <w:t> </w:t>
            </w:r>
          </w:p>
        </w:tc>
      </w:tr>
      <w:tr>
        <w:trPr/>
        <w:tc>
          <w:tcPr>
            <w:tcW w:w="3648"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894"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8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 w:name="PGBRK4"/>
      <w:bookmarkStart w:id="110" w:name="PGBRK4"/>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FTR4"/>
      <w:bookmarkStart w:id="112" w:name="FTR4"/>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 w:name="GLFTR4"/>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 w:name="PN4"/>
      <w:bookmarkEnd w:id="114"/>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HDR4"/>
      <w:bookmarkStart w:id="116" w:name="HDR4"/>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 w:name="GLHDR4"/>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478"/>
        <w:gridCol w:w="109"/>
        <w:gridCol w:w="127"/>
        <w:gridCol w:w="1001"/>
        <w:gridCol w:w="114"/>
        <w:gridCol w:w="109"/>
        <w:gridCol w:w="127"/>
        <w:gridCol w:w="1017"/>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9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 October 31,</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9" w:type="dxa"/>
            <w:tcBorders/>
            <w:shd w:fill="auto" w:val="clear"/>
            <w:vAlign w:val="bottom"/>
          </w:tcPr>
          <w:p>
            <w:pPr>
              <w:pStyle w:val="TableContents"/>
              <w:spacing w:before="0" w:after="283"/>
              <w:rPr/>
            </w:pPr>
            <w:r>
              <w:rPr/>
              <w:t> </w:t>
            </w:r>
          </w:p>
        </w:tc>
        <w:tc>
          <w:tcPr>
            <w:tcW w:w="11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3" w:type="dxa"/>
            <w:tcBorders/>
            <w:shd w:fill="auto"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01" w:type="dxa"/>
            <w:tcBorders>
              <w:bottom w:val="single" w:sz="12"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b/>
                <w:sz w:val="20"/>
              </w:rPr>
            </w:pPr>
            <w:bookmarkStart w:id="118" w:name="TAB169"/>
            <w:bookmarkEnd w:id="118"/>
            <w:r>
              <w:rPr>
                <w:rFonts w:ascii="times new roman" w:hAnsi="times new roman"/>
                <w:b/>
                <w:sz w:val="20"/>
              </w:rPr>
              <w:t>2,519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single" w:sz="12"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sz w:val="20"/>
              </w:rPr>
            </w:pPr>
            <w:bookmarkStart w:id="119" w:name="TAB170"/>
            <w:bookmarkEnd w:id="119"/>
            <w:r>
              <w:rPr>
                <w:rFonts w:ascii="times new roman" w:hAnsi="times new roman"/>
                <w:sz w:val="20"/>
              </w:rPr>
              <w:t>2,194</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income to net cash</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provided by operating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 and amortization</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481" w:right="0" w:hanging="0"/>
              <w:jc w:val="right"/>
              <w:rPr>
                <w:rFonts w:ascii="times new roman" w:hAnsi="times new roman"/>
                <w:b/>
                <w:sz w:val="20"/>
              </w:rPr>
            </w:pPr>
            <w:bookmarkStart w:id="120" w:name="TAB171"/>
            <w:bookmarkEnd w:id="120"/>
            <w:r>
              <w:rPr>
                <w:rFonts w:ascii="times new roman" w:hAnsi="times new roman"/>
                <w:b/>
                <w:sz w:val="20"/>
              </w:rPr>
              <w:t>2,054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481" w:right="0" w:hanging="0"/>
              <w:jc w:val="right"/>
              <w:rPr>
                <w:rFonts w:ascii="times new roman" w:hAnsi="times new roman"/>
                <w:sz w:val="20"/>
              </w:rPr>
            </w:pPr>
            <w:bookmarkStart w:id="121" w:name="TAB172"/>
            <w:bookmarkEnd w:id="121"/>
            <w:r>
              <w:rPr>
                <w:rFonts w:ascii="times new roman" w:hAnsi="times new roman"/>
                <w:sz w:val="20"/>
              </w:rPr>
              <w:t>1,889</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investment discount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947" w:right="0" w:hanging="0"/>
              <w:jc w:val="right"/>
              <w:rPr>
                <w:rFonts w:ascii="times new roman" w:hAnsi="times new roman"/>
                <w:b/>
                <w:sz w:val="20"/>
              </w:rPr>
            </w:pPr>
            <w:bookmarkStart w:id="122" w:name="TAB173"/>
            <w:bookmarkEnd w:id="122"/>
            <w:r>
              <w:rPr>
                <w:rFonts w:ascii="times new roman" w:hAnsi="times new roman"/>
                <w:b/>
                <w:sz w:val="20"/>
              </w:rPr>
              <w:t>4</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770" w:right="0" w:hanging="0"/>
              <w:jc w:val="right"/>
              <w:rPr>
                <w:rFonts w:ascii="times new roman" w:hAnsi="times new roman"/>
                <w:sz w:val="20"/>
              </w:rPr>
            </w:pPr>
            <w:bookmarkStart w:id="123" w:name="TAB174"/>
            <w:bookmarkEnd w:id="123"/>
            <w:r>
              <w:rPr>
                <w:rFonts w:ascii="times new roman" w:hAnsi="times new roman"/>
                <w:sz w:val="20"/>
              </w:rPr>
              <w:t>(4</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Non-cash stock compensation expense</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24" w:name="TAB175"/>
            <w:bookmarkEnd w:id="124"/>
            <w:r>
              <w:rPr>
                <w:rFonts w:ascii="times new roman" w:hAnsi="times new roman"/>
                <w:b/>
                <w:sz w:val="20"/>
              </w:rPr>
              <w:t>124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814" w:right="0" w:hanging="0"/>
              <w:jc w:val="right"/>
              <w:rPr>
                <w:rFonts w:ascii="times new roman" w:hAnsi="times new roman"/>
                <w:sz w:val="20"/>
              </w:rPr>
            </w:pPr>
            <w:bookmarkStart w:id="125" w:name="TAB176"/>
            <w:bookmarkEnd w:id="125"/>
            <w:r>
              <w:rPr>
                <w:rFonts w:ascii="times new roman" w:hAnsi="times new roman"/>
                <w:sz w:val="20"/>
              </w:rPr>
              <w:t>86</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Excess tax benefits for share-based payments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503" w:right="0" w:hanging="0"/>
              <w:jc w:val="right"/>
              <w:rPr>
                <w:rFonts w:ascii="times new roman" w:hAnsi="times new roman"/>
                <w:b/>
                <w:sz w:val="20"/>
              </w:rPr>
            </w:pPr>
            <w:bookmarkStart w:id="126" w:name="TAB177"/>
            <w:bookmarkEnd w:id="126"/>
            <w:r>
              <w:rPr>
                <w:rFonts w:ascii="times new roman" w:hAnsi="times new roman"/>
                <w:b/>
                <w:sz w:val="20"/>
              </w:rPr>
              <w:t>(118</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770" w:right="0" w:hanging="0"/>
              <w:jc w:val="right"/>
              <w:rPr>
                <w:rFonts w:ascii="times new roman" w:hAnsi="times new roman"/>
                <w:sz w:val="20"/>
              </w:rPr>
            </w:pPr>
            <w:bookmarkStart w:id="127" w:name="TAB178"/>
            <w:bookmarkEnd w:id="127"/>
            <w:r>
              <w:rPr>
                <w:rFonts w:ascii="times new roman" w:hAnsi="times new roman"/>
                <w:sz w:val="20"/>
              </w:rPr>
              <w:t>(5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Deferred income taxes</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814" w:right="0" w:hanging="0"/>
              <w:jc w:val="right"/>
              <w:rPr>
                <w:rFonts w:ascii="times new roman" w:hAnsi="times new roman"/>
                <w:b/>
                <w:sz w:val="20"/>
              </w:rPr>
            </w:pPr>
            <w:bookmarkStart w:id="128" w:name="TAB179"/>
            <w:bookmarkEnd w:id="128"/>
            <w:r>
              <w:rPr>
                <w:rFonts w:ascii="times new roman" w:hAnsi="times new roman"/>
                <w:b/>
                <w:sz w:val="20"/>
              </w:rPr>
              <w:t>37</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814" w:right="0" w:hanging="0"/>
              <w:jc w:val="right"/>
              <w:rPr>
                <w:rFonts w:ascii="times new roman" w:hAnsi="times new roman"/>
                <w:sz w:val="20"/>
              </w:rPr>
            </w:pPr>
            <w:bookmarkStart w:id="129" w:name="TAB180"/>
            <w:bookmarkEnd w:id="129"/>
            <w:r>
              <w:rPr>
                <w:rFonts w:ascii="times new roman" w:hAnsi="times new roman"/>
                <w:sz w:val="20"/>
              </w:rPr>
              <w:t>33</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Provision for bad debts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814" w:right="0" w:hanging="0"/>
              <w:jc w:val="right"/>
              <w:rPr>
                <w:rFonts w:ascii="times new roman" w:hAnsi="times new roman"/>
                <w:b/>
                <w:sz w:val="20"/>
              </w:rPr>
            </w:pPr>
            <w:bookmarkStart w:id="130" w:name="TAB181"/>
            <w:bookmarkEnd w:id="130"/>
            <w:r>
              <w:rPr>
                <w:rFonts w:ascii="times new roman" w:hAnsi="times new roman"/>
                <w:b/>
                <w:sz w:val="20"/>
              </w:rPr>
              <w:t>38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636" w:right="0" w:hanging="0"/>
              <w:jc w:val="right"/>
              <w:rPr>
                <w:rFonts w:ascii="times new roman" w:hAnsi="times new roman"/>
                <w:sz w:val="20"/>
              </w:rPr>
            </w:pPr>
            <w:bookmarkStart w:id="131" w:name="TAB182"/>
            <w:bookmarkEnd w:id="131"/>
            <w:r>
              <w:rPr>
                <w:rFonts w:ascii="times new roman" w:hAnsi="times new roman"/>
                <w:sz w:val="20"/>
              </w:rPr>
              <w:t>(54</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(Gain) Loss on the sale of fixed assets</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570" w:right="0" w:hanging="0"/>
              <w:jc w:val="right"/>
              <w:rPr>
                <w:rFonts w:ascii="times new roman" w:hAnsi="times new roman"/>
                <w:b/>
                <w:sz w:val="20"/>
              </w:rPr>
            </w:pPr>
            <w:bookmarkStart w:id="132" w:name="TAB183"/>
            <w:bookmarkEnd w:id="132"/>
            <w:r>
              <w:rPr>
                <w:rFonts w:ascii="times new roman" w:hAnsi="times new roman"/>
                <w:b/>
                <w:sz w:val="20"/>
              </w:rPr>
              <w:t>(16</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947" w:right="0" w:hanging="0"/>
              <w:jc w:val="right"/>
              <w:rPr>
                <w:rFonts w:ascii="times new roman" w:hAnsi="times new roman"/>
                <w:sz w:val="20"/>
              </w:rPr>
            </w:pPr>
            <w:bookmarkStart w:id="133" w:name="TAB184"/>
            <w:bookmarkEnd w:id="133"/>
            <w:r>
              <w:rPr>
                <w:rFonts w:ascii="times new roman" w:hAnsi="times new roman"/>
                <w:sz w:val="20"/>
              </w:rPr>
              <w:t>1</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(Increase) Decrease in:</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receivable</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503" w:right="0" w:hanging="0"/>
              <w:jc w:val="right"/>
              <w:rPr>
                <w:rFonts w:ascii="times new roman" w:hAnsi="times new roman"/>
                <w:b/>
                <w:sz w:val="20"/>
              </w:rPr>
            </w:pPr>
            <w:bookmarkStart w:id="134" w:name="TAB185"/>
            <w:bookmarkEnd w:id="134"/>
            <w:r>
              <w:rPr>
                <w:rFonts w:ascii="times new roman" w:hAnsi="times new roman"/>
                <w:b/>
                <w:sz w:val="20"/>
              </w:rPr>
              <w:t>(897</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481" w:right="0" w:hanging="0"/>
              <w:jc w:val="right"/>
              <w:rPr>
                <w:rFonts w:ascii="times new roman" w:hAnsi="times new roman"/>
                <w:sz w:val="20"/>
              </w:rPr>
            </w:pPr>
            <w:bookmarkStart w:id="135" w:name="TAB186"/>
            <w:bookmarkEnd w:id="135"/>
            <w:r>
              <w:rPr>
                <w:rFonts w:ascii="times new roman" w:hAnsi="times new roman"/>
                <w:sz w:val="20"/>
              </w:rPr>
              <w:t>3,486</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Inventories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36" w:name="TAB187"/>
            <w:bookmarkEnd w:id="136"/>
            <w:r>
              <w:rPr>
                <w:rFonts w:ascii="times new roman" w:hAnsi="times new roman"/>
                <w:b/>
                <w:sz w:val="20"/>
              </w:rPr>
              <w:t>(1,273</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481" w:right="0" w:hanging="0"/>
              <w:jc w:val="right"/>
              <w:rPr>
                <w:rFonts w:ascii="times new roman" w:hAnsi="times new roman"/>
                <w:sz w:val="20"/>
              </w:rPr>
            </w:pPr>
            <w:bookmarkStart w:id="137" w:name="TAB188"/>
            <w:bookmarkEnd w:id="137"/>
            <w:r>
              <w:rPr>
                <w:rFonts w:ascii="times new roman" w:hAnsi="times new roman"/>
                <w:sz w:val="20"/>
              </w:rPr>
              <w:t>1,397</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503" w:right="0" w:hanging="0"/>
              <w:jc w:val="right"/>
              <w:rPr>
                <w:rFonts w:ascii="times new roman" w:hAnsi="times new roman"/>
                <w:b/>
                <w:sz w:val="20"/>
              </w:rPr>
            </w:pPr>
            <w:bookmarkStart w:id="138" w:name="TAB189"/>
            <w:bookmarkEnd w:id="138"/>
            <w:r>
              <w:rPr>
                <w:rFonts w:ascii="times new roman" w:hAnsi="times new roman"/>
                <w:b/>
                <w:sz w:val="20"/>
              </w:rPr>
              <w:t>(394</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503" w:right="0" w:hanging="0"/>
              <w:jc w:val="right"/>
              <w:rPr>
                <w:rFonts w:ascii="times new roman" w:hAnsi="times new roman"/>
                <w:sz w:val="20"/>
              </w:rPr>
            </w:pPr>
            <w:bookmarkStart w:id="139" w:name="TAB190"/>
            <w:bookmarkEnd w:id="139"/>
            <w:r>
              <w:rPr>
                <w:rFonts w:ascii="times new roman" w:hAnsi="times new roman"/>
                <w:sz w:val="20"/>
              </w:rPr>
              <w:t>(219</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assets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814" w:right="0" w:hanging="0"/>
              <w:jc w:val="right"/>
              <w:rPr>
                <w:rFonts w:ascii="times new roman" w:hAnsi="times new roman"/>
                <w:b/>
                <w:sz w:val="20"/>
              </w:rPr>
            </w:pPr>
            <w:bookmarkStart w:id="140" w:name="TAB191"/>
            <w:bookmarkEnd w:id="140"/>
            <w:r>
              <w:rPr>
                <w:rFonts w:ascii="times new roman" w:hAnsi="times new roman"/>
                <w:b/>
                <w:sz w:val="20"/>
              </w:rPr>
              <w:t>20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681" w:right="0" w:hanging="0"/>
              <w:jc w:val="right"/>
              <w:rPr>
                <w:rFonts w:ascii="times new roman" w:hAnsi="times new roman"/>
                <w:sz w:val="20"/>
              </w:rPr>
            </w:pPr>
            <w:bookmarkStart w:id="141" w:name="TAB192"/>
            <w:bookmarkEnd w:id="141"/>
            <w:r>
              <w:rPr>
                <w:rFonts w:ascii="times new roman" w:hAnsi="times new roman"/>
                <w:sz w:val="20"/>
              </w:rPr>
              <w:t>139</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Increase (Decrease) in:</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814" w:right="0" w:hanging="0"/>
              <w:jc w:val="right"/>
              <w:rPr>
                <w:rFonts w:ascii="times new roman" w:hAnsi="times new roman"/>
                <w:b/>
                <w:sz w:val="20"/>
              </w:rPr>
            </w:pPr>
            <w:bookmarkStart w:id="142" w:name="TAB193"/>
            <w:bookmarkEnd w:id="142"/>
            <w:r>
              <w:rPr>
                <w:rFonts w:ascii="times new roman" w:hAnsi="times new roman"/>
                <w:b/>
                <w:sz w:val="20"/>
              </w:rPr>
              <w:t>55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503" w:right="0" w:hanging="0"/>
              <w:jc w:val="right"/>
              <w:rPr>
                <w:rFonts w:ascii="times new roman" w:hAnsi="times new roman"/>
                <w:sz w:val="20"/>
              </w:rPr>
            </w:pPr>
            <w:bookmarkStart w:id="143" w:name="TAB194"/>
            <w:bookmarkEnd w:id="143"/>
            <w:r>
              <w:rPr>
                <w:rFonts w:ascii="times new roman" w:hAnsi="times new roman"/>
                <w:sz w:val="20"/>
              </w:rPr>
              <w:t>(829</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303" w:right="0" w:hanging="0"/>
              <w:jc w:val="right"/>
              <w:rPr>
                <w:rFonts w:ascii="times new roman" w:hAnsi="times new roman"/>
                <w:b/>
                <w:sz w:val="20"/>
              </w:rPr>
            </w:pPr>
            <w:bookmarkStart w:id="144" w:name="TAB195"/>
            <w:bookmarkEnd w:id="144"/>
            <w:r>
              <w:rPr>
                <w:rFonts w:ascii="times new roman" w:hAnsi="times new roman"/>
                <w:b/>
                <w:sz w:val="20"/>
              </w:rPr>
              <w:t>(2,830</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303" w:right="0" w:hanging="0"/>
              <w:jc w:val="right"/>
              <w:rPr>
                <w:rFonts w:ascii="times new roman" w:hAnsi="times new roman"/>
                <w:sz w:val="20"/>
              </w:rPr>
            </w:pPr>
            <w:bookmarkStart w:id="145" w:name="TAB196"/>
            <w:bookmarkEnd w:id="145"/>
            <w:r>
              <w:rPr>
                <w:rFonts w:ascii="times new roman" w:hAnsi="times new roman"/>
                <w:sz w:val="20"/>
              </w:rPr>
              <w:t>(1,165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compensation</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503" w:right="0" w:hanging="0"/>
              <w:jc w:val="right"/>
              <w:rPr>
                <w:rFonts w:ascii="times new roman" w:hAnsi="times new roman"/>
                <w:b/>
                <w:sz w:val="20"/>
              </w:rPr>
            </w:pPr>
            <w:bookmarkStart w:id="146" w:name="TAB197"/>
            <w:bookmarkEnd w:id="146"/>
            <w:r>
              <w:rPr>
                <w:rFonts w:ascii="times new roman" w:hAnsi="times new roman"/>
                <w:b/>
                <w:sz w:val="20"/>
              </w:rPr>
              <w:t>(179</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681" w:right="0" w:hanging="0"/>
              <w:jc w:val="right"/>
              <w:rPr>
                <w:rFonts w:ascii="times new roman" w:hAnsi="times new roman"/>
                <w:sz w:val="20"/>
              </w:rPr>
            </w:pPr>
            <w:bookmarkStart w:id="147" w:name="TAB198"/>
            <w:bookmarkEnd w:id="147"/>
            <w:r>
              <w:rPr>
                <w:rFonts w:ascii="times new roman" w:hAnsi="times new roman"/>
                <w:sz w:val="20"/>
              </w:rPr>
              <w:t>209</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liabilities</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ind w:left="681" w:right="0" w:hanging="0"/>
              <w:jc w:val="right"/>
              <w:rPr>
                <w:rFonts w:ascii="times new roman" w:hAnsi="times new roman"/>
                <w:b/>
                <w:sz w:val="20"/>
              </w:rPr>
            </w:pPr>
            <w:bookmarkStart w:id="148" w:name="TAB199"/>
            <w:bookmarkEnd w:id="148"/>
            <w:r>
              <w:rPr>
                <w:rFonts w:ascii="times new roman" w:hAnsi="times new roman"/>
                <w:b/>
                <w:sz w:val="20"/>
              </w:rPr>
              <w:t>392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ind w:left="681" w:right="0" w:hanging="0"/>
              <w:jc w:val="right"/>
              <w:rPr>
                <w:rFonts w:ascii="times new roman" w:hAnsi="times new roman"/>
                <w:sz w:val="20"/>
              </w:rPr>
            </w:pPr>
            <w:bookmarkStart w:id="149" w:name="TAB1100"/>
            <w:bookmarkEnd w:id="149"/>
            <w:r>
              <w:rPr>
                <w:rFonts w:ascii="times new roman" w:hAnsi="times new roman"/>
                <w:sz w:val="20"/>
              </w:rPr>
              <w:t>481</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Adjustments</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b/>
                <w:sz w:val="20"/>
              </w:rPr>
            </w:pPr>
            <w:bookmarkStart w:id="150" w:name="TAB1101"/>
            <w:bookmarkEnd w:id="150"/>
            <w:r>
              <w:rPr>
                <w:rFonts w:ascii="times new roman" w:hAnsi="times new roman"/>
                <w:b/>
                <w:sz w:val="20"/>
              </w:rPr>
              <w:t>(2,983</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ind w:left="481" w:right="0" w:hanging="0"/>
              <w:jc w:val="right"/>
              <w:rPr>
                <w:rFonts w:ascii="times new roman" w:hAnsi="times new roman"/>
                <w:sz w:val="20"/>
              </w:rPr>
            </w:pPr>
            <w:bookmarkStart w:id="151" w:name="TAB1102"/>
            <w:bookmarkEnd w:id="151"/>
            <w:r>
              <w:rPr>
                <w:rFonts w:ascii="times new roman" w:hAnsi="times new roman"/>
                <w:sz w:val="20"/>
              </w:rPr>
              <w:t>5,445</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Net Cash (Used in) Provided by Operating Activities</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ind w:left="503" w:right="0" w:hanging="0"/>
              <w:jc w:val="right"/>
              <w:rPr>
                <w:rFonts w:ascii="times new roman" w:hAnsi="times new roman"/>
                <w:b/>
                <w:sz w:val="20"/>
              </w:rPr>
            </w:pPr>
            <w:bookmarkStart w:id="152" w:name="TAB1103"/>
            <w:bookmarkEnd w:id="152"/>
            <w:r>
              <w:rPr>
                <w:rFonts w:ascii="times new roman" w:hAnsi="times new roman"/>
                <w:b/>
                <w:sz w:val="20"/>
              </w:rPr>
              <w:t>(464</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ind w:left="481" w:right="0" w:hanging="0"/>
              <w:jc w:val="right"/>
              <w:rPr>
                <w:rFonts w:ascii="times new roman" w:hAnsi="times new roman"/>
                <w:sz w:val="20"/>
              </w:rPr>
            </w:pPr>
            <w:bookmarkStart w:id="153" w:name="TAB1104"/>
            <w:bookmarkEnd w:id="153"/>
            <w:r>
              <w:rPr>
                <w:rFonts w:ascii="times new roman" w:hAnsi="times new roman"/>
                <w:sz w:val="20"/>
              </w:rPr>
              <w:t>7,639</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CASH FLOWS FROM INVESTING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expenditures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54" w:name="TAB1105"/>
            <w:bookmarkEnd w:id="154"/>
            <w:r>
              <w:rPr>
                <w:rFonts w:ascii="times new roman" w:hAnsi="times new roman"/>
                <w:b/>
                <w:sz w:val="20"/>
              </w:rPr>
              <w:t>(1,638</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303" w:right="0" w:hanging="0"/>
              <w:jc w:val="right"/>
              <w:rPr>
                <w:rFonts w:ascii="times new roman" w:hAnsi="times new roman"/>
                <w:sz w:val="20"/>
              </w:rPr>
            </w:pPr>
            <w:bookmarkStart w:id="155" w:name="TAB1106"/>
            <w:bookmarkEnd w:id="155"/>
            <w:r>
              <w:rPr>
                <w:rFonts w:ascii="times new roman" w:hAnsi="times new roman"/>
                <w:sz w:val="20"/>
              </w:rPr>
              <w:t>(1,327</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sale of property, plant and equipment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56" w:name="TAB1107"/>
            <w:bookmarkEnd w:id="156"/>
            <w:r>
              <w:rPr>
                <w:rFonts w:ascii="times new roman" w:hAnsi="times new roman"/>
                <w:b/>
                <w:sz w:val="20"/>
              </w:rPr>
              <w:t>110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814" w:right="0" w:hanging="0"/>
              <w:jc w:val="right"/>
              <w:rPr>
                <w:rFonts w:ascii="times new roman" w:hAnsi="times new roman"/>
                <w:sz w:val="20"/>
              </w:rPr>
            </w:pPr>
            <w:bookmarkStart w:id="157" w:name="TAB1108"/>
            <w:bookmarkEnd w:id="157"/>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short-term securities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58" w:name="TAB1109"/>
            <w:bookmarkEnd w:id="158"/>
            <w:r>
              <w:rPr>
                <w:rFonts w:ascii="times new roman" w:hAnsi="times new roman"/>
                <w:b/>
                <w:sz w:val="20"/>
              </w:rPr>
              <w:t>(5,999</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170" w:right="0" w:hanging="0"/>
              <w:jc w:val="right"/>
              <w:rPr>
                <w:rFonts w:ascii="times new roman" w:hAnsi="times new roman"/>
                <w:sz w:val="20"/>
              </w:rPr>
            </w:pPr>
            <w:bookmarkStart w:id="159" w:name="TAB1110"/>
            <w:bookmarkEnd w:id="159"/>
            <w:r>
              <w:rPr>
                <w:rFonts w:ascii="times new roman" w:hAnsi="times new roman"/>
                <w:sz w:val="20"/>
              </w:rPr>
              <w:t>(12,996</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Dispositions of short-term securities</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ind w:left="481" w:right="0" w:hanging="0"/>
              <w:jc w:val="right"/>
              <w:rPr>
                <w:rFonts w:ascii="times new roman" w:hAnsi="times new roman"/>
                <w:b/>
                <w:sz w:val="20"/>
              </w:rPr>
            </w:pPr>
            <w:bookmarkStart w:id="160" w:name="TAB1111"/>
            <w:bookmarkEnd w:id="160"/>
            <w:r>
              <w:rPr>
                <w:rFonts w:ascii="times new roman" w:hAnsi="times new roman"/>
                <w:b/>
                <w:sz w:val="20"/>
              </w:rPr>
              <w:t>8,000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ind w:left="347" w:right="0" w:hanging="0"/>
              <w:jc w:val="right"/>
              <w:rPr>
                <w:rFonts w:ascii="times new roman" w:hAnsi="times new roman"/>
                <w:sz w:val="20"/>
              </w:rPr>
            </w:pPr>
            <w:bookmarkStart w:id="161" w:name="TAB1112"/>
            <w:bookmarkEnd w:id="161"/>
            <w:r>
              <w:rPr>
                <w:rFonts w:ascii="times new roman" w:hAnsi="times new roman"/>
                <w:sz w:val="20"/>
              </w:rPr>
              <w:t>12,000</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Net Cash Provided by (Used in) Investing Activities</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CCEEFF" w:val="clear"/>
            <w:tcMar>
              <w:bottom w:w="28" w:type="dxa"/>
            </w:tcMar>
            <w:vAlign w:val="bottom"/>
          </w:tcPr>
          <w:p>
            <w:pPr>
              <w:pStyle w:val="TableContents"/>
              <w:spacing w:before="0" w:after="283"/>
              <w:ind w:left="681" w:right="0" w:hanging="0"/>
              <w:jc w:val="right"/>
              <w:rPr>
                <w:rFonts w:ascii="times new roman" w:hAnsi="times new roman"/>
                <w:b/>
                <w:sz w:val="20"/>
              </w:rPr>
            </w:pPr>
            <w:bookmarkStart w:id="162" w:name="TAB1113"/>
            <w:bookmarkEnd w:id="162"/>
            <w:r>
              <w:rPr>
                <w:rFonts w:ascii="times new roman" w:hAnsi="times new roman"/>
                <w:b/>
                <w:sz w:val="20"/>
              </w:rPr>
              <w:t>473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sz w:val="20"/>
              </w:rPr>
            </w:pPr>
            <w:bookmarkStart w:id="163" w:name="TAB1114"/>
            <w:bookmarkEnd w:id="163"/>
            <w:r>
              <w:rPr>
                <w:rFonts w:ascii="times new roman" w:hAnsi="times new roman"/>
                <w:sz w:val="20"/>
              </w:rPr>
              <w:t>(2,323</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CASH FLOWS FROM FINANCING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Principal payments on notes payable</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303" w:right="0" w:hanging="0"/>
              <w:jc w:val="right"/>
              <w:rPr>
                <w:rFonts w:ascii="times new roman" w:hAnsi="times new roman"/>
                <w:b/>
                <w:sz w:val="20"/>
              </w:rPr>
            </w:pPr>
            <w:bookmarkStart w:id="164" w:name="TAB1115"/>
            <w:bookmarkEnd w:id="164"/>
            <w:r>
              <w:rPr>
                <w:rFonts w:ascii="times new roman" w:hAnsi="times new roman"/>
                <w:b/>
                <w:sz w:val="20"/>
              </w:rPr>
              <w:t>(1,500</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503" w:right="0" w:hanging="0"/>
              <w:jc w:val="right"/>
              <w:rPr>
                <w:rFonts w:ascii="times new roman" w:hAnsi="times new roman"/>
                <w:sz w:val="20"/>
              </w:rPr>
            </w:pPr>
            <w:bookmarkStart w:id="165" w:name="TAB1116"/>
            <w:bookmarkEnd w:id="165"/>
            <w:r>
              <w:rPr>
                <w:rFonts w:ascii="times new roman" w:hAnsi="times new roman"/>
                <w:sz w:val="20"/>
              </w:rPr>
              <w:t>(200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Dividends paid</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66" w:name="TAB1117"/>
            <w:bookmarkEnd w:id="166"/>
            <w:r>
              <w:rPr>
                <w:rFonts w:ascii="times new roman" w:hAnsi="times new roman"/>
                <w:b/>
                <w:sz w:val="20"/>
              </w:rPr>
              <w:t>(1,043</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503" w:right="0" w:hanging="0"/>
              <w:jc w:val="right"/>
              <w:rPr>
                <w:rFonts w:ascii="times new roman" w:hAnsi="times new roman"/>
                <w:sz w:val="20"/>
              </w:rPr>
            </w:pPr>
            <w:bookmarkStart w:id="167" w:name="TAB1118"/>
            <w:bookmarkEnd w:id="167"/>
            <w:r>
              <w:rPr>
                <w:rFonts w:ascii="times new roman" w:hAnsi="times new roman"/>
                <w:sz w:val="20"/>
              </w:rPr>
              <w:t>(995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 of treasury stock</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503" w:right="0" w:hanging="0"/>
              <w:jc w:val="right"/>
              <w:rPr>
                <w:rFonts w:ascii="times new roman" w:hAnsi="times new roman"/>
                <w:b/>
                <w:sz w:val="20"/>
              </w:rPr>
            </w:pPr>
            <w:bookmarkStart w:id="168" w:name="TAB1119"/>
            <w:bookmarkEnd w:id="168"/>
            <w:r>
              <w:rPr>
                <w:rFonts w:ascii="times new roman" w:hAnsi="times new roman"/>
                <w:b/>
                <w:sz w:val="20"/>
              </w:rPr>
              <w:t>(511</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747" w:right="0" w:hanging="0"/>
              <w:jc w:val="right"/>
              <w:rPr>
                <w:rFonts w:ascii="times new roman" w:hAnsi="times new roman"/>
                <w:sz w:val="20"/>
              </w:rPr>
            </w:pPr>
            <w:bookmarkStart w:id="169" w:name="TAB1120"/>
            <w:bookmarkEnd w:id="169"/>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treasury stock</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681" w:right="0" w:hanging="0"/>
              <w:jc w:val="right"/>
              <w:rPr>
                <w:rFonts w:ascii="times new roman" w:hAnsi="times new roman"/>
                <w:b/>
                <w:sz w:val="20"/>
              </w:rPr>
            </w:pPr>
            <w:bookmarkStart w:id="170" w:name="TAB1121"/>
            <w:bookmarkEnd w:id="170"/>
            <w:r>
              <w:rPr>
                <w:rFonts w:ascii="times new roman" w:hAnsi="times new roman"/>
                <w:b/>
                <w:sz w:val="20"/>
              </w:rPr>
              <w:t>109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814" w:right="0" w:hanging="0"/>
              <w:jc w:val="right"/>
              <w:rPr>
                <w:rFonts w:ascii="times new roman" w:hAnsi="times new roman"/>
                <w:sz w:val="20"/>
              </w:rPr>
            </w:pPr>
            <w:bookmarkStart w:id="171" w:name="TAB1122"/>
            <w:bookmarkEnd w:id="171"/>
            <w:r>
              <w:rPr>
                <w:rFonts w:ascii="times new roman" w:hAnsi="times new roman"/>
                <w:sz w:val="20"/>
              </w:rPr>
              <w:t>---</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common stock</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72" w:name="TAB1123"/>
            <w:bookmarkEnd w:id="172"/>
            <w:r>
              <w:rPr>
                <w:rFonts w:ascii="times new roman" w:hAnsi="times new roman"/>
                <w:b/>
                <w:sz w:val="20"/>
              </w:rPr>
              <w:t>185</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ind w:left="814" w:right="0" w:hanging="0"/>
              <w:jc w:val="right"/>
              <w:rPr>
                <w:rFonts w:ascii="times new roman" w:hAnsi="times new roman"/>
                <w:sz w:val="20"/>
              </w:rPr>
            </w:pPr>
            <w:bookmarkStart w:id="173" w:name="TAB1124"/>
            <w:bookmarkEnd w:id="173"/>
            <w:r>
              <w:rPr>
                <w:rFonts w:ascii="times new roman" w:hAnsi="times new roman"/>
                <w:sz w:val="20"/>
              </w:rPr>
              <w:t>54</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Excess tax benefits for share-based payments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681" w:right="0" w:hanging="0"/>
              <w:jc w:val="right"/>
              <w:rPr>
                <w:rFonts w:ascii="times new roman" w:hAnsi="times new roman"/>
                <w:b/>
                <w:sz w:val="20"/>
              </w:rPr>
            </w:pPr>
            <w:bookmarkStart w:id="174" w:name="TAB1125"/>
            <w:bookmarkEnd w:id="174"/>
            <w:r>
              <w:rPr>
                <w:rFonts w:ascii="times new roman" w:hAnsi="times new roman"/>
                <w:b/>
                <w:sz w:val="20"/>
              </w:rPr>
              <w:t>118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947" w:right="0" w:hanging="0"/>
              <w:jc w:val="right"/>
              <w:rPr>
                <w:rFonts w:ascii="times new roman" w:hAnsi="times new roman"/>
                <w:sz w:val="20"/>
              </w:rPr>
            </w:pPr>
            <w:bookmarkStart w:id="175" w:name="TAB1126"/>
            <w:bookmarkEnd w:id="175"/>
            <w:r>
              <w:rPr>
                <w:rFonts w:ascii="times new roman" w:hAnsi="times new roman"/>
                <w:sz w:val="20"/>
              </w:rPr>
              <w:t>5</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net</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ind w:left="947" w:right="0" w:hanging="0"/>
              <w:jc w:val="right"/>
              <w:rPr>
                <w:rFonts w:ascii="times new roman" w:hAnsi="times new roman"/>
                <w:b/>
                <w:sz w:val="20"/>
              </w:rPr>
            </w:pPr>
            <w:bookmarkStart w:id="176" w:name="TAB1127"/>
            <w:bookmarkEnd w:id="176"/>
            <w:r>
              <w:rPr>
                <w:rFonts w:ascii="times new roman" w:hAnsi="times new roman"/>
                <w:b/>
                <w:sz w:val="20"/>
              </w:rPr>
              <w:t>8</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ind w:left="770" w:right="0" w:hanging="0"/>
              <w:jc w:val="right"/>
              <w:rPr>
                <w:rFonts w:ascii="times new roman" w:hAnsi="times new roman"/>
                <w:sz w:val="20"/>
              </w:rPr>
            </w:pPr>
            <w:bookmarkStart w:id="177" w:name="TAB1128"/>
            <w:bookmarkEnd w:id="177"/>
            <w:r>
              <w:rPr>
                <w:rFonts w:ascii="times new roman" w:hAnsi="times new roman"/>
                <w:sz w:val="20"/>
              </w:rPr>
              <w:t>(4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Net Cash Used in Financing Activities</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b/>
                <w:sz w:val="20"/>
              </w:rPr>
            </w:pPr>
            <w:bookmarkStart w:id="178" w:name="TAB1129"/>
            <w:bookmarkEnd w:id="178"/>
            <w:r>
              <w:rPr>
                <w:rFonts w:ascii="times new roman" w:hAnsi="times new roman"/>
                <w:b/>
                <w:sz w:val="20"/>
              </w:rPr>
              <w:t>(2,634</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sz w:val="20"/>
              </w:rPr>
            </w:pPr>
            <w:bookmarkStart w:id="179" w:name="TAB1130"/>
            <w:bookmarkEnd w:id="179"/>
            <w:r>
              <w:rPr>
                <w:rFonts w:ascii="times new roman" w:hAnsi="times new roman"/>
                <w:sz w:val="20"/>
              </w:rPr>
              <w:t>(1,140</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636" w:right="0" w:hanging="0"/>
              <w:jc w:val="right"/>
              <w:rPr>
                <w:rFonts w:ascii="times new roman" w:hAnsi="times new roman"/>
                <w:b/>
                <w:sz w:val="20"/>
              </w:rPr>
            </w:pPr>
            <w:bookmarkStart w:id="180" w:name="TAB1131"/>
            <w:bookmarkEnd w:id="180"/>
            <w:r>
              <w:rPr>
                <w:rFonts w:ascii="times new roman" w:hAnsi="times new roman"/>
                <w:b/>
                <w:sz w:val="20"/>
              </w:rPr>
              <w:t>(38</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814" w:right="0" w:hanging="0"/>
              <w:jc w:val="right"/>
              <w:rPr>
                <w:rFonts w:ascii="times new roman" w:hAnsi="times new roman"/>
                <w:sz w:val="20"/>
              </w:rPr>
            </w:pPr>
            <w:bookmarkStart w:id="181" w:name="TAB1132"/>
            <w:bookmarkEnd w:id="181"/>
            <w:r>
              <w:rPr>
                <w:rFonts w:ascii="times new roman" w:hAnsi="times new roman"/>
                <w:sz w:val="20"/>
              </w:rPr>
              <w:t>13</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(Decrease) Increase in Cash and Cash Equivalents</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82" w:name="TAB1133"/>
            <w:bookmarkEnd w:id="182"/>
            <w:r>
              <w:rPr>
                <w:rFonts w:ascii="times new roman" w:hAnsi="times new roman"/>
                <w:b/>
                <w:sz w:val="20"/>
              </w:rPr>
              <w:t>(2,663</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ind w:left="481" w:right="0" w:hanging="0"/>
              <w:jc w:val="right"/>
              <w:rPr>
                <w:rFonts w:ascii="times new roman" w:hAnsi="times new roman"/>
                <w:sz w:val="20"/>
              </w:rPr>
            </w:pPr>
            <w:bookmarkStart w:id="183" w:name="TAB1134"/>
            <w:bookmarkEnd w:id="183"/>
            <w:r>
              <w:rPr>
                <w:rFonts w:ascii="times new roman" w:hAnsi="times new roman"/>
                <w:sz w:val="20"/>
              </w:rPr>
              <w:t>4,189</w:t>
            </w:r>
          </w:p>
        </w:tc>
        <w:tc>
          <w:tcPr>
            <w:tcW w:w="123" w:type="dxa"/>
            <w:tcBorders/>
            <w:shd w:fill="CCEEFF"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Beginning of Year</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ind w:left="347" w:right="0" w:hanging="0"/>
              <w:jc w:val="right"/>
              <w:rPr>
                <w:rFonts w:ascii="times new roman" w:hAnsi="times new roman"/>
                <w:b/>
                <w:sz w:val="20"/>
              </w:rPr>
            </w:pPr>
            <w:bookmarkStart w:id="184" w:name="TAB1135"/>
            <w:bookmarkEnd w:id="184"/>
            <w:r>
              <w:rPr>
                <w:rFonts w:ascii="times new roman" w:hAnsi="times new roman"/>
                <w:b/>
                <w:sz w:val="20"/>
              </w:rPr>
              <w:t>18,762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ind w:left="347" w:right="0" w:hanging="0"/>
              <w:jc w:val="right"/>
              <w:rPr>
                <w:rFonts w:ascii="times new roman" w:hAnsi="times new roman"/>
                <w:sz w:val="20"/>
              </w:rPr>
            </w:pPr>
            <w:bookmarkStart w:id="185" w:name="TAB1136"/>
            <w:bookmarkEnd w:id="185"/>
            <w:r>
              <w:rPr>
                <w:rFonts w:ascii="times new roman" w:hAnsi="times new roman"/>
                <w:sz w:val="20"/>
              </w:rPr>
              <w:t>11,839</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October 31</w:t>
            </w:r>
          </w:p>
        </w:tc>
        <w:tc>
          <w:tcPr>
            <w:tcW w:w="109" w:type="dxa"/>
            <w:tcBorders/>
            <w:shd w:fill="CCEEFF" w:val="clear"/>
            <w:vAlign w:val="bottom"/>
          </w:tcPr>
          <w:p>
            <w:pPr>
              <w:pStyle w:val="TableContents"/>
              <w:spacing w:before="0" w:after="283"/>
              <w:jc w:val="lef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01" w:type="dxa"/>
            <w:tcBorders>
              <w:bottom w:val="double" w:sz="8"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b/>
                <w:sz w:val="20"/>
              </w:rPr>
            </w:pPr>
            <w:bookmarkStart w:id="186" w:name="TAB1137"/>
            <w:bookmarkEnd w:id="186"/>
            <w:r>
              <w:rPr>
                <w:rFonts w:ascii="times new roman" w:hAnsi="times new roman"/>
                <w:b/>
                <w:sz w:val="20"/>
              </w:rPr>
              <w:t>16,099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sz w:val="20"/>
              </w:rPr>
            </w:pPr>
            <w:bookmarkStart w:id="187" w:name="TAB1138"/>
            <w:bookmarkEnd w:id="187"/>
            <w:r>
              <w:rPr>
                <w:rFonts w:ascii="times new roman" w:hAnsi="times new roman"/>
                <w:sz w:val="20"/>
              </w:rPr>
              <w:t>16,028</w:t>
            </w:r>
          </w:p>
        </w:tc>
        <w:tc>
          <w:tcPr>
            <w:tcW w:w="123" w:type="dxa"/>
            <w:tcBorders/>
            <w:shd w:fill="CCEE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 w:name="PGBRK5"/>
      <w:bookmarkStart w:id="189" w:name="PGBRK5"/>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FTR5"/>
      <w:bookmarkStart w:id="191" w:name="FTR5"/>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2" w:name="GLFTR5"/>
      <w:bookmarkEnd w:id="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3" w:name="PN5"/>
      <w:bookmarkEnd w:id="19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HDR5"/>
      <w:bookmarkStart w:id="195" w:name="HDR5"/>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6" w:name="GLHDR5"/>
      <w:bookmarkEnd w:id="1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br/>
      </w:r>
      <w:r>
        <w:rPr>
          <w:rFonts w:ascii="Times New Roman" w:hAnsi="Times New Roman"/>
          <w:b/>
          <w:sz w:val="20"/>
        </w:rPr>
        <w:t>OIL-DRI CORPORATION OF AMERICA &amp; SUBSIDIARIES</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1.</w:t>
      </w:r>
      <w:bookmarkStart w:id="197" w:name="TAB2"/>
      <w:bookmarkEnd w:id="197"/>
      <w:r>
        <w:rPr>
          <w:color w:val="000000"/>
          <w:spacing w:val="180"/>
        </w:rPr>
        <w:t> </w:t>
      </w:r>
      <w:r>
        <w:rPr>
          <w:rFonts w:ascii="Times New Roman" w:hAnsi="Times New Roman"/>
          <w:b/>
          <w:sz w:val="20"/>
        </w:rPr>
        <w:t>BASIS OF STATEMENT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2010 included in our Annual Report on Form 10-K filed with the Securities and Exchange Commission (“SEC”).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unaudited condensed consolidated financial statements include the accounts of the parent company and its subsidiaries.  All significant intercompany transactions are eliminated.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unaudited condensed consolidated financial statements reflect all adjustments, consisting of normal recurring accruals, which are, in the opinion of management, necessary for a fair presentation of the statements contained herein.  Operating results for the three months ended October 31, 2010 are not necessarily an indication of the results that may be expected for the fiscal year ending July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our sales agreements with customers, we recognize revenue when risk of loss and title are transferred.  Upon shipment an invoice is generated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evaluate our allowance for doubtful accounts utilizing a combination of a historical experience and a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as prepaid expense and amortize the pre-production overburden removal costs associated with opening a new mine.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 w:name="PGBRK6"/>
      <w:bookmarkStart w:id="199" w:name="PGBRK6"/>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FTR6"/>
      <w:bookmarkStart w:id="201" w:name="FTR6"/>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2" w:name="GLFTR6"/>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3" w:name="PN6"/>
      <w:bookmarkEnd w:id="203"/>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 w:name="HDR6"/>
      <w:bookmarkStart w:id="205" w:name="HDR6"/>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6" w:name="GLHDR6"/>
      <w:bookmarkEnd w:id="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rFonts w:ascii="Times New Roman" w:hAnsi="Times New Roman"/>
          <w:b/>
          <w:sz w:val="20"/>
        </w:rPr>
        <w:t>2.</w:t>
      </w:r>
      <w:bookmarkStart w:id="207" w:name="TAB21"/>
      <w:bookmarkEnd w:id="207"/>
      <w:r>
        <w:rPr>
          <w:color w:val="000000"/>
          <w:spacing w:val="180"/>
        </w:rPr>
        <w:t> </w:t>
      </w:r>
      <w:r>
        <w:rPr>
          <w:rFonts w:ascii="Times New Roman" w:hAnsi="Times New Roman"/>
          <w:b/>
          <w:sz w:val="20"/>
        </w:rPr>
        <w:t>THREE MONTHS ENDED OCTOBER 31, 2009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results of operations for the three months ending October 31, 2009 included an increase in cost of sales of approximately $400,000 related to an overstatement of supplies inventory at one of our manufacturing facilities as of July 31, 2009.  The overstatement of inventory had accumulated over a number of years and was the result of alleged theft.  This increase was offset by expected insurance proceeds, which were received in the third quarter of fiscal 2010; therefore, there was no impact to net income for the fiscal year ended July 31, 2010.  We have determined that the adjustment to supplies inventory was not material to the first three months of fiscal 2010 or any previously reported period.</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3.</w:t>
      </w:r>
      <w:bookmarkStart w:id="208" w:name="TAB22"/>
      <w:bookmarkEnd w:id="208"/>
      <w:r>
        <w:rPr>
          <w:color w:val="000000"/>
          <w:spacing w:val="180"/>
        </w:rPr>
        <w:t> </w:t>
      </w:r>
      <w:r>
        <w:rPr>
          <w:rFonts w:ascii="Times New Roman" w:hAnsi="Times New Roman"/>
          <w:b/>
          <w:sz w:val="20"/>
        </w:rPr>
        <w:t>NEW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Recently Adopted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new accounting standards were adopted for the quarter ended October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Recently Issued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July 2010, the Financial Accounting Standards Board (“FASB”) issued guidance under Accounting Standards Codification (“ASC”) 310-10, </w:t>
      </w:r>
      <w:r>
        <w:rPr>
          <w:rFonts w:ascii="Times New Roman" w:hAnsi="Times New Roman"/>
          <w:i/>
          <w:sz w:val="20"/>
        </w:rPr>
        <w:t xml:space="preserve">Disclosures about the Credit Quality of Financing Receivables and the Allowance for Credit Losses, </w:t>
      </w:r>
      <w:r>
        <w:rPr>
          <w:rFonts w:ascii="Times New Roman" w:hAnsi="Times New Roman"/>
          <w:sz w:val="20"/>
        </w:rPr>
        <w:t>that requires new disclosures to provide a greater level of disaggregated information about the credit quality of financing receivables, including credit quality indicators, past due information and modifications of financing receivables.  A rollforward schedule of the allowance for credit losses for the reporting period is also required.  Adoption of the guidance regarding disclosures as of the end of a reporting period may result in enhanced disclosures beginning with our Quarterly Report on Form 10-Q fo r the quarter ending January 31, 2011.  Adoption of the guidance regarding disclosures about activity that occurs during a reporting period are effective beginning with our Quarterly Report on Form 10-Q for the quarter ending April 30, 2011.  Adoption of this guidance may result in enhanced disclosures and will not have a material impact on the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January 2010, the FASB issued guidance under ASC 820-10, </w:t>
      </w:r>
      <w:r>
        <w:rPr>
          <w:rFonts w:ascii="Times New Roman" w:hAnsi="Times New Roman"/>
          <w:i/>
          <w:sz w:val="20"/>
        </w:rPr>
        <w:t xml:space="preserve">Fair Value Measurements and Disclosures: Improving Disclosures about Fair Value Measurements, </w:t>
      </w:r>
      <w:r>
        <w:rPr>
          <w:rFonts w:ascii="Times New Roman" w:hAnsi="Times New Roman"/>
          <w:sz w:val="20"/>
        </w:rPr>
        <w:t>that requires new disclosures related to Level 3 fair value measurements.  Adoption of this guidance may result in enhanced disclosures beginning with our Quarterly Report on Form 10-Q for the quarter ending October 31, 2011 and will not have a material impact on the Consolidated Financial Statements.</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4.</w:t>
      </w:r>
      <w:bookmarkStart w:id="209" w:name="TAB23"/>
      <w:bookmarkEnd w:id="209"/>
      <w:r>
        <w:rPr>
          <w:color w:val="000000"/>
          <w:spacing w:val="180"/>
        </w:rPr>
        <w:t> </w:t>
      </w:r>
      <w:r>
        <w:rPr>
          <w:rFonts w:ascii="Times New Roman" w:hAnsi="Times New Roman"/>
          <w:b/>
          <w:sz w:val="20"/>
        </w:rPr>
        <w:t>INVENTORIES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composition of inventories is as follows (in thousands of dollars):</w:t>
      </w:r>
    </w:p>
    <w:p>
      <w:pPr>
        <w:pStyle w:val="TextBody"/>
        <w:spacing w:before="0" w:after="0"/>
        <w:ind w:left="0" w:right="0" w:hanging="0"/>
        <w:rPr/>
      </w:pPr>
      <w:r>
        <w:rPr/>
      </w:r>
    </w:p>
    <w:tbl>
      <w:tblPr>
        <w:tblW w:w="3000" w:type="pct"/>
        <w:jc w:val="center"/>
        <w:tblInd w:w="0" w:type="dxa"/>
        <w:tblCellMar>
          <w:top w:w="0" w:type="dxa"/>
          <w:left w:w="0" w:type="dxa"/>
          <w:bottom w:w="0" w:type="dxa"/>
          <w:right w:w="0" w:type="dxa"/>
        </w:tblCellMar>
      </w:tblPr>
      <w:tblGrid>
        <w:gridCol w:w="3559"/>
        <w:gridCol w:w="102"/>
        <w:gridCol w:w="126"/>
        <w:gridCol w:w="946"/>
        <w:gridCol w:w="102"/>
        <w:gridCol w:w="102"/>
        <w:gridCol w:w="126"/>
        <w:gridCol w:w="946"/>
        <w:gridCol w:w="114"/>
      </w:tblGrid>
      <w:tr>
        <w:trPr/>
        <w:tc>
          <w:tcPr>
            <w:tcW w:w="355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31,</w:t>
            </w:r>
          </w:p>
        </w:tc>
        <w:tc>
          <w:tcPr>
            <w:tcW w:w="114" w:type="dxa"/>
            <w:tcBorders/>
            <w:shd w:fill="auto" w:val="clear"/>
            <w:vAlign w:val="bottom"/>
          </w:tcPr>
          <w:p>
            <w:pPr>
              <w:pStyle w:val="TableContents"/>
              <w:spacing w:before="0" w:after="283"/>
              <w:jc w:val="left"/>
              <w:rPr/>
            </w:pPr>
            <w:r>
              <w:rPr/>
              <w:t> </w:t>
            </w:r>
          </w:p>
        </w:tc>
      </w:tr>
      <w:tr>
        <w:trPr/>
        <w:tc>
          <w:tcPr>
            <w:tcW w:w="355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4" w:type="dxa"/>
            <w:tcBorders/>
            <w:shd w:fill="auto" w:val="clear"/>
            <w:vAlign w:val="bottom"/>
          </w:tcPr>
          <w:p>
            <w:pPr>
              <w:pStyle w:val="TableContents"/>
              <w:spacing w:before="0" w:after="283"/>
              <w:jc w:val="left"/>
              <w:rPr/>
            </w:pPr>
            <w:r>
              <w:rPr/>
              <w:t> </w:t>
            </w:r>
          </w:p>
        </w:tc>
      </w:tr>
      <w:tr>
        <w:trPr/>
        <w:tc>
          <w:tcPr>
            <w:tcW w:w="3559" w:type="dxa"/>
            <w:tcBorders/>
            <w:shd w:fill="CCEEFF"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Finished goods</w:t>
            </w:r>
          </w:p>
        </w:tc>
        <w:tc>
          <w:tcPr>
            <w:tcW w:w="10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283"/>
              <w:ind w:left="192" w:right="0" w:hanging="0"/>
              <w:jc w:val="right"/>
              <w:rPr>
                <w:rFonts w:ascii="times new roman" w:hAnsi="times new roman"/>
                <w:sz w:val="20"/>
              </w:rPr>
            </w:pPr>
            <w:bookmarkStart w:id="210" w:name="TAB1139"/>
            <w:bookmarkEnd w:id="210"/>
            <w:r>
              <w:rPr>
                <w:rFonts w:ascii="times new roman" w:hAnsi="times new roman"/>
                <w:sz w:val="20"/>
              </w:rPr>
              <w:t>10,690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283"/>
              <w:ind w:left="192" w:right="0" w:hanging="0"/>
              <w:jc w:val="right"/>
              <w:rPr>
                <w:rFonts w:ascii="times new roman" w:hAnsi="times new roman"/>
                <w:sz w:val="20"/>
              </w:rPr>
            </w:pPr>
            <w:bookmarkStart w:id="211" w:name="TAB1140"/>
            <w:bookmarkEnd w:id="211"/>
            <w:r>
              <w:rPr>
                <w:rFonts w:ascii="times new roman" w:hAnsi="times new roman"/>
                <w:sz w:val="20"/>
              </w:rPr>
              <w:t>9,834</w:t>
            </w:r>
          </w:p>
        </w:tc>
        <w:tc>
          <w:tcPr>
            <w:tcW w:w="114" w:type="dxa"/>
            <w:tcBorders/>
            <w:shd w:fill="CCEEFF" w:val="clear"/>
            <w:vAlign w:val="bottom"/>
          </w:tcPr>
          <w:p>
            <w:pPr>
              <w:pStyle w:val="TableContents"/>
              <w:spacing w:before="0" w:after="283"/>
              <w:jc w:val="left"/>
              <w:rPr/>
            </w:pPr>
            <w:r>
              <w:rPr/>
              <w:t> </w:t>
            </w:r>
          </w:p>
        </w:tc>
      </w:tr>
      <w:tr>
        <w:trPr/>
        <w:tc>
          <w:tcPr>
            <w:tcW w:w="35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Packaging</w:t>
            </w:r>
          </w:p>
        </w:tc>
        <w:tc>
          <w:tcPr>
            <w:tcW w:w="10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3,404</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ind w:left="448" w:right="0" w:hanging="0"/>
              <w:jc w:val="right"/>
              <w:rPr>
                <w:rFonts w:ascii="times new roman" w:hAnsi="times new roman"/>
                <w:sz w:val="20"/>
              </w:rPr>
            </w:pPr>
            <w:bookmarkStart w:id="212" w:name="TAB1141"/>
            <w:bookmarkEnd w:id="212"/>
            <w:r>
              <w:rPr>
                <w:rFonts w:ascii="times new roman" w:hAnsi="times new roman"/>
                <w:sz w:val="20"/>
              </w:rPr>
              <w:t>3,051</w:t>
            </w:r>
          </w:p>
        </w:tc>
        <w:tc>
          <w:tcPr>
            <w:tcW w:w="114" w:type="dxa"/>
            <w:tcBorders/>
            <w:shd w:fill="FFFFFF" w:val="clear"/>
            <w:vAlign w:val="bottom"/>
          </w:tcPr>
          <w:p>
            <w:pPr>
              <w:pStyle w:val="TableContents"/>
              <w:spacing w:before="0" w:after="283"/>
              <w:jc w:val="left"/>
              <w:rPr/>
            </w:pPr>
            <w:r>
              <w:rPr/>
              <w:t> </w:t>
            </w:r>
          </w:p>
        </w:tc>
      </w:tr>
      <w:tr>
        <w:trPr/>
        <w:tc>
          <w:tcPr>
            <w:tcW w:w="35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2"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3,202</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spacing w:before="0" w:after="283"/>
              <w:ind w:left="448" w:right="0" w:hanging="0"/>
              <w:jc w:val="right"/>
              <w:rPr>
                <w:rFonts w:ascii="times new roman" w:hAnsi="times new roman"/>
                <w:sz w:val="20"/>
              </w:rPr>
            </w:pPr>
            <w:bookmarkStart w:id="213" w:name="TAB1142"/>
            <w:bookmarkEnd w:id="213"/>
            <w:r>
              <w:rPr>
                <w:rFonts w:ascii="times new roman" w:hAnsi="times new roman"/>
                <w:sz w:val="20"/>
              </w:rPr>
              <w:t>3,138</w:t>
            </w:r>
          </w:p>
        </w:tc>
        <w:tc>
          <w:tcPr>
            <w:tcW w:w="114" w:type="dxa"/>
            <w:tcBorders/>
            <w:shd w:fill="CCEEFF" w:val="clear"/>
            <w:vAlign w:val="bottom"/>
          </w:tcPr>
          <w:p>
            <w:pPr>
              <w:pStyle w:val="TableContents"/>
              <w:spacing w:before="0" w:after="283"/>
              <w:jc w:val="left"/>
              <w:rPr/>
            </w:pPr>
            <w:r>
              <w:rPr/>
              <w:t> </w:t>
            </w:r>
          </w:p>
        </w:tc>
      </w:tr>
      <w:tr>
        <w:trPr/>
        <w:tc>
          <w:tcPr>
            <w:tcW w:w="355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FFFFFF" w:val="clear"/>
            <w:tcMar>
              <w:bottom w:w="28" w:type="dxa"/>
            </w:tcMar>
            <w:vAlign w:val="bottom"/>
          </w:tcPr>
          <w:p>
            <w:pPr>
              <w:pStyle w:val="TableContents"/>
              <w:spacing w:before="0" w:after="283"/>
              <w:ind w:left="192" w:right="0" w:hanging="0"/>
              <w:jc w:val="right"/>
              <w:rPr>
                <w:rFonts w:ascii="times new roman" w:hAnsi="times new roman"/>
                <w:sz w:val="20"/>
              </w:rPr>
            </w:pPr>
            <w:bookmarkStart w:id="214" w:name="TAB1143"/>
            <w:bookmarkEnd w:id="214"/>
            <w:r>
              <w:rPr>
                <w:rFonts w:ascii="times new roman" w:hAnsi="times new roman"/>
                <w:sz w:val="20"/>
              </w:rPr>
              <w:t>17,296</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FFFFFF" w:val="clear"/>
            <w:tcMar>
              <w:bottom w:w="28" w:type="dxa"/>
            </w:tcMar>
            <w:vAlign w:val="bottom"/>
          </w:tcPr>
          <w:p>
            <w:pPr>
              <w:pStyle w:val="TableContents"/>
              <w:spacing w:before="0" w:after="283"/>
              <w:ind w:left="192" w:right="0" w:hanging="0"/>
              <w:jc w:val="right"/>
              <w:rPr>
                <w:rFonts w:ascii="times new roman" w:hAnsi="times new roman"/>
                <w:sz w:val="20"/>
              </w:rPr>
            </w:pPr>
            <w:bookmarkStart w:id="215" w:name="TAB1144"/>
            <w:bookmarkEnd w:id="215"/>
            <w:r>
              <w:rPr>
                <w:rFonts w:ascii="times new roman" w:hAnsi="times new roman"/>
                <w:sz w:val="20"/>
              </w:rPr>
              <w:t>16,023</w:t>
            </w:r>
          </w:p>
        </w:tc>
        <w:tc>
          <w:tcPr>
            <w:tcW w:w="11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2010 and July 31, 2010 were $398,000 and $449,000, respectively.</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 w:name="PGBRK7"/>
      <w:bookmarkStart w:id="217" w:name="PGBRK7"/>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FTR7"/>
      <w:bookmarkStart w:id="219" w:name="FTR7"/>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0" w:name="GLFTR7"/>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1" w:name="PN7"/>
      <w:bookmarkEnd w:id="22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 w:name="HDR7"/>
      <w:bookmarkStart w:id="223" w:name="HDR7"/>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 w:name="GLHDR7"/>
      <w:bookmarkEnd w:id="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Fonts w:ascii="Times New Roman" w:hAnsi="Times New Roman"/>
          <w:b/>
          <w:sz w:val="20"/>
        </w:rPr>
        <w:t>5.</w:t>
      </w:r>
      <w:bookmarkStart w:id="225" w:name="TAB24"/>
      <w:bookmarkEnd w:id="225"/>
      <w:r>
        <w:rPr>
          <w:color w:val="000000"/>
          <w:spacing w:val="180"/>
        </w:rPr>
        <w:t> </w:t>
      </w:r>
      <w:r>
        <w:rPr>
          <w:rFonts w:ascii="Times New Roman" w:hAnsi="Times New Roman"/>
          <w:b/>
          <w:sz w:val="20"/>
        </w:rPr>
        <w:t>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w:t>
      </w:r>
    </w:p>
    <w:p>
      <w:pPr>
        <w:pStyle w:val="TextBody"/>
        <w:spacing w:before="0" w:after="0"/>
        <w:ind w:left="0" w:right="0" w:hanging="0"/>
        <w:rPr/>
      </w:pPr>
      <w:r>
        <w:rPr/>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305"/>
        <w:gridCol w:w="612"/>
        <w:gridCol w:w="9288"/>
      </w:tblGrid>
      <w:tr>
        <w:trPr/>
        <w:tc>
          <w:tcPr>
            <w:tcW w:w="305" w:type="dxa"/>
            <w:tcBorders/>
            <w:shd w:fill="FFFFFF" w:val="clear"/>
            <w:vAlign w:val="center"/>
          </w:tcPr>
          <w:p>
            <w:pPr>
              <w:pStyle w:val="TableContents"/>
              <w:spacing w:before="0" w:after="283"/>
              <w:rPr/>
            </w:pPr>
            <w:r>
              <w:rPr/>
              <w:t> </w:t>
            </w:r>
          </w:p>
        </w:tc>
        <w:tc>
          <w:tcPr>
            <w:tcW w:w="61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Level 1:</w:t>
            </w:r>
          </w:p>
        </w:tc>
        <w:tc>
          <w:tcPr>
            <w:tcW w:w="92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Financial assets and liabilities whose values are based on quoted market prices in active markets for identical assets or liabilities.</w:t>
            </w:r>
          </w:p>
        </w:tc>
      </w:tr>
      <w:tr>
        <w:trPr/>
        <w:tc>
          <w:tcPr>
            <w:tcW w:w="305" w:type="dxa"/>
            <w:tcBorders/>
            <w:shd w:fill="FFFFFF" w:val="clear"/>
            <w:vAlign w:val="center"/>
          </w:tcPr>
          <w:p>
            <w:pPr>
              <w:pStyle w:val="TableContents"/>
              <w:spacing w:before="0" w:after="283"/>
              <w:rPr/>
            </w:pPr>
            <w:r>
              <w:rPr/>
              <w:t> </w:t>
            </w:r>
          </w:p>
        </w:tc>
        <w:tc>
          <w:tcPr>
            <w:tcW w:w="61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Level 2:</w:t>
            </w:r>
          </w:p>
        </w:tc>
        <w:tc>
          <w:tcPr>
            <w:tcW w:w="92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Financial assets and liabilities whose values are based on:</w:t>
            </w:r>
          </w:p>
        </w:tc>
      </w:tr>
      <w:tr>
        <w:trPr/>
        <w:tc>
          <w:tcPr>
            <w:tcW w:w="305" w:type="dxa"/>
            <w:tcBorders/>
            <w:shd w:fill="FFFFFF" w:val="clear"/>
            <w:vAlign w:val="center"/>
          </w:tcPr>
          <w:p>
            <w:pPr>
              <w:pStyle w:val="TableContents"/>
              <w:spacing w:before="0" w:after="283"/>
              <w:rPr/>
            </w:pPr>
            <w:r>
              <w:rPr/>
              <w:t> </w:t>
            </w:r>
          </w:p>
        </w:tc>
        <w:tc>
          <w:tcPr>
            <w:tcW w:w="612" w:type="dxa"/>
            <w:tcBorders/>
            <w:shd w:fill="FFFFFF" w:val="clear"/>
            <w:vAlign w:val="center"/>
          </w:tcPr>
          <w:p>
            <w:pPr>
              <w:pStyle w:val="TableContents"/>
              <w:spacing w:before="0" w:after="283"/>
              <w:rPr/>
            </w:pPr>
            <w:r>
              <w:rPr/>
              <w:t> </w:t>
            </w:r>
          </w:p>
        </w:tc>
        <w:tc>
          <w:tcPr>
            <w:tcW w:w="9288" w:type="dxa"/>
            <w:tcBorders/>
            <w:shd w:fill="FFFFFF" w:val="clear"/>
            <w:vAlign w:val="center"/>
          </w:tcPr>
          <w:p>
            <w:pPr>
              <w:pStyle w:val="TableContents"/>
              <w:spacing w:before="0" w:after="283"/>
              <w:rPr/>
            </w:pPr>
            <w:r>
              <w:rPr/>
              <w:t> </w:t>
            </w:r>
            <w:r>
              <w:rPr>
                <w:rFonts w:ascii="times new roman" w:hAnsi="times new roman"/>
                <w:sz w:val="20"/>
              </w:rPr>
              <w:t>1)  Quoted prices for similar assets or liabilities in active markets.</w:t>
            </w:r>
          </w:p>
        </w:tc>
      </w:tr>
      <w:tr>
        <w:trPr/>
        <w:tc>
          <w:tcPr>
            <w:tcW w:w="305" w:type="dxa"/>
            <w:tcBorders/>
            <w:shd w:fill="FFFFFF" w:val="clear"/>
            <w:vAlign w:val="center"/>
          </w:tcPr>
          <w:p>
            <w:pPr>
              <w:pStyle w:val="TableContents"/>
              <w:spacing w:before="0" w:after="283"/>
              <w:rPr/>
            </w:pPr>
            <w:r>
              <w:rPr/>
              <w:t> </w:t>
            </w:r>
          </w:p>
        </w:tc>
        <w:tc>
          <w:tcPr>
            <w:tcW w:w="612" w:type="dxa"/>
            <w:tcBorders/>
            <w:shd w:fill="FFFFFF" w:val="clear"/>
            <w:vAlign w:val="center"/>
          </w:tcPr>
          <w:p>
            <w:pPr>
              <w:pStyle w:val="TableContents"/>
              <w:spacing w:before="0" w:after="283"/>
              <w:rPr/>
            </w:pPr>
            <w:r>
              <w:rPr/>
              <w:t> </w:t>
            </w:r>
          </w:p>
        </w:tc>
        <w:tc>
          <w:tcPr>
            <w:tcW w:w="9288" w:type="dxa"/>
            <w:tcBorders/>
            <w:shd w:fill="FFFFFF" w:val="clear"/>
            <w:vAlign w:val="center"/>
          </w:tcPr>
          <w:p>
            <w:pPr>
              <w:pStyle w:val="TableContents"/>
              <w:spacing w:before="0" w:after="283"/>
              <w:rPr/>
            </w:pPr>
            <w:r>
              <w:rPr/>
              <w:t> </w:t>
            </w:r>
            <w:r>
              <w:rPr>
                <w:rFonts w:ascii="times new roman" w:hAnsi="times new roman"/>
                <w:sz w:val="20"/>
              </w:rPr>
              <w:t>2)  Quoted prices for identical or similar assets or liabilities in markets that are not active</w:t>
            </w:r>
          </w:p>
        </w:tc>
      </w:tr>
      <w:tr>
        <w:trPr/>
        <w:tc>
          <w:tcPr>
            <w:tcW w:w="305" w:type="dxa"/>
            <w:tcBorders/>
            <w:shd w:fill="FFFFFF" w:val="clear"/>
            <w:vAlign w:val="center"/>
          </w:tcPr>
          <w:p>
            <w:pPr>
              <w:pStyle w:val="TableContents"/>
              <w:spacing w:before="0" w:after="283"/>
              <w:rPr/>
            </w:pPr>
            <w:r>
              <w:rPr/>
              <w:t> </w:t>
            </w:r>
          </w:p>
        </w:tc>
        <w:tc>
          <w:tcPr>
            <w:tcW w:w="612" w:type="dxa"/>
            <w:tcBorders/>
            <w:shd w:fill="FFFFFF" w:val="clear"/>
            <w:vAlign w:val="center"/>
          </w:tcPr>
          <w:p>
            <w:pPr>
              <w:pStyle w:val="TableContents"/>
              <w:spacing w:before="0" w:after="283"/>
              <w:rPr/>
            </w:pPr>
            <w:r>
              <w:rPr/>
              <w:t> </w:t>
            </w:r>
          </w:p>
        </w:tc>
        <w:tc>
          <w:tcPr>
            <w:tcW w:w="9288" w:type="dxa"/>
            <w:tcBorders/>
            <w:shd w:fill="FFFFFF" w:val="clear"/>
            <w:vAlign w:val="center"/>
          </w:tcPr>
          <w:p>
            <w:pPr>
              <w:pStyle w:val="TableContents"/>
              <w:spacing w:before="0" w:after="283"/>
              <w:rPr/>
            </w:pPr>
            <w:r>
              <w:rPr/>
              <w:t> </w:t>
            </w:r>
            <w:r>
              <w:rPr>
                <w:rFonts w:ascii="times new roman" w:hAnsi="times new roman"/>
                <w:sz w:val="20"/>
              </w:rPr>
              <w:t>3)  Valuation models whose inputs are observable, directly or indirectly, for substantially the full term of the asset or liability.</w:t>
            </w:r>
          </w:p>
        </w:tc>
      </w:tr>
      <w:tr>
        <w:trPr/>
        <w:tc>
          <w:tcPr>
            <w:tcW w:w="305" w:type="dxa"/>
            <w:tcBorders/>
            <w:shd w:fill="FFFFFF" w:val="clear"/>
            <w:vAlign w:val="center"/>
          </w:tcPr>
          <w:p>
            <w:pPr>
              <w:pStyle w:val="TableContents"/>
              <w:spacing w:before="0" w:after="283"/>
              <w:rPr/>
            </w:pPr>
            <w:r>
              <w:rPr/>
              <w:t> </w:t>
            </w:r>
          </w:p>
        </w:tc>
        <w:tc>
          <w:tcPr>
            <w:tcW w:w="61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Level 3:</w:t>
            </w:r>
          </w:p>
        </w:tc>
        <w:tc>
          <w:tcPr>
            <w:tcW w:w="92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tc>
      </w:tr>
    </w:tbl>
    <w:p>
      <w:pPr>
        <w:pStyle w:val="TextBody"/>
        <w:spacing w:before="0" w:after="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our financial assets and liabilities that were measured at fair value by level within the fair value hierarchy:</w:t>
      </w:r>
    </w:p>
    <w:p>
      <w:pPr>
        <w:pStyle w:val="TextBody"/>
        <w:spacing w:before="0" w:after="0"/>
        <w:ind w:left="0" w:right="0" w:hanging="0"/>
        <w:rPr/>
      </w:pPr>
      <w:r>
        <w:rPr/>
      </w:r>
    </w:p>
    <w:tbl>
      <w:tblPr>
        <w:tblW w:w="3000" w:type="pct"/>
        <w:jc w:val="center"/>
        <w:tblInd w:w="0" w:type="dxa"/>
        <w:tblCellMar>
          <w:top w:w="0" w:type="dxa"/>
          <w:left w:w="0" w:type="dxa"/>
          <w:bottom w:w="0" w:type="dxa"/>
          <w:right w:w="0" w:type="dxa"/>
        </w:tblCellMar>
      </w:tblPr>
      <w:tblGrid>
        <w:gridCol w:w="2841"/>
        <w:gridCol w:w="90"/>
        <w:gridCol w:w="125"/>
        <w:gridCol w:w="784"/>
        <w:gridCol w:w="90"/>
        <w:gridCol w:w="90"/>
        <w:gridCol w:w="125"/>
        <w:gridCol w:w="783"/>
        <w:gridCol w:w="90"/>
        <w:gridCol w:w="90"/>
        <w:gridCol w:w="125"/>
        <w:gridCol w:w="784"/>
        <w:gridCol w:w="106"/>
      </w:tblGrid>
      <w:tr>
        <w:trPr/>
        <w:tc>
          <w:tcPr>
            <w:tcW w:w="2841"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308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Fair Value at October 31, 2010</w:t>
            </w:r>
          </w:p>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tc>
        <w:tc>
          <w:tcPr>
            <w:tcW w:w="106" w:type="dxa"/>
            <w:tcBorders/>
            <w:shd w:fill="auto" w:val="clear"/>
            <w:vAlign w:val="bottom"/>
          </w:tcPr>
          <w:p>
            <w:pPr>
              <w:pStyle w:val="TableContents"/>
              <w:spacing w:before="0" w:after="283"/>
              <w:jc w:val="left"/>
              <w:rPr/>
            </w:pPr>
            <w:r>
              <w:rPr/>
              <w:t> </w:t>
            </w:r>
          </w:p>
        </w:tc>
      </w:tr>
      <w:tr>
        <w:trPr/>
        <w:tc>
          <w:tcPr>
            <w:tcW w:w="2841"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9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9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Level 1</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9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Level 2</w:t>
            </w:r>
          </w:p>
        </w:tc>
        <w:tc>
          <w:tcPr>
            <w:tcW w:w="106" w:type="dxa"/>
            <w:tcBorders/>
            <w:shd w:fill="auto" w:val="clear"/>
            <w:vAlign w:val="bottom"/>
          </w:tcPr>
          <w:p>
            <w:pPr>
              <w:pStyle w:val="TableContents"/>
              <w:spacing w:before="0" w:after="283"/>
              <w:jc w:val="left"/>
              <w:rPr/>
            </w:pPr>
            <w:r>
              <w:rPr/>
              <w:t> </w:t>
            </w:r>
          </w:p>
        </w:tc>
      </w:tr>
      <w:tr>
        <w:trPr/>
        <w:tc>
          <w:tcPr>
            <w:tcW w:w="2841"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Assets</w:t>
            </w:r>
          </w:p>
        </w:tc>
        <w:tc>
          <w:tcPr>
            <w:tcW w:w="90" w:type="dxa"/>
            <w:tcBorders/>
            <w:shd w:fill="auto" w:val="clear"/>
            <w:vAlign w:val="bottom"/>
          </w:tcPr>
          <w:p>
            <w:pPr>
              <w:pStyle w:val="TableContents"/>
              <w:spacing w:before="0" w:after="283"/>
              <w:rPr/>
            </w:pPr>
            <w:r>
              <w:rPr/>
              <w:t> </w:t>
            </w:r>
          </w:p>
        </w:tc>
        <w:tc>
          <w:tcPr>
            <w:tcW w:w="909"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909"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r>
      <w:tr>
        <w:trPr/>
        <w:tc>
          <w:tcPr>
            <w:tcW w:w="284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equivalents</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8,651</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8,651</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r>
      <w:tr>
        <w:trPr/>
        <w:tc>
          <w:tcPr>
            <w:tcW w:w="2841"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Marketable equity securities</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8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r>
      <w:tr>
        <w:trPr/>
        <w:tc>
          <w:tcPr>
            <w:tcW w:w="284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surrender value of life insurance</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3,877</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3,877</w:t>
            </w:r>
          </w:p>
        </w:tc>
        <w:tc>
          <w:tcPr>
            <w:tcW w:w="106" w:type="dxa"/>
            <w:tcBorders/>
            <w:shd w:fill="CCEEFF" w:val="clear"/>
            <w:vAlign w:val="bottom"/>
          </w:tcPr>
          <w:p>
            <w:pPr>
              <w:pStyle w:val="TableContents"/>
              <w:spacing w:before="0" w:after="283"/>
              <w:jc w:val="left"/>
              <w:rPr/>
            </w:pPr>
            <w:r>
              <w:rPr/>
              <w:t> </w:t>
            </w:r>
          </w:p>
        </w:tc>
      </w:tr>
      <w:tr>
        <w:trPr/>
        <w:tc>
          <w:tcPr>
            <w:tcW w:w="2841" w:type="dxa"/>
            <w:tcBorders/>
            <w:shd w:fill="FFFFFF" w:val="clear"/>
            <w:vAlign w:val="bottom"/>
          </w:tcPr>
          <w:p>
            <w:pPr>
              <w:pStyle w:val="TableContents"/>
              <w:spacing w:before="0" w:after="283"/>
              <w:rPr/>
            </w:pPr>
            <w:r>
              <w:rPr/>
              <w:t xml:space="preserve">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84"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83"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84"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equivalents are classified as Level 1 of the fair value hierarchy because they were valued using quoted market prices in active markets.  These cash instruments are primarily money market mutual funds.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key employees as of October 31, 2010.  The cash surrender value of life insurance is included in other assets on the condensed Consolidated Balance Sheets.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investment in short-term securities on the Consolidated Balance Sheets includes U.S. Treasury securities, certificates of deposit and debt securities.  We have the ability to hold our investment in short-term securities to maturity and intend to do so; therefore, these investments were reported at amortized cost on the Consolidated Balance sheets, which approximated fair value as of October 31, 2010, and these balances are excluded from the above table.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receivable and accounts payable balances on the Consolidated Balance Sheets approximate their fair values at October 31, 2010 due to the short maturity and nature of those balances; therefore, these balances are excluded from the above table.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carrying values of notes payable approximated their fair values at October 31, 2010 and are not included in the above table.  The estimated fair value of long-term debt, including current maturities, was approximately $17,180,000 as of October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apply fair value techniques on a non-recurring basis associated with: (1) valuing potential impairment loss related to goodwill and indefinite-lived intangible assets and (2) valuing potential impairment loss related to long-lived assets.</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8"/>
      <w:bookmarkStart w:id="227" w:name="PGBRK8"/>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8"/>
      <w:bookmarkStart w:id="229" w:name="FTR8"/>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0" w:name="GLFTR8"/>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8"/>
      <w:bookmarkEnd w:id="231"/>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8"/>
      <w:bookmarkStart w:id="233" w:name="HDR8"/>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4" w:name="GLHDR8"/>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rPr/>
      </w:pPr>
      <w:r>
        <w:rPr>
          <w:rFonts w:ascii="Times New Roman" w:hAnsi="Times New Roman"/>
          <w:b/>
          <w:sz w:val="20"/>
        </w:rPr>
        <w:t>6.</w:t>
      </w:r>
      <w:bookmarkStart w:id="235" w:name="TAB25"/>
      <w:bookmarkEnd w:id="235"/>
      <w:r>
        <w:rPr>
          <w:color w:val="000000"/>
          <w:spacing w:val="180"/>
        </w:rPr>
        <w:t> </w:t>
      </w:r>
      <w:r>
        <w:rPr>
          <w:rFonts w:ascii="Times New Roman" w:hAnsi="Times New Roman"/>
          <w:b/>
          <w:sz w:val="20"/>
        </w:rPr>
        <w:t>PENSION AND OTHER POST RETIREMENT BENEFITS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components of net periodic pension benefits cost of our sponsored defined benefit plans were as follows:</w:t>
      </w:r>
    </w:p>
    <w:p>
      <w:pPr>
        <w:pStyle w:val="TextBody"/>
        <w:spacing w:before="0" w:after="0"/>
        <w:ind w:left="0" w:right="0" w:hanging="0"/>
        <w:rPr/>
      </w:pPr>
      <w:r>
        <w:rPr/>
      </w:r>
    </w:p>
    <w:tbl>
      <w:tblPr>
        <w:tblW w:w="2500" w:type="pct"/>
        <w:jc w:val="left"/>
        <w:tblInd w:w="0" w:type="dxa"/>
        <w:tblCellMar>
          <w:top w:w="0" w:type="dxa"/>
          <w:left w:w="0" w:type="dxa"/>
          <w:bottom w:w="0" w:type="dxa"/>
          <w:right w:w="0" w:type="dxa"/>
        </w:tblCellMar>
      </w:tblPr>
      <w:tblGrid>
        <w:gridCol w:w="2727"/>
        <w:gridCol w:w="93"/>
        <w:gridCol w:w="185"/>
        <w:gridCol w:w="794"/>
        <w:gridCol w:w="108"/>
        <w:gridCol w:w="93"/>
        <w:gridCol w:w="185"/>
        <w:gridCol w:w="794"/>
        <w:gridCol w:w="123"/>
      </w:tblGrid>
      <w:tr>
        <w:trPr/>
        <w:tc>
          <w:tcPr>
            <w:tcW w:w="2727"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2159"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PLANS</w:t>
            </w:r>
          </w:p>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23" w:type="dxa"/>
            <w:tcBorders/>
            <w:shd w:fill="auto" w:val="clear"/>
            <w:vAlign w:val="bottom"/>
          </w:tcPr>
          <w:p>
            <w:pPr>
              <w:pStyle w:val="TableContents"/>
              <w:spacing w:before="0" w:after="283"/>
              <w:jc w:val="left"/>
              <w:rPr/>
            </w:pPr>
            <w:r>
              <w:rPr/>
              <w:t> </w:t>
            </w:r>
          </w:p>
        </w:tc>
      </w:tr>
      <w:tr>
        <w:trPr/>
        <w:tc>
          <w:tcPr>
            <w:tcW w:w="2727"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979"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979"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2727"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9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8"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9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shd w:fill="auto" w:val="clear"/>
            <w:vAlign w:val="bottom"/>
          </w:tcPr>
          <w:p>
            <w:pPr>
              <w:pStyle w:val="TableContents"/>
              <w:spacing w:before="0" w:after="283"/>
              <w:jc w:val="left"/>
              <w:rPr/>
            </w:pPr>
            <w:r>
              <w:rPr/>
              <w:t> </w:t>
            </w:r>
          </w:p>
        </w:tc>
      </w:tr>
      <w:tr>
        <w:trPr/>
        <w:tc>
          <w:tcPr>
            <w:tcW w:w="272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Components of net periodic pension benefit cost:</w:t>
            </w:r>
          </w:p>
        </w:tc>
        <w:tc>
          <w:tcPr>
            <w:tcW w:w="93" w:type="dxa"/>
            <w:tcBorders/>
            <w:shd w:fill="auto" w:val="clear"/>
            <w:vAlign w:val="bottom"/>
          </w:tcPr>
          <w:p>
            <w:pPr>
              <w:pStyle w:val="TableContents"/>
              <w:spacing w:before="0" w:after="283"/>
              <w:rPr/>
            </w:pPr>
            <w:r>
              <w:rPr/>
              <w:t> </w:t>
            </w:r>
          </w:p>
        </w:tc>
        <w:tc>
          <w:tcPr>
            <w:tcW w:w="979"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979"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27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93"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08"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ind w:left="225" w:right="0" w:hanging="0"/>
              <w:jc w:val="right"/>
              <w:rPr>
                <w:rFonts w:ascii="times new roman" w:hAnsi="times new roman"/>
                <w:sz w:val="20"/>
              </w:rPr>
            </w:pPr>
            <w:bookmarkStart w:id="236" w:name="TAB1145"/>
            <w:bookmarkEnd w:id="236"/>
            <w:r>
              <w:rPr>
                <w:rFonts w:ascii="times new roman" w:hAnsi="times new roman"/>
                <w:sz w:val="20"/>
              </w:rPr>
              <w:t>268</w:t>
            </w:r>
          </w:p>
        </w:tc>
        <w:tc>
          <w:tcPr>
            <w:tcW w:w="123" w:type="dxa"/>
            <w:tcBorders/>
            <w:shd w:fill="CCEEFF" w:val="clear"/>
            <w:vAlign w:val="bottom"/>
          </w:tcPr>
          <w:p>
            <w:pPr>
              <w:pStyle w:val="TableContents"/>
              <w:spacing w:before="0" w:after="283"/>
              <w:jc w:val="left"/>
              <w:rPr/>
            </w:pPr>
            <w:r>
              <w:rPr/>
              <w:t> </w:t>
            </w:r>
          </w:p>
        </w:tc>
      </w:tr>
      <w:tr>
        <w:trPr/>
        <w:tc>
          <w:tcPr>
            <w:tcW w:w="27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93"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c>
          <w:tcPr>
            <w:tcW w:w="7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108"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794" w:type="dxa"/>
            <w:tcBorders/>
            <w:shd w:fill="FFFFFF" w:val="clear"/>
            <w:vAlign w:val="bottom"/>
          </w:tcPr>
          <w:p>
            <w:pPr>
              <w:pStyle w:val="TableContents"/>
              <w:spacing w:before="0" w:after="283"/>
              <w:ind w:left="612" w:right="0" w:hanging="0"/>
              <w:jc w:val="right"/>
              <w:rPr>
                <w:rFonts w:ascii="times new roman" w:hAnsi="times new roman"/>
                <w:sz w:val="20"/>
              </w:rPr>
            </w:pPr>
            <w:bookmarkStart w:id="237" w:name="TAB1146"/>
            <w:bookmarkEnd w:id="237"/>
            <w:r>
              <w:rPr>
                <w:rFonts w:ascii="times new roman" w:hAnsi="times new roman"/>
                <w:sz w:val="20"/>
              </w:rPr>
              <w:t>456</w:t>
            </w:r>
          </w:p>
        </w:tc>
        <w:tc>
          <w:tcPr>
            <w:tcW w:w="123" w:type="dxa"/>
            <w:tcBorders/>
            <w:shd w:fill="FFFFFF" w:val="clear"/>
            <w:vAlign w:val="bottom"/>
          </w:tcPr>
          <w:p>
            <w:pPr>
              <w:pStyle w:val="TableContents"/>
              <w:spacing w:before="0" w:after="283"/>
              <w:jc w:val="left"/>
              <w:rPr/>
            </w:pPr>
            <w:r>
              <w:rPr/>
              <w:t> </w:t>
            </w:r>
          </w:p>
        </w:tc>
      </w:tr>
      <w:tr>
        <w:trPr/>
        <w:tc>
          <w:tcPr>
            <w:tcW w:w="27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return on plan assets</w:t>
            </w:r>
          </w:p>
        </w:tc>
        <w:tc>
          <w:tcPr>
            <w:tcW w:w="93"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794" w:type="dxa"/>
            <w:tcBorders/>
            <w:shd w:fill="CCEEFF" w:val="clear"/>
            <w:vAlign w:val="bottom"/>
          </w:tcPr>
          <w:p>
            <w:pPr>
              <w:pStyle w:val="TableContents"/>
              <w:spacing w:before="0" w:after="283"/>
              <w:ind w:left="411" w:right="0" w:hanging="0"/>
              <w:jc w:val="right"/>
              <w:rPr>
                <w:rFonts w:ascii="times new roman" w:hAnsi="times new roman"/>
                <w:sz w:val="20"/>
              </w:rPr>
            </w:pPr>
            <w:bookmarkStart w:id="238" w:name="TAB1147"/>
            <w:bookmarkEnd w:id="238"/>
            <w:r>
              <w:rPr>
                <w:rFonts w:ascii="times new roman" w:hAnsi="times new roman"/>
                <w:sz w:val="20"/>
              </w:rPr>
              <w:t>(318</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794" w:type="dxa"/>
            <w:tcBorders/>
            <w:shd w:fill="CCEEFF" w:val="clear"/>
            <w:vAlign w:val="bottom"/>
          </w:tcPr>
          <w:p>
            <w:pPr>
              <w:pStyle w:val="TableContents"/>
              <w:spacing w:before="0" w:after="283"/>
              <w:ind w:left="522" w:right="0" w:hanging="0"/>
              <w:jc w:val="right"/>
              <w:rPr>
                <w:rFonts w:ascii="times new roman" w:hAnsi="times new roman"/>
                <w:sz w:val="20"/>
              </w:rPr>
            </w:pPr>
            <w:bookmarkStart w:id="239" w:name="TAB1148"/>
            <w:bookmarkEnd w:id="239"/>
            <w:r>
              <w:rPr>
                <w:rFonts w:ascii="times new roman" w:hAnsi="times new roman"/>
                <w:sz w:val="20"/>
              </w:rPr>
              <w:t>(366</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amortization</w:t>
            </w:r>
          </w:p>
        </w:tc>
        <w:tc>
          <w:tcPr>
            <w:tcW w:w="93" w:type="dxa"/>
            <w:tcBorders/>
            <w:shd w:fill="FFFFFF" w:val="clear"/>
            <w:vAlign w:val="bottom"/>
          </w:tcPr>
          <w:p>
            <w:pPr>
              <w:pStyle w:val="TableContents"/>
              <w:spacing w:before="0" w:after="283"/>
              <w:jc w:val="righ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08"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4" w:type="dxa"/>
            <w:tcBorders>
              <w:bottom w:val="single" w:sz="12" w:space="0" w:color="000000"/>
            </w:tcBorders>
            <w:shd w:fill="FFFFFF" w:val="clear"/>
            <w:tcMar>
              <w:bottom w:w="28" w:type="dxa"/>
            </w:tcMar>
            <w:vAlign w:val="bottom"/>
          </w:tcPr>
          <w:p>
            <w:pPr>
              <w:pStyle w:val="TableContents"/>
              <w:spacing w:before="0" w:after="283"/>
              <w:ind w:left="702" w:right="0" w:hanging="0"/>
              <w:jc w:val="right"/>
              <w:rPr>
                <w:rFonts w:ascii="times new roman" w:hAnsi="times new roman"/>
                <w:sz w:val="20"/>
              </w:rPr>
            </w:pPr>
            <w:bookmarkStart w:id="240" w:name="TAB1149"/>
            <w:bookmarkEnd w:id="240"/>
            <w:r>
              <w:rPr>
                <w:rFonts w:ascii="times new roman" w:hAnsi="times new roman"/>
                <w:sz w:val="20"/>
              </w:rPr>
              <w:t>78</w:t>
            </w:r>
          </w:p>
        </w:tc>
        <w:tc>
          <w:tcPr>
            <w:tcW w:w="123" w:type="dxa"/>
            <w:tcBorders/>
            <w:shd w:fill="FFFFFF" w:val="clear"/>
            <w:vAlign w:val="bottom"/>
          </w:tcPr>
          <w:p>
            <w:pPr>
              <w:pStyle w:val="TableContents"/>
              <w:spacing w:before="0" w:after="283"/>
              <w:jc w:val="left"/>
              <w:rPr/>
            </w:pPr>
            <w:r>
              <w:rPr/>
              <w:t> </w:t>
            </w:r>
          </w:p>
        </w:tc>
      </w:tr>
      <w:tr>
        <w:trPr/>
        <w:tc>
          <w:tcPr>
            <w:tcW w:w="2727" w:type="dxa"/>
            <w:tcBorders/>
            <w:shd w:fill="CCEEFF" w:val="clear"/>
            <w:vAlign w:val="bottom"/>
          </w:tcPr>
          <w:p>
            <w:pPr>
              <w:pStyle w:val="TableContents"/>
              <w:spacing w:before="0" w:after="283"/>
              <w:rPr/>
            </w:pPr>
            <w:r>
              <w:rPr/>
              <w:t xml:space="preserve">  </w:t>
            </w:r>
          </w:p>
        </w:tc>
        <w:tc>
          <w:tcPr>
            <w:tcW w:w="93" w:type="dxa"/>
            <w:tcBorders/>
            <w:shd w:fill="CCEEFF" w:val="clear"/>
            <w:vAlign w:val="bottom"/>
          </w:tcPr>
          <w:p>
            <w:pPr>
              <w:pStyle w:val="TableContents"/>
              <w:spacing w:before="0" w:after="283"/>
              <w:jc w:val="righ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w:t>
            </w:r>
          </w:p>
        </w:tc>
        <w:tc>
          <w:tcPr>
            <w:tcW w:w="108"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sz w:val="20"/>
              </w:rPr>
            </w:pPr>
            <w:bookmarkStart w:id="241" w:name="TAB1150"/>
            <w:bookmarkEnd w:id="241"/>
            <w:r>
              <w:rPr>
                <w:rFonts w:ascii="times new roman" w:hAnsi="times new roman"/>
                <w:sz w:val="20"/>
              </w:rPr>
              <w:t>436</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funded the plan based upon actuarially determined contributions that take into account the normal cost and the minimum and maximum contribution requirements of various regulations.  We did not make a contribution to our pension plan during the first quarter ended October 31, 2010.  We intend to make a contribution to the pension plan during the current fiscal year approximately equal to the annual actuarial determined cost.  We currently estimate this amount to be approximately $920,000.  See Item 3. Quantitative and Qualitative Disclosures About Market Risk for a discussion of the potential impact of financial market fluctuations on pension plan assets and future funding contributions.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components of the net periodic postretirement health benefit cost were as follows:</w:t>
      </w:r>
    </w:p>
    <w:p>
      <w:pPr>
        <w:pStyle w:val="TextBody"/>
        <w:spacing w:before="0" w:after="0"/>
        <w:ind w:left="0" w:right="0" w:hanging="0"/>
        <w:rPr/>
      </w:pPr>
      <w:r>
        <w:rPr/>
      </w:r>
    </w:p>
    <w:tbl>
      <w:tblPr>
        <w:tblW w:w="3000" w:type="pct"/>
        <w:jc w:val="left"/>
        <w:tblInd w:w="0" w:type="dxa"/>
        <w:tblCellMar>
          <w:top w:w="0" w:type="dxa"/>
          <w:left w:w="0" w:type="dxa"/>
          <w:bottom w:w="0" w:type="dxa"/>
          <w:right w:w="0" w:type="dxa"/>
        </w:tblCellMar>
      </w:tblPr>
      <w:tblGrid>
        <w:gridCol w:w="3349"/>
        <w:gridCol w:w="108"/>
        <w:gridCol w:w="295"/>
        <w:gridCol w:w="838"/>
        <w:gridCol w:w="138"/>
        <w:gridCol w:w="138"/>
        <w:gridCol w:w="292"/>
        <w:gridCol w:w="840"/>
        <w:gridCol w:w="125"/>
      </w:tblGrid>
      <w:tr>
        <w:trPr/>
        <w:tc>
          <w:tcPr>
            <w:tcW w:w="334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541"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POST RETIREMENT </w:t>
            </w:r>
          </w:p>
          <w:p>
            <w:pPr>
              <w:pStyle w:val="TableContents"/>
              <w:spacing w:before="0" w:after="0"/>
              <w:ind w:left="0" w:right="0" w:hanging="0"/>
              <w:jc w:val="center"/>
              <w:rPr>
                <w:rFonts w:ascii="times new roman" w:hAnsi="times new roman"/>
                <w:b/>
                <w:sz w:val="20"/>
              </w:rPr>
            </w:pPr>
            <w:r>
              <w:rPr>
                <w:rFonts w:ascii="times new roman" w:hAnsi="times new roman"/>
                <w:b/>
                <w:sz w:val="20"/>
              </w:rPr>
              <w:t>HEALTH BENEFITS</w:t>
            </w:r>
          </w:p>
        </w:tc>
        <w:tc>
          <w:tcPr>
            <w:tcW w:w="125" w:type="dxa"/>
            <w:tcBorders/>
            <w:shd w:fill="auto" w:val="clear"/>
            <w:vAlign w:val="bottom"/>
          </w:tcPr>
          <w:p>
            <w:pPr>
              <w:pStyle w:val="TableContents"/>
              <w:spacing w:before="0" w:after="283"/>
              <w:jc w:val="left"/>
              <w:rPr/>
            </w:pPr>
            <w:r>
              <w:rPr/>
              <w:t> </w:t>
            </w:r>
          </w:p>
        </w:tc>
      </w:tr>
      <w:tr>
        <w:trPr/>
        <w:tc>
          <w:tcPr>
            <w:tcW w:w="334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541"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25" w:type="dxa"/>
            <w:tcBorders/>
            <w:shd w:fill="auto" w:val="clear"/>
            <w:vAlign w:val="bottom"/>
          </w:tcPr>
          <w:p>
            <w:pPr>
              <w:pStyle w:val="TableContents"/>
              <w:spacing w:before="0" w:after="283"/>
              <w:jc w:val="left"/>
              <w:rPr/>
            </w:pPr>
            <w:r>
              <w:rPr/>
              <w:t> </w:t>
            </w:r>
          </w:p>
        </w:tc>
      </w:tr>
      <w:tr>
        <w:trPr/>
        <w:tc>
          <w:tcPr>
            <w:tcW w:w="334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38"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11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5" w:type="dxa"/>
            <w:tcBorders/>
            <w:shd w:fill="auto" w:val="clear"/>
            <w:vAlign w:val="bottom"/>
          </w:tcPr>
          <w:p>
            <w:pPr>
              <w:pStyle w:val="TableContents"/>
              <w:spacing w:before="0" w:after="283"/>
              <w:jc w:val="left"/>
              <w:rPr/>
            </w:pPr>
            <w:r>
              <w:rPr/>
              <w:t> </w:t>
            </w:r>
          </w:p>
        </w:tc>
      </w:tr>
      <w:tr>
        <w:trPr/>
        <w:tc>
          <w:tcPr>
            <w:tcW w:w="334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Components of net periodic postretirement benefit cost</w:t>
            </w:r>
          </w:p>
        </w:tc>
        <w:tc>
          <w:tcPr>
            <w:tcW w:w="108" w:type="dxa"/>
            <w:tcBorders/>
            <w:shd w:fill="auto" w:val="clear"/>
            <w:vAlign w:val="bottom"/>
          </w:tcPr>
          <w:p>
            <w:pPr>
              <w:pStyle w:val="TableContents"/>
              <w:spacing w:before="0" w:after="283"/>
              <w:rPr/>
            </w:pPr>
            <w:r>
              <w:rPr/>
              <w:t> </w:t>
            </w:r>
          </w:p>
        </w:tc>
        <w:tc>
          <w:tcPr>
            <w:tcW w:w="2541"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tc>
        <w:tc>
          <w:tcPr>
            <w:tcW w:w="125" w:type="dxa"/>
            <w:tcBorders/>
            <w:shd w:fill="auto" w:val="clear"/>
            <w:vAlign w:val="bottom"/>
          </w:tcPr>
          <w:p>
            <w:pPr>
              <w:pStyle w:val="TableContents"/>
              <w:spacing w:before="0" w:after="283"/>
              <w:jc w:val="left"/>
              <w:rPr/>
            </w:pPr>
            <w:r>
              <w:rPr/>
              <w:t> </w:t>
            </w:r>
          </w:p>
        </w:tc>
      </w:tr>
      <w:tr>
        <w:trPr/>
        <w:tc>
          <w:tcPr>
            <w:tcW w:w="334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08" w:type="dxa"/>
            <w:tcBorders/>
            <w:shd w:fill="CCEEFF" w:val="clear"/>
            <w:vAlign w:val="bottom"/>
          </w:tcPr>
          <w:p>
            <w:pPr>
              <w:pStyle w:val="TableContents"/>
              <w:spacing w:before="0" w:after="283"/>
              <w:jc w:val="right"/>
              <w:rPr/>
            </w:pPr>
            <w:r>
              <w:rPr/>
              <w:t> </w:t>
            </w:r>
          </w:p>
        </w:tc>
        <w:tc>
          <w:tcPr>
            <w:tcW w:w="2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38" w:type="dxa"/>
            <w:tcBorders/>
            <w:shd w:fill="CCEEFF" w:val="clear"/>
            <w:vAlign w:val="bottom"/>
          </w:tcPr>
          <w:p>
            <w:pPr>
              <w:pStyle w:val="TableContents"/>
              <w:spacing w:before="0" w:after="283"/>
              <w:jc w:val="left"/>
              <w:rPr/>
            </w:pPr>
            <w:r>
              <w:rPr/>
              <w:t> </w:t>
            </w:r>
          </w:p>
        </w:tc>
        <w:tc>
          <w:tcPr>
            <w:tcW w:w="138"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CCEEFF" w:val="clear"/>
            <w:vAlign w:val="bottom"/>
          </w:tcPr>
          <w:p>
            <w:pPr>
              <w:pStyle w:val="TableContents"/>
              <w:spacing w:before="0" w:after="283"/>
              <w:jc w:val="left"/>
              <w:rPr/>
            </w:pPr>
            <w:r>
              <w:rPr/>
              <w:t> </w:t>
            </w:r>
          </w:p>
        </w:tc>
      </w:tr>
      <w:tr>
        <w:trPr/>
        <w:tc>
          <w:tcPr>
            <w:tcW w:w="334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08" w:type="dxa"/>
            <w:tcBorders/>
            <w:shd w:fill="FFFFFF" w:val="clear"/>
            <w:vAlign w:val="bottom"/>
          </w:tcPr>
          <w:p>
            <w:pPr>
              <w:pStyle w:val="TableContents"/>
              <w:spacing w:before="0" w:after="283"/>
              <w:jc w:val="right"/>
              <w:rPr/>
            </w:pPr>
            <w:r>
              <w:rPr/>
              <w:t> </w:t>
            </w:r>
          </w:p>
        </w:tc>
        <w:tc>
          <w:tcPr>
            <w:tcW w:w="295" w:type="dxa"/>
            <w:tcBorders/>
            <w:shd w:fill="FFFFFF" w:val="clear"/>
            <w:vAlign w:val="bottom"/>
          </w:tcPr>
          <w:p>
            <w:pPr>
              <w:pStyle w:val="TableContents"/>
              <w:spacing w:before="0" w:after="283"/>
              <w:jc w:val="left"/>
              <w:rPr/>
            </w:pPr>
            <w:r>
              <w:rPr/>
              <w:t> </w:t>
            </w:r>
          </w:p>
        </w:tc>
        <w:tc>
          <w:tcPr>
            <w:tcW w:w="8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38" w:type="dxa"/>
            <w:tcBorders/>
            <w:shd w:fill="FFFFFF" w:val="clear"/>
            <w:vAlign w:val="bottom"/>
          </w:tcPr>
          <w:p>
            <w:pPr>
              <w:pStyle w:val="TableContents"/>
              <w:spacing w:before="0" w:after="283"/>
              <w:jc w:val="left"/>
              <w:rPr/>
            </w:pPr>
            <w:r>
              <w:rPr/>
              <w:t> </w:t>
            </w:r>
          </w:p>
        </w:tc>
        <w:tc>
          <w:tcPr>
            <w:tcW w:w="138"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jc w:val="left"/>
              <w:rPr/>
            </w:pPr>
            <w:r>
              <w:rPr/>
              <w:t> </w:t>
            </w:r>
          </w:p>
        </w:tc>
        <w:tc>
          <w:tcPr>
            <w:tcW w:w="8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FFFFFF" w:val="clear"/>
            <w:vAlign w:val="bottom"/>
          </w:tcPr>
          <w:p>
            <w:pPr>
              <w:pStyle w:val="TableContents"/>
              <w:spacing w:before="0" w:after="283"/>
              <w:jc w:val="left"/>
              <w:rPr/>
            </w:pPr>
            <w:r>
              <w:rPr/>
              <w:t> </w:t>
            </w:r>
          </w:p>
        </w:tc>
      </w:tr>
      <w:tr>
        <w:trPr/>
        <w:tc>
          <w:tcPr>
            <w:tcW w:w="334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net transition obligation</w:t>
            </w:r>
          </w:p>
        </w:tc>
        <w:tc>
          <w:tcPr>
            <w:tcW w:w="108" w:type="dxa"/>
            <w:tcBorders/>
            <w:shd w:fill="CCEEFF" w:val="clear"/>
            <w:vAlign w:val="bottom"/>
          </w:tcPr>
          <w:p>
            <w:pPr>
              <w:pStyle w:val="TableContents"/>
              <w:spacing w:before="0" w:after="283"/>
              <w:jc w:val="right"/>
              <w:rPr/>
            </w:pPr>
            <w:r>
              <w:rPr/>
              <w:t> </w:t>
            </w:r>
          </w:p>
        </w:tc>
        <w:tc>
          <w:tcPr>
            <w:tcW w:w="295" w:type="dxa"/>
            <w:tcBorders/>
            <w:shd w:fill="CCEEFF" w:val="clear"/>
            <w:vAlign w:val="bottom"/>
          </w:tcPr>
          <w:p>
            <w:pPr>
              <w:pStyle w:val="TableContents"/>
              <w:spacing w:before="0" w:after="283"/>
              <w:jc w:val="left"/>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8" w:type="dxa"/>
            <w:tcBorders/>
            <w:shd w:fill="CCEEFF" w:val="clear"/>
            <w:vAlign w:val="bottom"/>
          </w:tcPr>
          <w:p>
            <w:pPr>
              <w:pStyle w:val="TableContents"/>
              <w:spacing w:before="0" w:after="283"/>
              <w:jc w:val="left"/>
              <w:rPr/>
            </w:pPr>
            <w:r>
              <w:rPr/>
              <w:t> </w:t>
            </w:r>
          </w:p>
        </w:tc>
        <w:tc>
          <w:tcPr>
            <w:tcW w:w="138"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jc w:val="left"/>
              <w:rPr/>
            </w:pPr>
            <w:r>
              <w:rPr/>
              <w:t> </w:t>
            </w:r>
          </w:p>
        </w:tc>
      </w:tr>
      <w:tr>
        <w:trPr/>
        <w:tc>
          <w:tcPr>
            <w:tcW w:w="334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actuarial loss</w:t>
            </w:r>
          </w:p>
        </w:tc>
        <w:tc>
          <w:tcPr>
            <w:tcW w:w="108" w:type="dxa"/>
            <w:tcBorders/>
            <w:shd w:fill="FFFFFF" w:val="clear"/>
            <w:vAlign w:val="bottom"/>
          </w:tcPr>
          <w:p>
            <w:pPr>
              <w:pStyle w:val="TableContents"/>
              <w:spacing w:before="0" w:after="283"/>
              <w:jc w:val="right"/>
              <w:rPr/>
            </w:pPr>
            <w:r>
              <w:rPr/>
              <w:t> </w:t>
            </w:r>
          </w:p>
        </w:tc>
        <w:tc>
          <w:tcPr>
            <w:tcW w:w="29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8" w:type="dxa"/>
            <w:tcBorders/>
            <w:shd w:fill="FFFFFF" w:val="clear"/>
            <w:vAlign w:val="bottom"/>
          </w:tcPr>
          <w:p>
            <w:pPr>
              <w:pStyle w:val="TableContents"/>
              <w:spacing w:before="0" w:after="283"/>
              <w:jc w:val="left"/>
              <w:rPr/>
            </w:pPr>
            <w:r>
              <w:rPr/>
              <w:t> </w:t>
            </w:r>
          </w:p>
        </w:tc>
        <w:tc>
          <w:tcPr>
            <w:tcW w:w="138" w:type="dxa"/>
            <w:tcBorders/>
            <w:shd w:fill="FFFFFF" w:val="clear"/>
            <w:vAlign w:val="bottom"/>
          </w:tcPr>
          <w:p>
            <w:pPr>
              <w:pStyle w:val="TableContents"/>
              <w:spacing w:before="0" w:after="283"/>
              <w:jc w:val="right"/>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FFFFFF" w:val="clear"/>
            <w:vAlign w:val="bottom"/>
          </w:tcPr>
          <w:p>
            <w:pPr>
              <w:pStyle w:val="TableContents"/>
              <w:spacing w:before="0" w:after="283"/>
              <w:jc w:val="left"/>
              <w:rPr/>
            </w:pPr>
            <w:r>
              <w:rPr/>
              <w:t> </w:t>
            </w:r>
          </w:p>
        </w:tc>
      </w:tr>
      <w:tr>
        <w:trPr/>
        <w:tc>
          <w:tcPr>
            <w:tcW w:w="3349"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jc w:val="right"/>
              <w:rPr/>
            </w:pPr>
            <w:r>
              <w:rPr/>
              <w:t> </w:t>
            </w:r>
          </w:p>
        </w:tc>
        <w:tc>
          <w:tcPr>
            <w:tcW w:w="29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38" w:type="dxa"/>
            <w:tcBorders/>
            <w:shd w:fill="CCEEFF" w:val="clear"/>
            <w:vAlign w:val="bottom"/>
          </w:tcPr>
          <w:p>
            <w:pPr>
              <w:pStyle w:val="TableContents"/>
              <w:spacing w:before="0" w:after="283"/>
              <w:jc w:val="left"/>
              <w:rPr/>
            </w:pPr>
            <w:r>
              <w:rPr/>
              <w:t> </w:t>
            </w:r>
          </w:p>
        </w:tc>
        <w:tc>
          <w:tcPr>
            <w:tcW w:w="138" w:type="dxa"/>
            <w:tcBorders/>
            <w:shd w:fill="CCEEFF" w:val="clear"/>
            <w:vAlign w:val="bottom"/>
          </w:tcPr>
          <w:p>
            <w:pPr>
              <w:pStyle w:val="TableContents"/>
              <w:spacing w:before="0" w:after="283"/>
              <w:jc w:val="right"/>
              <w:rPr/>
            </w:pPr>
            <w:r>
              <w:rPr/>
              <w:t> </w:t>
            </w:r>
          </w:p>
        </w:tc>
        <w:tc>
          <w:tcPr>
            <w:tcW w:w="29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Our plan covering postretirement health benefits is an unfunded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Assumptions used in the previous calculations were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39"/>
        <w:gridCol w:w="109"/>
        <w:gridCol w:w="131"/>
        <w:gridCol w:w="1015"/>
        <w:gridCol w:w="198"/>
        <w:gridCol w:w="109"/>
        <w:gridCol w:w="131"/>
        <w:gridCol w:w="1015"/>
        <w:gridCol w:w="198"/>
        <w:gridCol w:w="109"/>
        <w:gridCol w:w="140"/>
        <w:gridCol w:w="1004"/>
        <w:gridCol w:w="224"/>
        <w:gridCol w:w="118"/>
        <w:gridCol w:w="140"/>
        <w:gridCol w:w="1005"/>
        <w:gridCol w:w="220"/>
      </w:tblGrid>
      <w:tr>
        <w:trPr/>
        <w:tc>
          <w:tcPr>
            <w:tcW w:w="433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9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PLAN</w:t>
            </w:r>
          </w:p>
        </w:tc>
        <w:tc>
          <w:tcPr>
            <w:tcW w:w="19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26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 RETIREMENT</w:t>
            </w:r>
          </w:p>
          <w:p>
            <w:pPr>
              <w:pStyle w:val="TableContents"/>
              <w:spacing w:before="0" w:after="0"/>
              <w:ind w:left="0" w:right="0" w:hanging="0"/>
              <w:jc w:val="center"/>
              <w:rPr/>
            </w:pPr>
            <w:r>
              <w:rPr/>
              <w:t> </w:t>
            </w:r>
            <w:r>
              <w:rPr>
                <w:rFonts w:ascii="times new roman" w:hAnsi="times new roman"/>
                <w:b/>
                <w:sz w:val="20"/>
              </w:rPr>
              <w:t>HEALTH BENEFITS</w:t>
            </w:r>
          </w:p>
        </w:tc>
        <w:tc>
          <w:tcPr>
            <w:tcW w:w="220" w:type="dxa"/>
            <w:tcBorders/>
            <w:shd w:fill="auto" w:val="clear"/>
            <w:vAlign w:val="bottom"/>
          </w:tcPr>
          <w:p>
            <w:pPr>
              <w:pStyle w:val="TableContents"/>
              <w:spacing w:before="0" w:after="283"/>
              <w:jc w:val="left"/>
              <w:rPr/>
            </w:pPr>
            <w:r>
              <w:rPr/>
              <w:t> </w:t>
            </w:r>
          </w:p>
        </w:tc>
      </w:tr>
      <w:tr>
        <w:trPr/>
        <w:tc>
          <w:tcPr>
            <w:tcW w:w="433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5537" w:type="dxa"/>
            <w:gridSpan w:val="14"/>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three months ended:</w:t>
            </w:r>
          </w:p>
        </w:tc>
        <w:tc>
          <w:tcPr>
            <w:tcW w:w="220" w:type="dxa"/>
            <w:tcBorders/>
            <w:shd w:fill="auto" w:val="clear"/>
            <w:vAlign w:val="bottom"/>
          </w:tcPr>
          <w:p>
            <w:pPr>
              <w:pStyle w:val="TableContents"/>
              <w:spacing w:before="0" w:after="283"/>
              <w:jc w:val="left"/>
              <w:rPr/>
            </w:pPr>
            <w:r>
              <w:rPr/>
              <w:t> </w:t>
            </w:r>
          </w:p>
        </w:tc>
      </w:tr>
      <w:tr>
        <w:trPr/>
        <w:tc>
          <w:tcPr>
            <w:tcW w:w="433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9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9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224"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220" w:type="dxa"/>
            <w:tcBorders/>
            <w:shd w:fill="auto" w:val="clear"/>
            <w:vAlign w:val="bottom"/>
          </w:tcPr>
          <w:p>
            <w:pPr>
              <w:pStyle w:val="TableContents"/>
              <w:spacing w:before="0" w:after="283"/>
              <w:jc w:val="left"/>
              <w:rPr/>
            </w:pPr>
            <w:r>
              <w:rPr/>
              <w:t> </w:t>
            </w:r>
          </w:p>
        </w:tc>
      </w:tr>
      <w:tr>
        <w:trPr/>
        <w:tc>
          <w:tcPr>
            <w:tcW w:w="43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Discount rate for net periodic benefit cost</w:t>
            </w:r>
          </w:p>
        </w:tc>
        <w:tc>
          <w:tcPr>
            <w:tcW w:w="109"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0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2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2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3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Rate of increase in compensation levels</w:t>
            </w:r>
          </w:p>
        </w:tc>
        <w:tc>
          <w:tcPr>
            <w:tcW w:w="109"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9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9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24"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10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20" w:type="dxa"/>
            <w:tcBorders/>
            <w:shd w:fill="FFFFFF" w:val="clear"/>
            <w:vAlign w:val="bottom"/>
          </w:tcPr>
          <w:p>
            <w:pPr>
              <w:pStyle w:val="TableContents"/>
              <w:spacing w:before="0" w:after="283"/>
              <w:jc w:val="left"/>
              <w:rPr/>
            </w:pPr>
            <w:r>
              <w:rPr/>
              <w:t> </w:t>
            </w:r>
          </w:p>
        </w:tc>
      </w:tr>
      <w:tr>
        <w:trPr/>
        <w:tc>
          <w:tcPr>
            <w:tcW w:w="43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Long-term expected rate of return on assets</w:t>
            </w:r>
          </w:p>
        </w:tc>
        <w:tc>
          <w:tcPr>
            <w:tcW w:w="109"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0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24"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20" w:type="dxa"/>
            <w:tcBorders/>
            <w:shd w:fill="CCEEFF" w:val="clear"/>
            <w:vAlign w:val="bottom"/>
          </w:tcPr>
          <w:p>
            <w:pPr>
              <w:pStyle w:val="TableContents"/>
              <w:spacing w:before="0" w:after="283"/>
              <w:jc w:val="left"/>
              <w:rPr/>
            </w:pPr>
            <w:r>
              <w:rPr/>
              <w:t> </w:t>
            </w:r>
          </w:p>
        </w:tc>
      </w:tr>
      <w:tr>
        <w:trPr/>
        <w:tc>
          <w:tcPr>
            <w:tcW w:w="43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Measurement date</w:t>
            </w:r>
          </w:p>
        </w:tc>
        <w:tc>
          <w:tcPr>
            <w:tcW w:w="109" w:type="dxa"/>
            <w:tcBorders/>
            <w:shd w:fill="FFFFFF" w:val="clear"/>
            <w:vAlign w:val="bottom"/>
          </w:tcPr>
          <w:p>
            <w:pPr>
              <w:pStyle w:val="TableContents"/>
              <w:spacing w:before="0" w:after="283"/>
              <w:jc w:val="right"/>
              <w:rPr/>
            </w:pPr>
            <w:r>
              <w:rPr/>
              <w:t> </w:t>
            </w:r>
          </w:p>
        </w:tc>
        <w:tc>
          <w:tcPr>
            <w:tcW w:w="1146"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7/31/2010</w:t>
            </w:r>
          </w:p>
        </w:tc>
        <w:tc>
          <w:tcPr>
            <w:tcW w:w="19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146"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7/31/2009</w:t>
            </w:r>
          </w:p>
        </w:tc>
        <w:tc>
          <w:tcPr>
            <w:tcW w:w="19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144"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7/31/2010</w:t>
            </w:r>
          </w:p>
        </w:tc>
        <w:tc>
          <w:tcPr>
            <w:tcW w:w="224"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145"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7/31/2009</w:t>
            </w:r>
          </w:p>
        </w:tc>
        <w:tc>
          <w:tcPr>
            <w:tcW w:w="220" w:type="dxa"/>
            <w:tcBorders/>
            <w:shd w:fill="FFFFFF" w:val="clear"/>
            <w:vAlign w:val="bottom"/>
          </w:tcPr>
          <w:p>
            <w:pPr>
              <w:pStyle w:val="TableContents"/>
              <w:spacing w:before="0" w:after="283"/>
              <w:jc w:val="left"/>
              <w:rPr/>
            </w:pPr>
            <w:r>
              <w:rPr/>
              <w:t> </w:t>
            </w:r>
          </w:p>
        </w:tc>
      </w:tr>
      <w:tr>
        <w:trPr/>
        <w:tc>
          <w:tcPr>
            <w:tcW w:w="43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Census date</w:t>
            </w:r>
          </w:p>
        </w:tc>
        <w:tc>
          <w:tcPr>
            <w:tcW w:w="109" w:type="dxa"/>
            <w:tcBorders/>
            <w:shd w:fill="CCEEFF" w:val="clear"/>
            <w:vAlign w:val="bottom"/>
          </w:tcPr>
          <w:p>
            <w:pPr>
              <w:pStyle w:val="TableContents"/>
              <w:spacing w:before="0" w:after="283"/>
              <w:jc w:val="right"/>
              <w:rPr/>
            </w:pPr>
            <w:r>
              <w:rPr/>
              <w:t> </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8/1/2009</w:t>
            </w:r>
          </w:p>
        </w:tc>
        <w:tc>
          <w:tcPr>
            <w:tcW w:w="19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8/1/2008</w:t>
            </w:r>
          </w:p>
        </w:tc>
        <w:tc>
          <w:tcPr>
            <w:tcW w:w="19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144"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8/1/2009</w:t>
            </w:r>
          </w:p>
        </w:tc>
        <w:tc>
          <w:tcPr>
            <w:tcW w:w="224"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145"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8/1/2008</w:t>
            </w:r>
          </w:p>
        </w:tc>
        <w:tc>
          <w:tcPr>
            <w:tcW w:w="22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medical cost trend assumption for postretirement health benefits was a graded rate starting at 9% and decreasing to an ultimate rate of 5% in 1% annual increments.</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2" w:name="PGBRK9"/>
      <w:bookmarkStart w:id="243" w:name="PGBRK9"/>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FTR9"/>
      <w:bookmarkStart w:id="245" w:name="FTR9"/>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6" w:name="GLFTR9"/>
      <w:bookmarkEnd w:id="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7" w:name="PN9"/>
      <w:bookmarkEnd w:id="247"/>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HDR9"/>
      <w:bookmarkStart w:id="249" w:name="HDR9"/>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0" w:name="GLHDR9"/>
      <w:bookmarkEnd w:id="2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br/>
        <w:t> </w:t>
      </w:r>
    </w:p>
    <w:p>
      <w:pPr>
        <w:pStyle w:val="Normal"/>
        <w:spacing w:before="0" w:after="0"/>
        <w:rPr>
          <w:sz w:val="4"/>
          <w:szCs w:val="4"/>
        </w:rPr>
      </w:pPr>
      <w:r>
        <w:rPr>
          <w:sz w:val="4"/>
          <w:szCs w:val="4"/>
        </w:rPr>
      </w:r>
      <w:bookmarkStart w:id="251" w:name="list"/>
      <w:bookmarkStart w:id="252" w:name="list"/>
      <w:bookmarkEnd w:id="252"/>
    </w:p>
    <w:tbl>
      <w:tblPr>
        <w:tblW w:w="5000" w:type="pct"/>
        <w:jc w:val="left"/>
        <w:tblInd w:w="0" w:type="dxa"/>
        <w:tblCellMar>
          <w:top w:w="0" w:type="dxa"/>
          <w:left w:w="0" w:type="dxa"/>
          <w:bottom w:w="0" w:type="dxa"/>
          <w:right w:w="0" w:type="dxa"/>
        </w:tblCellMar>
      </w:tblPr>
      <w:tblGrid>
        <w:gridCol w:w="1122"/>
        <w:gridCol w:w="9083"/>
      </w:tblGrid>
      <w:tr>
        <w:trPr/>
        <w:tc>
          <w:tcPr>
            <w:tcW w:w="1122"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7.  </w:t>
            </w:r>
          </w:p>
        </w:tc>
        <w:tc>
          <w:tcPr>
            <w:tcW w:w="908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SEGMENT REPORTING</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two operating segments:  Retail and Wholesale Products and Business to Business Products.  These segments are managed separately because each business has different customer characteristics.  Net sales and operating income for each segment are provided below.  As the result of a change in management organization in fiscal 2011, our sports field products are now included in the Retail and Wholesale Products Group.  Prior year segment net sales and operating income have also been restated to reflect this change.  The organization change was intended to better serve our customers and the segment information presented reflects the information regularly reviewed by our chief operating decision maker.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2010 filed with the SEC.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 e, legal, human resources and customer service.  Corporate expenses also include the estimated annual incentive plan bonus accrual.</w:t>
      </w:r>
    </w:p>
    <w:p>
      <w:pPr>
        <w:pStyle w:val="TextBody"/>
        <w:spacing w:before="0" w:after="0"/>
        <w:ind w:left="0" w:right="0" w:hanging="0"/>
        <w:rPr/>
      </w:pPr>
      <w:r>
        <w:rPr/>
      </w:r>
    </w:p>
    <w:tbl>
      <w:tblPr>
        <w:tblW w:w="2500" w:type="pct"/>
        <w:jc w:val="left"/>
        <w:tblInd w:w="0" w:type="dxa"/>
        <w:tblCellMar>
          <w:top w:w="0" w:type="dxa"/>
          <w:left w:w="0" w:type="dxa"/>
          <w:bottom w:w="0" w:type="dxa"/>
          <w:right w:w="0" w:type="dxa"/>
        </w:tblCellMar>
      </w:tblPr>
      <w:tblGrid>
        <w:gridCol w:w="2722"/>
        <w:gridCol w:w="87"/>
        <w:gridCol w:w="126"/>
        <w:gridCol w:w="882"/>
        <w:gridCol w:w="87"/>
        <w:gridCol w:w="87"/>
        <w:gridCol w:w="126"/>
        <w:gridCol w:w="882"/>
        <w:gridCol w:w="103"/>
      </w:tblGrid>
      <w:tr>
        <w:trPr/>
        <w:tc>
          <w:tcPr>
            <w:tcW w:w="2722" w:type="dxa"/>
            <w:tcBorders/>
            <w:shd w:fill="auto" w:val="clear"/>
            <w:vAlign w:val="bottom"/>
          </w:tcPr>
          <w:p>
            <w:pPr>
              <w:pStyle w:val="TableContents"/>
              <w:spacing w:before="0" w:after="283"/>
              <w:rPr/>
            </w:pPr>
            <w:r>
              <w:rPr/>
              <w:t xml:space="preserve">  </w:t>
            </w:r>
          </w:p>
        </w:tc>
        <w:tc>
          <w:tcPr>
            <w:tcW w:w="87" w:type="dxa"/>
            <w:tcBorders/>
            <w:shd w:fill="auto" w:val="clear"/>
            <w:vAlign w:val="bottom"/>
          </w:tcPr>
          <w:p>
            <w:pPr>
              <w:pStyle w:val="TableContents"/>
              <w:spacing w:before="0" w:after="283"/>
              <w:rPr/>
            </w:pPr>
            <w:r>
              <w:rPr/>
              <w:t> </w:t>
            </w:r>
          </w:p>
        </w:tc>
        <w:tc>
          <w:tcPr>
            <w:tcW w:w="219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3" w:type="dxa"/>
            <w:tcBorders/>
            <w:shd w:fill="auto" w:val="clear"/>
            <w:vAlign w:val="bottom"/>
          </w:tcPr>
          <w:p>
            <w:pPr>
              <w:pStyle w:val="TableContents"/>
              <w:spacing w:before="0" w:after="283"/>
              <w:jc w:val="left"/>
              <w:rPr/>
            </w:pPr>
            <w:r>
              <w:rPr/>
              <w:t> </w:t>
            </w:r>
          </w:p>
        </w:tc>
      </w:tr>
      <w:tr>
        <w:trPr/>
        <w:tc>
          <w:tcPr>
            <w:tcW w:w="2722" w:type="dxa"/>
            <w:tcBorders/>
            <w:shd w:fill="auto" w:val="clear"/>
            <w:vAlign w:val="bottom"/>
          </w:tcPr>
          <w:p>
            <w:pPr>
              <w:pStyle w:val="TableContents"/>
              <w:spacing w:before="0" w:after="283"/>
              <w:rPr/>
            </w:pPr>
            <w:r>
              <w:rPr/>
              <w:t xml:space="preserve">  </w:t>
            </w:r>
          </w:p>
        </w:tc>
        <w:tc>
          <w:tcPr>
            <w:tcW w:w="87" w:type="dxa"/>
            <w:tcBorders/>
            <w:shd w:fill="auto" w:val="clear"/>
            <w:vAlign w:val="bottom"/>
          </w:tcPr>
          <w:p>
            <w:pPr>
              <w:pStyle w:val="TableContents"/>
              <w:spacing w:before="0" w:after="283"/>
              <w:rPr/>
            </w:pPr>
            <w:r>
              <w:rPr/>
              <w:t> </w:t>
            </w:r>
          </w:p>
        </w:tc>
        <w:tc>
          <w:tcPr>
            <w:tcW w:w="100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October 31,</w:t>
            </w:r>
          </w:p>
        </w:tc>
        <w:tc>
          <w:tcPr>
            <w:tcW w:w="8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100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July 31,</w:t>
            </w:r>
          </w:p>
        </w:tc>
        <w:tc>
          <w:tcPr>
            <w:tcW w:w="103" w:type="dxa"/>
            <w:tcBorders/>
            <w:shd w:fill="auto" w:val="clear"/>
            <w:vAlign w:val="bottom"/>
          </w:tcPr>
          <w:p>
            <w:pPr>
              <w:pStyle w:val="TableContents"/>
              <w:spacing w:before="0" w:after="283"/>
              <w:jc w:val="left"/>
              <w:rPr/>
            </w:pPr>
            <w:r>
              <w:rPr/>
              <w:t> </w:t>
            </w:r>
          </w:p>
        </w:tc>
      </w:tr>
      <w:tr>
        <w:trPr/>
        <w:tc>
          <w:tcPr>
            <w:tcW w:w="2722" w:type="dxa"/>
            <w:tcBorders/>
            <w:shd w:fill="auto" w:val="clear"/>
            <w:vAlign w:val="bottom"/>
          </w:tcPr>
          <w:p>
            <w:pPr>
              <w:pStyle w:val="TableContents"/>
              <w:spacing w:before="0" w:after="283"/>
              <w:rPr/>
            </w:pPr>
            <w:r>
              <w:rPr/>
              <w:t xml:space="preserve">  </w:t>
            </w:r>
          </w:p>
        </w:tc>
        <w:tc>
          <w:tcPr>
            <w:tcW w:w="87" w:type="dxa"/>
            <w:tcBorders/>
            <w:shd w:fill="auto" w:val="clear"/>
            <w:vAlign w:val="bottom"/>
          </w:tcPr>
          <w:p>
            <w:pPr>
              <w:pStyle w:val="TableContents"/>
              <w:spacing w:before="0" w:after="283"/>
              <w:rPr/>
            </w:pPr>
            <w:r>
              <w:rPr/>
              <w:t> </w:t>
            </w:r>
          </w:p>
        </w:tc>
        <w:tc>
          <w:tcPr>
            <w:tcW w:w="10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8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10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3" w:type="dxa"/>
            <w:tcBorders/>
            <w:shd w:fill="auto" w:val="clear"/>
            <w:vAlign w:val="bottom"/>
          </w:tcPr>
          <w:p>
            <w:pPr>
              <w:pStyle w:val="TableContents"/>
              <w:spacing w:before="0" w:after="283"/>
              <w:jc w:val="left"/>
              <w:rPr/>
            </w:pPr>
            <w:r>
              <w:rPr/>
              <w:t> </w:t>
            </w:r>
          </w:p>
        </w:tc>
      </w:tr>
      <w:tr>
        <w:trPr/>
        <w:tc>
          <w:tcPr>
            <w:tcW w:w="2722" w:type="dxa"/>
            <w:tcBorders/>
            <w:shd w:fill="auto" w:val="clear"/>
            <w:vAlign w:val="bottom"/>
          </w:tcPr>
          <w:p>
            <w:pPr>
              <w:pStyle w:val="TableContents"/>
              <w:spacing w:before="0" w:after="283"/>
              <w:rPr/>
            </w:pPr>
            <w:r>
              <w:rPr/>
              <w:t xml:space="preserve">  </w:t>
            </w:r>
          </w:p>
        </w:tc>
        <w:tc>
          <w:tcPr>
            <w:tcW w:w="87" w:type="dxa"/>
            <w:tcBorders/>
            <w:shd w:fill="auto" w:val="clear"/>
            <w:vAlign w:val="bottom"/>
          </w:tcPr>
          <w:p>
            <w:pPr>
              <w:pStyle w:val="TableContents"/>
              <w:spacing w:before="0" w:after="283"/>
              <w:rPr/>
            </w:pPr>
            <w:r>
              <w:rPr/>
              <w:t> </w:t>
            </w:r>
          </w:p>
        </w:tc>
        <w:tc>
          <w:tcPr>
            <w:tcW w:w="1008"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1008"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r>
      <w:tr>
        <w:trPr/>
        <w:tc>
          <w:tcPr>
            <w:tcW w:w="2722" w:type="dxa"/>
            <w:tcBorders/>
            <w:shd w:fill="auto" w:val="clear"/>
            <w:vAlign w:val="bottom"/>
          </w:tcPr>
          <w:p>
            <w:pPr>
              <w:pStyle w:val="TableContents"/>
              <w:spacing w:before="0" w:after="283"/>
              <w:rPr/>
            </w:pPr>
            <w:r>
              <w:rPr/>
              <w:t xml:space="preserve">  </w:t>
            </w:r>
          </w:p>
        </w:tc>
        <w:tc>
          <w:tcPr>
            <w:tcW w:w="87" w:type="dxa"/>
            <w:tcBorders/>
            <w:shd w:fill="auto" w:val="clear"/>
            <w:vAlign w:val="bottom"/>
          </w:tcPr>
          <w:p>
            <w:pPr>
              <w:pStyle w:val="TableContents"/>
              <w:spacing w:before="0" w:after="283"/>
              <w:rPr/>
            </w:pPr>
            <w:r>
              <w:rPr/>
              <w:t> </w:t>
            </w:r>
          </w:p>
        </w:tc>
        <w:tc>
          <w:tcPr>
            <w:tcW w:w="2190"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w:t>
            </w:r>
          </w:p>
        </w:tc>
        <w:tc>
          <w:tcPr>
            <w:tcW w:w="103" w:type="dxa"/>
            <w:tcBorders/>
            <w:shd w:fill="auto" w:val="clear"/>
            <w:vAlign w:val="bottom"/>
          </w:tcPr>
          <w:p>
            <w:pPr>
              <w:pStyle w:val="TableContents"/>
              <w:spacing w:before="0" w:after="283"/>
              <w:jc w:val="left"/>
              <w:rPr/>
            </w:pPr>
            <w:r>
              <w:rPr/>
              <w:t> </w:t>
            </w:r>
          </w:p>
        </w:tc>
      </w:tr>
      <w:tr>
        <w:trPr/>
        <w:tc>
          <w:tcPr>
            <w:tcW w:w="272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Business to Business Products</w:t>
            </w:r>
          </w:p>
        </w:tc>
        <w:tc>
          <w:tcPr>
            <w:tcW w:w="8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82"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53" w:name="TAB1151"/>
            <w:bookmarkEnd w:id="253"/>
            <w:r>
              <w:rPr>
                <w:rFonts w:ascii="times new roman" w:hAnsi="times new roman"/>
                <w:b/>
                <w:sz w:val="20"/>
              </w:rPr>
              <w:t>42,493</w:t>
            </w:r>
          </w:p>
        </w:tc>
        <w:tc>
          <w:tcPr>
            <w:tcW w:w="8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82" w:type="dxa"/>
            <w:tcBorders/>
            <w:shd w:fill="CCEEFF" w:val="clear"/>
            <w:vAlign w:val="bottom"/>
          </w:tcPr>
          <w:p>
            <w:pPr>
              <w:pStyle w:val="TableContents"/>
              <w:spacing w:before="0" w:after="283"/>
              <w:ind w:left="81" w:right="0" w:hanging="0"/>
              <w:jc w:val="right"/>
              <w:rPr>
                <w:rFonts w:ascii="times new roman" w:hAnsi="times new roman"/>
                <w:b/>
                <w:sz w:val="20"/>
              </w:rPr>
            </w:pPr>
            <w:bookmarkStart w:id="254" w:name="TAB1152"/>
            <w:bookmarkEnd w:id="254"/>
            <w:r>
              <w:rPr>
                <w:rFonts w:ascii="times new roman" w:hAnsi="times new roman"/>
                <w:b/>
                <w:sz w:val="20"/>
              </w:rPr>
              <w:t>41,773</w:t>
            </w:r>
          </w:p>
        </w:tc>
        <w:tc>
          <w:tcPr>
            <w:tcW w:w="103" w:type="dxa"/>
            <w:tcBorders/>
            <w:shd w:fill="CCEEFF" w:val="clear"/>
            <w:vAlign w:val="bottom"/>
          </w:tcPr>
          <w:p>
            <w:pPr>
              <w:pStyle w:val="TableContents"/>
              <w:spacing w:before="0" w:after="283"/>
              <w:jc w:val="left"/>
              <w:rPr/>
            </w:pPr>
            <w:r>
              <w:rPr/>
              <w:t> </w:t>
            </w:r>
          </w:p>
        </w:tc>
      </w:tr>
      <w:tr>
        <w:trPr/>
        <w:tc>
          <w:tcPr>
            <w:tcW w:w="272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Retail and Wholesale Products </w:t>
            </w:r>
          </w:p>
        </w:tc>
        <w:tc>
          <w:tcPr>
            <w:tcW w:w="87"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283"/>
              <w:ind w:left="240" w:right="0" w:hanging="0"/>
              <w:jc w:val="right"/>
              <w:rPr>
                <w:rFonts w:ascii="times new roman" w:hAnsi="times new roman"/>
                <w:b/>
                <w:sz w:val="20"/>
              </w:rPr>
            </w:pPr>
            <w:bookmarkStart w:id="255" w:name="TAB1153"/>
            <w:bookmarkEnd w:id="255"/>
            <w:r>
              <w:rPr>
                <w:rFonts w:ascii="times new roman" w:hAnsi="times new roman"/>
                <w:b/>
                <w:sz w:val="20"/>
              </w:rPr>
              <w:t>70,088</w:t>
            </w:r>
          </w:p>
        </w:tc>
        <w:tc>
          <w:tcPr>
            <w:tcW w:w="8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283"/>
              <w:ind w:left="124" w:right="0" w:hanging="0"/>
              <w:jc w:val="right"/>
              <w:rPr>
                <w:rFonts w:ascii="times new roman" w:hAnsi="times new roman"/>
                <w:b/>
                <w:sz w:val="20"/>
              </w:rPr>
            </w:pPr>
            <w:bookmarkStart w:id="256" w:name="TAB1154"/>
            <w:bookmarkEnd w:id="256"/>
            <w:r>
              <w:rPr>
                <w:rFonts w:ascii="times new roman" w:hAnsi="times new roman"/>
                <w:b/>
                <w:sz w:val="20"/>
              </w:rPr>
              <w:t>69,248</w:t>
            </w:r>
          </w:p>
        </w:tc>
        <w:tc>
          <w:tcPr>
            <w:tcW w:w="103" w:type="dxa"/>
            <w:tcBorders/>
            <w:shd w:fill="FFFFFF" w:val="clear"/>
            <w:vAlign w:val="bottom"/>
          </w:tcPr>
          <w:p>
            <w:pPr>
              <w:pStyle w:val="TableContents"/>
              <w:spacing w:before="0" w:after="283"/>
              <w:jc w:val="left"/>
              <w:rPr/>
            </w:pPr>
            <w:r>
              <w:rPr/>
              <w:t> </w:t>
            </w:r>
          </w:p>
        </w:tc>
      </w:tr>
      <w:tr>
        <w:trPr/>
        <w:tc>
          <w:tcPr>
            <w:tcW w:w="272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Unallocated Assets</w:t>
            </w:r>
          </w:p>
        </w:tc>
        <w:tc>
          <w:tcPr>
            <w:tcW w:w="87"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57" w:name="TAB1155"/>
            <w:bookmarkEnd w:id="257"/>
            <w:r>
              <w:rPr>
                <w:rFonts w:ascii="times new roman" w:hAnsi="times new roman"/>
                <w:b/>
                <w:sz w:val="20"/>
              </w:rPr>
              <w:t>38,762</w:t>
            </w:r>
          </w:p>
        </w:tc>
        <w:tc>
          <w:tcPr>
            <w:tcW w:w="8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b/>
                <w:sz w:val="20"/>
              </w:rPr>
            </w:pPr>
            <w:bookmarkStart w:id="258" w:name="TAB1156"/>
            <w:bookmarkEnd w:id="258"/>
            <w:r>
              <w:rPr>
                <w:rFonts w:ascii="times new roman" w:hAnsi="times new roman"/>
                <w:b/>
                <w:sz w:val="20"/>
              </w:rPr>
              <w:t>42,961</w:t>
            </w:r>
          </w:p>
        </w:tc>
        <w:tc>
          <w:tcPr>
            <w:tcW w:w="103" w:type="dxa"/>
            <w:tcBorders/>
            <w:shd w:fill="CCEEFF" w:val="clear"/>
            <w:vAlign w:val="bottom"/>
          </w:tcPr>
          <w:p>
            <w:pPr>
              <w:pStyle w:val="TableContents"/>
              <w:spacing w:before="0" w:after="283"/>
              <w:jc w:val="left"/>
              <w:rPr/>
            </w:pPr>
            <w:r>
              <w:rPr/>
              <w:t> </w:t>
            </w:r>
          </w:p>
        </w:tc>
      </w:tr>
      <w:tr>
        <w:trPr/>
        <w:tc>
          <w:tcPr>
            <w:tcW w:w="272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87"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82" w:type="dxa"/>
            <w:tcBorders>
              <w:bottom w:val="double" w:sz="8"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59" w:name="TAB1157"/>
            <w:bookmarkStart w:id="260" w:name="TAB1158"/>
            <w:bookmarkEnd w:id="259"/>
            <w:bookmarkEnd w:id="260"/>
            <w:r>
              <w:rPr>
                <w:rFonts w:ascii="times new roman" w:hAnsi="times new roman"/>
                <w:b/>
                <w:sz w:val="20"/>
              </w:rPr>
              <w:t>151,343</w:t>
            </w:r>
          </w:p>
        </w:tc>
        <w:tc>
          <w:tcPr>
            <w:tcW w:w="8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82" w:type="dxa"/>
            <w:tcBorders>
              <w:bottom w:val="double" w:sz="8"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1" w:name="TAB1159"/>
            <w:bookmarkEnd w:id="261"/>
            <w:r>
              <w:rPr>
                <w:rFonts w:ascii="times new roman" w:hAnsi="times new roman"/>
                <w:b/>
                <w:sz w:val="20"/>
              </w:rPr>
              <w:t>153,982</w:t>
            </w:r>
          </w:p>
        </w:tc>
        <w:tc>
          <w:tcPr>
            <w:tcW w:w="103" w:type="dxa"/>
            <w:tcBorders/>
            <w:shd w:fill="FFFFFF" w:val="clear"/>
            <w:vAlign w:val="bottom"/>
          </w:tcPr>
          <w:p>
            <w:pPr>
              <w:pStyle w:val="TableContents"/>
              <w:spacing w:before="0" w:after="283"/>
              <w:jc w:val="left"/>
              <w:rPr/>
            </w:pPr>
            <w:r>
              <w:rPr/>
              <w:t> </w:t>
            </w:r>
          </w:p>
        </w:tc>
      </w:tr>
    </w:tbl>
    <w:p>
      <w:pPr>
        <w:pStyle w:val="TextBody"/>
        <w:spacing w:before="0" w:after="0"/>
        <w:rPr/>
      </w:pPr>
      <w:bookmarkStart w:id="262" w:name="RANGE!A1%3AM26"/>
      <w:bookmarkEnd w:id="262"/>
      <w:r>
        <w:rPr/>
        <w:t> </w:t>
      </w:r>
    </w:p>
    <w:p>
      <w:pPr>
        <w:pStyle w:val="TextBody"/>
        <w:spacing w:before="0" w:after="0"/>
        <w:ind w:left="0" w:right="0" w:hanging="0"/>
        <w:jc w:val="left"/>
        <w:rPr/>
      </w:pPr>
      <w:r>
        <w:rPr/>
      </w:r>
    </w:p>
    <w:tbl>
      <w:tblPr>
        <w:tblW w:w="4000" w:type="pct"/>
        <w:jc w:val="left"/>
        <w:tblInd w:w="0" w:type="dxa"/>
        <w:tblCellMar>
          <w:top w:w="0" w:type="dxa"/>
          <w:left w:w="0" w:type="dxa"/>
          <w:bottom w:w="0" w:type="dxa"/>
          <w:right w:w="0" w:type="dxa"/>
        </w:tblCellMar>
      </w:tblPr>
      <w:tblGrid>
        <w:gridCol w:w="3740"/>
        <w:gridCol w:w="88"/>
        <w:gridCol w:w="125"/>
        <w:gridCol w:w="825"/>
        <w:gridCol w:w="88"/>
        <w:gridCol w:w="88"/>
        <w:gridCol w:w="125"/>
        <w:gridCol w:w="825"/>
        <w:gridCol w:w="88"/>
        <w:gridCol w:w="88"/>
        <w:gridCol w:w="125"/>
        <w:gridCol w:w="766"/>
        <w:gridCol w:w="99"/>
        <w:gridCol w:w="88"/>
        <w:gridCol w:w="125"/>
        <w:gridCol w:w="766"/>
        <w:gridCol w:w="115"/>
      </w:tblGrid>
      <w:tr>
        <w:trPr/>
        <w:tc>
          <w:tcPr>
            <w:tcW w:w="374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4221" w:type="dxa"/>
            <w:gridSpan w:val="14"/>
            <w:tcBorders>
              <w:bottom w:val="single" w:sz="12" w:space="0" w:color="000000"/>
            </w:tcBorders>
            <w:shd w:fill="auto" w:val="clear"/>
            <w:tcMar>
              <w:bottom w:w="28" w:type="dxa"/>
            </w:tcMar>
            <w:vAlign w:val="bottom"/>
          </w:tcPr>
          <w:p>
            <w:pPr>
              <w:pStyle w:val="TableContents"/>
              <w:spacing w:before="0" w:after="0"/>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October 31,</w:t>
            </w:r>
          </w:p>
        </w:tc>
        <w:tc>
          <w:tcPr>
            <w:tcW w:w="115" w:type="dxa"/>
            <w:tcBorders/>
            <w:shd w:fill="auto" w:val="clear"/>
            <w:vAlign w:val="bottom"/>
          </w:tcPr>
          <w:p>
            <w:pPr>
              <w:pStyle w:val="TableContents"/>
              <w:spacing w:before="0" w:after="283"/>
              <w:jc w:val="left"/>
              <w:rPr/>
            </w:pPr>
            <w:r>
              <w:rPr/>
              <w:t> </w:t>
            </w:r>
          </w:p>
        </w:tc>
      </w:tr>
      <w:tr>
        <w:trPr/>
        <w:tc>
          <w:tcPr>
            <w:tcW w:w="374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76" w:type="dxa"/>
            <w:gridSpan w:val="6"/>
            <w:tcBorders>
              <w:bottom w:val="single" w:sz="12" w:space="0" w:color="000000"/>
            </w:tcBorders>
            <w:shd w:fill="auto" w:val="clear"/>
            <w:tcMar>
              <w:bottom w:w="28" w:type="dxa"/>
            </w:tcMar>
            <w:vAlign w:val="bottom"/>
          </w:tcPr>
          <w:p>
            <w:pPr>
              <w:pStyle w:val="TableContents"/>
              <w:spacing w:before="0" w:after="283"/>
              <w:jc w:val="center"/>
              <w:rPr/>
            </w:pPr>
            <w:r>
              <w:rPr/>
              <w:t xml:space="preserve">  </w:t>
            </w:r>
            <w:r>
              <w:rPr>
                <w:rFonts w:ascii="times new roman" w:hAnsi="times new roman"/>
                <w:b/>
                <w:sz w:val="20"/>
              </w:rPr>
              <w:t>Net Sales</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969" w:type="dxa"/>
            <w:gridSpan w:val="6"/>
            <w:tcBorders>
              <w:bottom w:val="single" w:sz="12" w:space="0" w:color="000000"/>
            </w:tcBorders>
            <w:shd w:fill="auto" w:val="clear"/>
            <w:tcMar>
              <w:bottom w:w="28" w:type="dxa"/>
            </w:tcMar>
            <w:vAlign w:val="bottom"/>
          </w:tcPr>
          <w:p>
            <w:pPr>
              <w:pStyle w:val="TableContents"/>
              <w:spacing w:before="0" w:after="283"/>
              <w:jc w:val="center"/>
              <w:rPr/>
            </w:pPr>
            <w:r>
              <w:rPr/>
              <w:t xml:space="preserve">  </w:t>
            </w:r>
            <w:r>
              <w:rPr>
                <w:rFonts w:ascii="times new roman" w:hAnsi="times new roman"/>
                <w:b/>
                <w:sz w:val="20"/>
              </w:rPr>
              <w:t>Operating Income</w:t>
            </w:r>
          </w:p>
        </w:tc>
        <w:tc>
          <w:tcPr>
            <w:tcW w:w="115" w:type="dxa"/>
            <w:tcBorders/>
            <w:shd w:fill="auto" w:val="clear"/>
            <w:vAlign w:val="bottom"/>
          </w:tcPr>
          <w:p>
            <w:pPr>
              <w:pStyle w:val="TableContents"/>
              <w:spacing w:before="0" w:after="283"/>
              <w:jc w:val="left"/>
              <w:rPr/>
            </w:pPr>
            <w:r>
              <w:rPr/>
              <w:t> </w:t>
            </w:r>
          </w:p>
        </w:tc>
      </w:tr>
      <w:tr>
        <w:trPr/>
        <w:tc>
          <w:tcPr>
            <w:tcW w:w="3740" w:type="dxa"/>
            <w:tcBorders/>
            <w:shd w:fill="auto" w:val="clear"/>
            <w:vAlign w:val="bottom"/>
          </w:tcPr>
          <w:p>
            <w:pPr>
              <w:pStyle w:val="TableContents"/>
              <w:spacing w:before="0" w:after="283"/>
              <w:rPr/>
            </w:pPr>
            <w:r>
              <w:rPr/>
              <w:t xml:space="preserve">  </w:t>
            </w:r>
          </w:p>
        </w:tc>
        <w:tc>
          <w:tcPr>
            <w:tcW w:w="88"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99"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5" w:type="dxa"/>
            <w:tcBorders/>
            <w:shd w:fill="auto" w:val="clear"/>
            <w:vAlign w:val="bottom"/>
          </w:tcPr>
          <w:p>
            <w:pPr>
              <w:pStyle w:val="TableContents"/>
              <w:spacing w:before="0" w:after="283"/>
              <w:jc w:val="left"/>
              <w:rPr/>
            </w:pPr>
            <w:r>
              <w:rPr/>
              <w:t> </w:t>
            </w:r>
          </w:p>
        </w:tc>
      </w:tr>
      <w:tr>
        <w:trPr/>
        <w:tc>
          <w:tcPr>
            <w:tcW w:w="374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4221" w:type="dxa"/>
            <w:gridSpan w:val="14"/>
            <w:tcBorders/>
            <w:shd w:fill="auto" w:val="clear"/>
            <w:vAlign w:val="bottom"/>
          </w:tcPr>
          <w:p>
            <w:pPr>
              <w:pStyle w:val="TableContents"/>
              <w:spacing w:before="0" w:after="283"/>
              <w:jc w:val="center"/>
              <w:rPr/>
            </w:pPr>
            <w:r>
              <w:rPr/>
              <w:t> </w:t>
            </w:r>
            <w:r>
              <w:rPr>
                <w:rFonts w:ascii="times new roman" w:hAnsi="times new roman"/>
                <w:b/>
                <w:sz w:val="20"/>
              </w:rPr>
              <w:t>( in thousands)</w:t>
            </w:r>
          </w:p>
        </w:tc>
        <w:tc>
          <w:tcPr>
            <w:tcW w:w="115" w:type="dxa"/>
            <w:tcBorders/>
            <w:shd w:fill="auto" w:val="clear"/>
            <w:vAlign w:val="bottom"/>
          </w:tcPr>
          <w:p>
            <w:pPr>
              <w:pStyle w:val="TableContents"/>
              <w:spacing w:before="0" w:after="283"/>
              <w:jc w:val="left"/>
              <w:rPr/>
            </w:pPr>
            <w:r>
              <w:rPr/>
              <w:t> </w:t>
            </w:r>
          </w:p>
        </w:tc>
      </w:tr>
      <w:tr>
        <w:trPr/>
        <w:tc>
          <w:tcPr>
            <w:tcW w:w="374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Business to Business Products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2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19,045</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2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16,777</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63" w:name="TAB1160"/>
            <w:bookmarkEnd w:id="263"/>
            <w:r>
              <w:rPr>
                <w:rFonts w:ascii="times new roman" w:hAnsi="times new roman"/>
                <w:b/>
                <w:sz w:val="20"/>
              </w:rPr>
              <w:t>5,288</w:t>
            </w:r>
          </w:p>
        </w:tc>
        <w:tc>
          <w:tcPr>
            <w:tcW w:w="99"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64" w:name="TAB1161"/>
            <w:bookmarkEnd w:id="264"/>
            <w:r>
              <w:rPr>
                <w:rFonts w:ascii="times new roman" w:hAnsi="times new roman"/>
                <w:b/>
                <w:sz w:val="20"/>
              </w:rPr>
              <w:t>4,621</w:t>
            </w:r>
          </w:p>
        </w:tc>
        <w:tc>
          <w:tcPr>
            <w:tcW w:w="115" w:type="dxa"/>
            <w:tcBorders/>
            <w:shd w:fill="CCEEFF" w:val="clear"/>
            <w:vAlign w:val="bottom"/>
          </w:tcPr>
          <w:p>
            <w:pPr>
              <w:pStyle w:val="TableContents"/>
              <w:spacing w:before="0" w:after="283"/>
              <w:jc w:val="left"/>
              <w:rPr/>
            </w:pPr>
            <w:r>
              <w:rPr/>
              <w:t> </w:t>
            </w:r>
          </w:p>
        </w:tc>
      </w:tr>
      <w:tr>
        <w:trPr/>
        <w:tc>
          <w:tcPr>
            <w:tcW w:w="37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Retail and Wholesale Products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5"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5" w:name="TAB1162"/>
            <w:bookmarkEnd w:id="265"/>
            <w:r>
              <w:rPr>
                <w:rFonts w:ascii="times new roman" w:hAnsi="times new roman"/>
                <w:b/>
                <w:sz w:val="20"/>
              </w:rPr>
              <w:t>37,240</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5"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6" w:name="TAB1163"/>
            <w:bookmarkEnd w:id="266"/>
            <w:r>
              <w:rPr>
                <w:rFonts w:ascii="times new roman" w:hAnsi="times new roman"/>
                <w:b/>
                <w:sz w:val="20"/>
              </w:rPr>
              <w:t>36,627</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66"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67" w:name="TAB1164"/>
            <w:bookmarkEnd w:id="267"/>
            <w:r>
              <w:rPr>
                <w:rFonts w:ascii="times new roman" w:hAnsi="times new roman"/>
                <w:b/>
                <w:sz w:val="20"/>
              </w:rPr>
              <w:t>3,066</w:t>
            </w:r>
          </w:p>
        </w:tc>
        <w:tc>
          <w:tcPr>
            <w:tcW w:w="99"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66"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68" w:name="TAB1165"/>
            <w:bookmarkEnd w:id="268"/>
            <w:r>
              <w:rPr>
                <w:rFonts w:ascii="times new roman" w:hAnsi="times new roman"/>
                <w:b/>
                <w:sz w:val="20"/>
              </w:rPr>
              <w:t>3,104</w:t>
            </w:r>
          </w:p>
        </w:tc>
        <w:tc>
          <w:tcPr>
            <w:tcW w:w="115" w:type="dxa"/>
            <w:tcBorders/>
            <w:shd w:fill="FFFFFF" w:val="clear"/>
            <w:vAlign w:val="bottom"/>
          </w:tcPr>
          <w:p>
            <w:pPr>
              <w:pStyle w:val="TableContents"/>
              <w:spacing w:before="0" w:after="283"/>
              <w:jc w:val="left"/>
              <w:rPr/>
            </w:pPr>
            <w:r>
              <w:rPr/>
              <w:t> </w:t>
            </w:r>
          </w:p>
        </w:tc>
      </w:tr>
      <w:tr>
        <w:trPr/>
        <w:tc>
          <w:tcPr>
            <w:tcW w:w="374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25"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9" w:name="TAB1166"/>
            <w:bookmarkEnd w:id="269"/>
            <w:r>
              <w:rPr>
                <w:rFonts w:ascii="times new roman" w:hAnsi="times new roman"/>
                <w:b/>
                <w:sz w:val="20"/>
              </w:rPr>
              <w:t>56,285</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25"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70" w:name="TAB1167"/>
            <w:bookmarkEnd w:id="270"/>
            <w:r>
              <w:rPr>
                <w:rFonts w:ascii="times new roman" w:hAnsi="times new roman"/>
                <w:b/>
                <w:sz w:val="20"/>
              </w:rPr>
              <w:t>53,404</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71" w:name="TAB1168"/>
            <w:bookmarkEnd w:id="271"/>
            <w:r>
              <w:rPr>
                <w:rFonts w:ascii="times new roman" w:hAnsi="times new roman"/>
                <w:b/>
                <w:sz w:val="20"/>
              </w:rPr>
              <w:t>8,354</w:t>
            </w:r>
          </w:p>
        </w:tc>
        <w:tc>
          <w:tcPr>
            <w:tcW w:w="99"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72" w:name="TAB1169"/>
            <w:bookmarkEnd w:id="272"/>
            <w:r>
              <w:rPr>
                <w:rFonts w:ascii="times new roman" w:hAnsi="times new roman"/>
                <w:b/>
                <w:sz w:val="20"/>
              </w:rPr>
              <w:t>7,725</w:t>
            </w:r>
          </w:p>
        </w:tc>
        <w:tc>
          <w:tcPr>
            <w:tcW w:w="115" w:type="dxa"/>
            <w:tcBorders/>
            <w:shd w:fill="CCEEFF" w:val="clear"/>
            <w:vAlign w:val="bottom"/>
          </w:tcPr>
          <w:p>
            <w:pPr>
              <w:pStyle w:val="TableContents"/>
              <w:spacing w:before="0" w:after="283"/>
              <w:jc w:val="left"/>
              <w:rPr/>
            </w:pPr>
            <w:r>
              <w:rPr/>
              <w:t> </w:t>
            </w:r>
          </w:p>
        </w:tc>
      </w:tr>
      <w:tr>
        <w:trPr/>
        <w:tc>
          <w:tcPr>
            <w:tcW w:w="37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Less:</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5"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5"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66"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66"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r>
      <w:tr>
        <w:trPr/>
        <w:tc>
          <w:tcPr>
            <w:tcW w:w="3740"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Corporate Expenses</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73" w:name="TAB1170"/>
            <w:bookmarkEnd w:id="273"/>
            <w:r>
              <w:rPr>
                <w:rFonts w:ascii="times new roman" w:hAnsi="times new roman"/>
                <w:b/>
                <w:sz w:val="20"/>
              </w:rPr>
              <w:t>4,482</w:t>
            </w:r>
          </w:p>
        </w:tc>
        <w:tc>
          <w:tcPr>
            <w:tcW w:w="99"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74" w:name="TAB1171"/>
            <w:bookmarkEnd w:id="274"/>
            <w:r>
              <w:rPr>
                <w:rFonts w:ascii="times new roman" w:hAnsi="times new roman"/>
                <w:b/>
                <w:sz w:val="20"/>
              </w:rPr>
              <w:t>4,336</w:t>
            </w:r>
          </w:p>
        </w:tc>
        <w:tc>
          <w:tcPr>
            <w:tcW w:w="115" w:type="dxa"/>
            <w:tcBorders/>
            <w:shd w:fill="CCEEFF" w:val="clear"/>
            <w:vAlign w:val="bottom"/>
          </w:tcPr>
          <w:p>
            <w:pPr>
              <w:pStyle w:val="TableContents"/>
              <w:spacing w:before="0" w:after="283"/>
              <w:jc w:val="left"/>
              <w:rPr/>
            </w:pPr>
            <w:r>
              <w:rPr/>
              <w:t> </w:t>
            </w:r>
          </w:p>
        </w:tc>
      </w:tr>
      <w:tr>
        <w:trPr/>
        <w:tc>
          <w:tcPr>
            <w:tcW w:w="3740"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Interest Expense, net of Interest Income</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5"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5"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66"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75" w:name="TAB1172"/>
            <w:bookmarkEnd w:id="275"/>
            <w:r>
              <w:rPr>
                <w:rFonts w:ascii="times new roman" w:hAnsi="times new roman"/>
                <w:b/>
                <w:sz w:val="20"/>
              </w:rPr>
              <w:t>392</w:t>
            </w:r>
          </w:p>
        </w:tc>
        <w:tc>
          <w:tcPr>
            <w:tcW w:w="99"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66"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76" w:name="TAB1173"/>
            <w:bookmarkEnd w:id="276"/>
            <w:r>
              <w:rPr>
                <w:rFonts w:ascii="times new roman" w:hAnsi="times new roman"/>
                <w:b/>
                <w:sz w:val="20"/>
              </w:rPr>
              <w:t>334</w:t>
            </w:r>
          </w:p>
        </w:tc>
        <w:tc>
          <w:tcPr>
            <w:tcW w:w="115" w:type="dxa"/>
            <w:tcBorders/>
            <w:shd w:fill="FFFFFF" w:val="clear"/>
            <w:vAlign w:val="bottom"/>
          </w:tcPr>
          <w:p>
            <w:pPr>
              <w:pStyle w:val="TableContents"/>
              <w:spacing w:before="0" w:after="283"/>
              <w:jc w:val="left"/>
              <w:rPr/>
            </w:pPr>
            <w:r>
              <w:rPr/>
              <w:t> </w:t>
            </w:r>
          </w:p>
        </w:tc>
      </w:tr>
      <w:tr>
        <w:trPr/>
        <w:tc>
          <w:tcPr>
            <w:tcW w:w="374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Income before Income Taxes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77" w:name="TAB1174"/>
            <w:bookmarkEnd w:id="277"/>
            <w:r>
              <w:rPr>
                <w:rFonts w:ascii="times new roman" w:hAnsi="times new roman"/>
                <w:b/>
                <w:sz w:val="20"/>
              </w:rPr>
              <w:t>3,480</w:t>
            </w:r>
          </w:p>
        </w:tc>
        <w:tc>
          <w:tcPr>
            <w:tcW w:w="99"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78" w:name="TAB1175"/>
            <w:bookmarkEnd w:id="278"/>
            <w:r>
              <w:rPr>
                <w:rFonts w:ascii="times new roman" w:hAnsi="times new roman"/>
                <w:b/>
                <w:sz w:val="20"/>
              </w:rPr>
              <w:t>3,055</w:t>
            </w:r>
          </w:p>
        </w:tc>
        <w:tc>
          <w:tcPr>
            <w:tcW w:w="115" w:type="dxa"/>
            <w:tcBorders/>
            <w:shd w:fill="CCEEFF" w:val="clear"/>
            <w:vAlign w:val="bottom"/>
          </w:tcPr>
          <w:p>
            <w:pPr>
              <w:pStyle w:val="TableContents"/>
              <w:spacing w:before="0" w:after="283"/>
              <w:jc w:val="left"/>
              <w:rPr/>
            </w:pPr>
            <w:r>
              <w:rPr/>
              <w:t> </w:t>
            </w:r>
          </w:p>
        </w:tc>
      </w:tr>
      <w:tr>
        <w:trPr/>
        <w:tc>
          <w:tcPr>
            <w:tcW w:w="37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Income Taxes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5"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5"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66"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79" w:name="TAB1176"/>
            <w:bookmarkEnd w:id="279"/>
            <w:r>
              <w:rPr>
                <w:rFonts w:ascii="times new roman" w:hAnsi="times new roman"/>
                <w:b/>
                <w:sz w:val="20"/>
              </w:rPr>
              <w:t>(961</w:t>
            </w:r>
          </w:p>
        </w:tc>
        <w:tc>
          <w:tcPr>
            <w:tcW w:w="99"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66"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80" w:name="TAB1177"/>
            <w:bookmarkEnd w:id="280"/>
            <w:r>
              <w:rPr>
                <w:rFonts w:ascii="times new roman" w:hAnsi="times new roman"/>
                <w:b/>
                <w:sz w:val="20"/>
              </w:rPr>
              <w:t>(861</w:t>
            </w:r>
          </w:p>
        </w:tc>
        <w:tc>
          <w:tcPr>
            <w:tcW w:w="11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374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6" w:type="dxa"/>
            <w:tcBorders>
              <w:bottom w:val="double" w:sz="8"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81" w:name="TAB1178"/>
            <w:bookmarkStart w:id="282" w:name="TAB1179"/>
            <w:bookmarkEnd w:id="281"/>
            <w:bookmarkEnd w:id="282"/>
            <w:r>
              <w:rPr>
                <w:rFonts w:ascii="times new roman" w:hAnsi="times new roman"/>
                <w:b/>
                <w:sz w:val="20"/>
              </w:rPr>
              <w:t>2,519</w:t>
            </w:r>
          </w:p>
        </w:tc>
        <w:tc>
          <w:tcPr>
            <w:tcW w:w="99"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66" w:type="dxa"/>
            <w:tcBorders>
              <w:bottom w:val="double" w:sz="8"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83" w:name="TAB1180"/>
            <w:bookmarkStart w:id="284" w:name="TAB1181"/>
            <w:bookmarkEnd w:id="283"/>
            <w:bookmarkEnd w:id="284"/>
            <w:r>
              <w:rPr>
                <w:rFonts w:ascii="times new roman" w:hAnsi="times new roman"/>
                <w:b/>
                <w:sz w:val="20"/>
              </w:rPr>
              <w:t>2,194</w:t>
            </w:r>
          </w:p>
        </w:tc>
        <w:tc>
          <w:tcPr>
            <w:tcW w:w="11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8.</w:t>
      </w:r>
      <w:bookmarkStart w:id="285" w:name="TAB26"/>
      <w:bookmarkEnd w:id="285"/>
      <w:r>
        <w:rPr>
          <w:color w:val="000000"/>
          <w:spacing w:val="180"/>
        </w:rPr>
        <w:t> </w:t>
      </w:r>
      <w:r>
        <w:rPr>
          <w:rFonts w:ascii="Times New Roman" w:hAnsi="Times New Roman"/>
          <w:b/>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Stock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was from authorized but unissued stock.  All restricted stock issued was from treasury stock.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6" w:name="PGBRK10"/>
      <w:bookmarkStart w:id="287" w:name="PGBRK10"/>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FTR10"/>
      <w:bookmarkStart w:id="289" w:name="FTR10"/>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0" w:name="GLFTR10"/>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1" w:name="PN10"/>
      <w:bookmarkEnd w:id="291"/>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2" w:name="HDR10"/>
      <w:bookmarkStart w:id="293" w:name="HDR10"/>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4" w:name="GLHDR10"/>
      <w:bookmarkEnd w:id="2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227,115 restricted shares have been issued under the 2006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Oil-Dri Corporation of America Outside Director Stock Plan (the “Directors’ Plan”) provides for grants of stock options to our directors, who are considered employees, at an option price per share of 100% of the fair market value of Common Stock on the date of grant.  Stock options have been granted to our directors for a 10-year term with a one year vesting period.  There are 31,250 stock options outstanding as of October 31, 2010 and no stock options are available for future grants under this plan.  All stock issued under this plan were from treasury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stock options were granted in the first three months of fiscal years 2011 or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Changes in our stock options during the first three months of fiscal 2011 were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30"/>
        <w:gridCol w:w="106"/>
        <w:gridCol w:w="147"/>
        <w:gridCol w:w="1070"/>
        <w:gridCol w:w="172"/>
        <w:gridCol w:w="106"/>
        <w:gridCol w:w="170"/>
        <w:gridCol w:w="1028"/>
        <w:gridCol w:w="106"/>
        <w:gridCol w:w="106"/>
        <w:gridCol w:w="175"/>
        <w:gridCol w:w="1122"/>
        <w:gridCol w:w="106"/>
        <w:gridCol w:w="106"/>
        <w:gridCol w:w="176"/>
        <w:gridCol w:w="1050"/>
        <w:gridCol w:w="129"/>
      </w:tblGrid>
      <w:tr>
        <w:trPr/>
        <w:tc>
          <w:tcPr>
            <w:tcW w:w="4330"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Number </w:t>
            </w:r>
          </w:p>
          <w:p>
            <w:pPr>
              <w:pStyle w:val="TableContents"/>
              <w:spacing w:before="0" w:after="0"/>
              <w:ind w:left="0" w:right="0" w:hanging="0"/>
              <w:jc w:val="center"/>
              <w:rPr>
                <w:rFonts w:ascii="times new roman" w:hAnsi="times new roman"/>
                <w:sz w:val="20"/>
              </w:rPr>
            </w:pPr>
            <w:r>
              <w:rPr>
                <w:rFonts w:ascii="times new roman" w:hAnsi="times new roman"/>
                <w:sz w:val="20"/>
              </w:rPr>
              <w:t>of Shares</w:t>
            </w:r>
          </w:p>
          <w:p>
            <w:pPr>
              <w:pStyle w:val="TableContents"/>
              <w:spacing w:before="0" w:after="0"/>
              <w:ind w:left="0" w:right="0" w:hanging="0"/>
              <w:jc w:val="center"/>
              <w:rPr/>
            </w:pPr>
            <w:r>
              <w:rPr/>
              <w:t> </w:t>
            </w:r>
            <w:r>
              <w:rPr>
                <w:rFonts w:ascii="times new roman" w:hAnsi="times new roman"/>
                <w:sz w:val="20"/>
              </w:rPr>
              <w:t xml:space="preserve">(in </w:t>
            </w:r>
          </w:p>
          <w:p>
            <w:pPr>
              <w:pStyle w:val="TableContents"/>
              <w:spacing w:before="0" w:after="0"/>
              <w:ind w:left="0" w:right="0" w:hanging="0"/>
              <w:jc w:val="center"/>
              <w:rPr>
                <w:rFonts w:ascii="times new roman" w:hAnsi="times new roman"/>
                <w:sz w:val="20"/>
              </w:rPr>
            </w:pPr>
            <w:r>
              <w:rPr>
                <w:rFonts w:ascii="times new roman" w:hAnsi="times new roman"/>
                <w:sz w:val="20"/>
              </w:rPr>
              <w:t>thousands)</w:t>
            </w:r>
          </w:p>
        </w:tc>
        <w:tc>
          <w:tcPr>
            <w:tcW w:w="17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Weighted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Average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Exercise </w:t>
            </w:r>
          </w:p>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Weighted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Average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Remaining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Contractual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Term </w:t>
            </w:r>
          </w:p>
          <w:p>
            <w:pPr>
              <w:pStyle w:val="TableContents"/>
              <w:spacing w:before="0" w:after="0"/>
              <w:ind w:left="0" w:right="0" w:hanging="0"/>
              <w:jc w:val="center"/>
              <w:rPr>
                <w:rFonts w:ascii="times new roman" w:hAnsi="times new roman"/>
                <w:sz w:val="20"/>
              </w:rPr>
            </w:pPr>
            <w:r>
              <w:rPr>
                <w:rFonts w:ascii="times new roman" w:hAnsi="times new roman"/>
                <w:sz w:val="20"/>
              </w:rPr>
              <w:t>(Years)</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Aggregate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Intrinsic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Value (in </w:t>
            </w:r>
          </w:p>
          <w:p>
            <w:pPr>
              <w:pStyle w:val="TableContents"/>
              <w:spacing w:before="0" w:after="0"/>
              <w:ind w:left="0" w:right="0" w:hanging="0"/>
              <w:jc w:val="center"/>
              <w:rPr>
                <w:rFonts w:ascii="times new roman" w:hAnsi="times new roman"/>
                <w:sz w:val="20"/>
              </w:rPr>
            </w:pPr>
            <w:r>
              <w:rPr>
                <w:rFonts w:ascii="times new roman" w:hAnsi="times new roman"/>
                <w:sz w:val="20"/>
              </w:rPr>
              <w:t>thousands)</w:t>
            </w:r>
          </w:p>
        </w:tc>
        <w:tc>
          <w:tcPr>
            <w:tcW w:w="129" w:type="dxa"/>
            <w:tcBorders/>
            <w:shd w:fill="auto" w:val="clear"/>
            <w:vAlign w:val="bottom"/>
          </w:tcPr>
          <w:p>
            <w:pPr>
              <w:pStyle w:val="TableContents"/>
              <w:spacing w:before="0" w:after="283"/>
              <w:jc w:val="left"/>
              <w:rPr/>
            </w:pPr>
            <w:r>
              <w:rPr/>
              <w:t> </w:t>
            </w:r>
          </w:p>
        </w:tc>
      </w:tr>
      <w:tr>
        <w:trPr/>
        <w:tc>
          <w:tcPr>
            <w:tcW w:w="43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July 31, 2010</w:t>
            </w:r>
          </w:p>
        </w:tc>
        <w:tc>
          <w:tcPr>
            <w:tcW w:w="106"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10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w:t>
            </w:r>
          </w:p>
        </w:tc>
        <w:tc>
          <w:tcPr>
            <w:tcW w:w="17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75" w:type="dxa"/>
            <w:tcBorders/>
            <w:shd w:fill="CCEEFF" w:val="clear"/>
            <w:vAlign w:val="bottom"/>
          </w:tcPr>
          <w:p>
            <w:pPr>
              <w:pStyle w:val="TableContents"/>
              <w:spacing w:before="0" w:after="283"/>
              <w:jc w:val="left"/>
              <w:rPr/>
            </w:pPr>
            <w:r>
              <w:rPr/>
              <w:t> </w:t>
            </w:r>
          </w:p>
        </w:tc>
        <w:tc>
          <w:tcPr>
            <w:tcW w:w="11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3,934</w:t>
            </w:r>
          </w:p>
        </w:tc>
        <w:tc>
          <w:tcPr>
            <w:tcW w:w="129" w:type="dxa"/>
            <w:tcBorders/>
            <w:shd w:fill="CCEEFF" w:val="clear"/>
            <w:vAlign w:val="bottom"/>
          </w:tcPr>
          <w:p>
            <w:pPr>
              <w:pStyle w:val="TableContents"/>
              <w:spacing w:before="0" w:after="283"/>
              <w:jc w:val="left"/>
              <w:rPr/>
            </w:pPr>
            <w:r>
              <w:rPr/>
              <w:t> </w:t>
            </w:r>
          </w:p>
        </w:tc>
      </w:tr>
      <w:tr>
        <w:trPr/>
        <w:tc>
          <w:tcPr>
            <w:tcW w:w="43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06"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pPr>
            <w:r>
              <w:rPr/>
              <w:t> </w:t>
            </w:r>
          </w:p>
        </w:tc>
        <w:tc>
          <w:tcPr>
            <w:tcW w:w="10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106"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7.47</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112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29" w:type="dxa"/>
            <w:tcBorders/>
            <w:shd w:fill="FFFFFF" w:val="clear"/>
            <w:vAlign w:val="bottom"/>
          </w:tcPr>
          <w:p>
            <w:pPr>
              <w:pStyle w:val="TableContents"/>
              <w:spacing w:before="0" w:after="283"/>
              <w:jc w:val="left"/>
              <w:rPr/>
            </w:pPr>
            <w:r>
              <w:rPr/>
              <w:t> </w:t>
            </w:r>
          </w:p>
        </w:tc>
      </w:tr>
      <w:tr>
        <w:trPr/>
        <w:tc>
          <w:tcPr>
            <w:tcW w:w="43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October 31, 2010</w:t>
            </w:r>
          </w:p>
        </w:tc>
        <w:tc>
          <w:tcPr>
            <w:tcW w:w="106" w:type="dxa"/>
            <w:tcBorders/>
            <w:shd w:fill="CCEEFF" w:val="clear"/>
            <w:vAlign w:val="bottom"/>
          </w:tcPr>
          <w:p>
            <w:pPr>
              <w:pStyle w:val="TableContents"/>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w:t>
            </w:r>
          </w:p>
        </w:tc>
        <w:tc>
          <w:tcPr>
            <w:tcW w:w="17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75" w:type="dxa"/>
            <w:tcBorders/>
            <w:shd w:fill="CCEEFF" w:val="clear"/>
            <w:vAlign w:val="bottom"/>
          </w:tcPr>
          <w:p>
            <w:pPr>
              <w:pStyle w:val="TableContents"/>
              <w:spacing w:before="0" w:after="283"/>
              <w:jc w:val="left"/>
              <w:rPr/>
            </w:pPr>
            <w:r>
              <w:rPr/>
              <w:t> </w:t>
            </w:r>
          </w:p>
        </w:tc>
        <w:tc>
          <w:tcPr>
            <w:tcW w:w="11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3,399</w:t>
            </w:r>
          </w:p>
        </w:tc>
        <w:tc>
          <w:tcPr>
            <w:tcW w:w="129" w:type="dxa"/>
            <w:tcBorders/>
            <w:shd w:fill="CCEEFF" w:val="clear"/>
            <w:vAlign w:val="bottom"/>
          </w:tcPr>
          <w:p>
            <w:pPr>
              <w:pStyle w:val="TableContents"/>
              <w:spacing w:before="0" w:after="283"/>
              <w:jc w:val="left"/>
              <w:rPr/>
            </w:pPr>
            <w:r>
              <w:rPr/>
              <w:t> </w:t>
            </w:r>
          </w:p>
        </w:tc>
      </w:tr>
      <w:tr>
        <w:trPr/>
        <w:tc>
          <w:tcPr>
            <w:tcW w:w="43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exercisable, October 31, 2010</w:t>
            </w:r>
          </w:p>
        </w:tc>
        <w:tc>
          <w:tcPr>
            <w:tcW w:w="106" w:type="dxa"/>
            <w:tcBorders/>
            <w:shd w:fill="FFFFFF" w:val="clear"/>
            <w:vAlign w:val="bottom"/>
          </w:tcPr>
          <w:p>
            <w:pPr>
              <w:pStyle w:val="TableContents"/>
              <w:spacing w:before="0" w:after="283"/>
              <w:jc w:val="right"/>
              <w:rPr/>
            </w:pPr>
            <w:r>
              <w:rPr/>
              <w:t> </w:t>
            </w:r>
          </w:p>
        </w:tc>
        <w:tc>
          <w:tcPr>
            <w:tcW w:w="14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7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17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9.95</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c>
          <w:tcPr>
            <w:tcW w:w="11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3,349</w:t>
            </w:r>
          </w:p>
        </w:tc>
        <w:tc>
          <w:tcPr>
            <w:tcW w:w="12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amount of cash received from the exercise of stock options during the first quarter of fiscal 2011 was $294,000 and the related tax benefit was $154,000.  The amount of cash received from the exercise of stock options during the first quarter of fiscal 2010 was $54,000 and the related tax benefit was $6,000.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Restricted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1995 Plan and 2006 Plan both provide for grants of restricted stock.  The vesting schedule under the 1995 Plan has varied, but has generally been three years or less.  Grants issued under the 2006 Plan to date have vesting periods between two and five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2006 Plan, 129,933 restricted shares of Class B Stock and 2,000 restricted shares of Common Stock were granted in the first three months of fiscal 2011.  In the first three months of fiscal 2010, 5,182 restricted shares of Class B Stock were granted.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Included in our stock-based compensation expense in the first quarter of fiscal years 2011 and 2010 was $121,000 and $73,000, respectively, related to unvested restricted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Changes in our restricted stock outstanding during the first three months of fiscal 2011 were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57"/>
        <w:gridCol w:w="117"/>
        <w:gridCol w:w="149"/>
        <w:gridCol w:w="1142"/>
        <w:gridCol w:w="117"/>
        <w:gridCol w:w="117"/>
        <w:gridCol w:w="168"/>
        <w:gridCol w:w="1110"/>
        <w:gridCol w:w="128"/>
      </w:tblGrid>
      <w:tr>
        <w:trPr/>
        <w:tc>
          <w:tcPr>
            <w:tcW w:w="715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2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Restricted</w:t>
            </w:r>
          </w:p>
          <w:p>
            <w:pPr>
              <w:pStyle w:val="TableContents"/>
              <w:spacing w:before="0" w:after="0"/>
              <w:ind w:left="0" w:right="0" w:hanging="0"/>
              <w:jc w:val="center"/>
              <w:rPr/>
            </w:pPr>
            <w:r>
              <w:rPr/>
              <w:t> </w:t>
            </w:r>
            <w:r>
              <w:rPr>
                <w:rFonts w:ascii="times new roman" w:hAnsi="times new roman"/>
                <w:sz w:val="20"/>
              </w:rPr>
              <w:t>Shares</w:t>
            </w:r>
          </w:p>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Weighted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Average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Grant Date </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28" w:type="dxa"/>
            <w:tcBorders/>
            <w:shd w:fill="auto" w:val="clear"/>
            <w:vAlign w:val="bottom"/>
          </w:tcPr>
          <w:p>
            <w:pPr>
              <w:pStyle w:val="TableContents"/>
              <w:spacing w:before="0" w:after="283"/>
              <w:jc w:val="left"/>
              <w:rPr/>
            </w:pPr>
            <w:r>
              <w:rPr/>
              <w:t> </w:t>
            </w:r>
          </w:p>
        </w:tc>
      </w:tr>
      <w:tr>
        <w:trPr/>
        <w:tc>
          <w:tcPr>
            <w:tcW w:w="71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Unvested restricted stock at July 31, 2010</w:t>
            </w:r>
          </w:p>
        </w:tc>
        <w:tc>
          <w:tcPr>
            <w:tcW w:w="117" w:type="dxa"/>
            <w:tcBorders/>
            <w:shd w:fill="CCEEFF" w:val="clear"/>
            <w:vAlign w:val="bottom"/>
          </w:tcPr>
          <w:p>
            <w:pPr>
              <w:pStyle w:val="TableContents"/>
              <w:spacing w:before="0" w:after="283"/>
              <w:jc w:val="right"/>
              <w:rPr/>
            </w:pPr>
            <w:r>
              <w:rPr/>
              <w:t> </w:t>
            </w:r>
          </w:p>
        </w:tc>
        <w:tc>
          <w:tcPr>
            <w:tcW w:w="149" w:type="dxa"/>
            <w:tcBorders/>
            <w:shd w:fill="CCEEFF" w:val="clear"/>
            <w:vAlign w:val="bottom"/>
          </w:tcPr>
          <w:p>
            <w:pPr>
              <w:pStyle w:val="TableContents"/>
              <w:spacing w:before="0" w:after="283"/>
              <w:jc w:val="left"/>
              <w:rPr/>
            </w:pPr>
            <w:r>
              <w:rPr/>
              <w:t> </w:t>
            </w:r>
          </w:p>
        </w:tc>
        <w:tc>
          <w:tcPr>
            <w:tcW w:w="11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15.31</w:t>
            </w:r>
          </w:p>
        </w:tc>
        <w:tc>
          <w:tcPr>
            <w:tcW w:w="128" w:type="dxa"/>
            <w:tcBorders/>
            <w:shd w:fill="CCEEFF" w:val="clear"/>
            <w:vAlign w:val="bottom"/>
          </w:tcPr>
          <w:p>
            <w:pPr>
              <w:pStyle w:val="TableContents"/>
              <w:spacing w:before="0" w:after="283"/>
              <w:jc w:val="left"/>
              <w:rPr/>
            </w:pPr>
            <w:r>
              <w:rPr/>
              <w:t> </w:t>
            </w:r>
          </w:p>
        </w:tc>
      </w:tr>
      <w:tr>
        <w:trPr/>
        <w:tc>
          <w:tcPr>
            <w:tcW w:w="71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7"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21.81</w:t>
            </w:r>
          </w:p>
        </w:tc>
        <w:tc>
          <w:tcPr>
            <w:tcW w:w="128" w:type="dxa"/>
            <w:tcBorders/>
            <w:shd w:fill="FFFFFF" w:val="clear"/>
            <w:vAlign w:val="bottom"/>
          </w:tcPr>
          <w:p>
            <w:pPr>
              <w:pStyle w:val="TableContents"/>
              <w:spacing w:before="0" w:after="283"/>
              <w:jc w:val="left"/>
              <w:rPr/>
            </w:pPr>
            <w:r>
              <w:rPr/>
              <w:t> </w:t>
            </w:r>
          </w:p>
        </w:tc>
      </w:tr>
      <w:tr>
        <w:trPr/>
        <w:tc>
          <w:tcPr>
            <w:tcW w:w="71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Unvested restricted stock at October 31, 2010</w:t>
            </w:r>
          </w:p>
        </w:tc>
        <w:tc>
          <w:tcPr>
            <w:tcW w:w="117" w:type="dxa"/>
            <w:tcBorders/>
            <w:shd w:fill="CCEEFF" w:val="clear"/>
            <w:vAlign w:val="bottom"/>
          </w:tcPr>
          <w:p>
            <w:pPr>
              <w:pStyle w:val="TableContents"/>
              <w:spacing w:before="0" w:after="283"/>
              <w:jc w:val="right"/>
              <w:rPr/>
            </w:pPr>
            <w:r>
              <w:rPr/>
              <w:t> </w:t>
            </w:r>
          </w:p>
        </w:tc>
        <w:tc>
          <w:tcPr>
            <w:tcW w:w="14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w:t>
            </w:r>
          </w:p>
        </w:tc>
        <w:tc>
          <w:tcPr>
            <w:tcW w:w="12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5" w:name="PGBRK11"/>
      <w:bookmarkStart w:id="296" w:name="PGBRK11"/>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7" w:name="FTR11"/>
      <w:bookmarkStart w:id="298" w:name="FTR11"/>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9" w:name="GLFTR11"/>
      <w:bookmarkEnd w:id="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0" w:name="PN11"/>
      <w:bookmarkEnd w:id="300"/>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1" w:name="HDR11"/>
      <w:bookmarkStart w:id="302" w:name="HDR11"/>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3" w:name="GLHDR11"/>
      <w:bookmarkEnd w:id="3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Fonts w:ascii="Times New Roman" w:hAnsi="Times New Roman"/>
          <w:b/>
          <w:sz w:val="20"/>
        </w:rPr>
        <w:t>9.</w:t>
      </w:r>
      <w:bookmarkStart w:id="304" w:name="TAB27"/>
      <w:bookmarkEnd w:id="304"/>
      <w:r>
        <w:rPr>
          <w:color w:val="000000"/>
          <w:spacing w:val="180"/>
        </w:rPr>
        <w:t> </w:t>
      </w:r>
      <w:r>
        <w:rPr>
          <w:rFonts w:ascii="Times New Roman" w:hAnsi="Times New Roman"/>
          <w:b/>
          <w:sz w:val="20"/>
        </w:rPr>
        <w:t>SUBSEQUENT EV</w:t>
      </w:r>
      <w:bookmarkStart w:id="305" w:name="14"/>
      <w:bookmarkEnd w:id="305"/>
      <w:r>
        <w:rPr>
          <w:rFonts w:ascii="Times New Roman" w:hAnsi="Times New Roman"/>
          <w:b/>
          <w:sz w:val="20"/>
        </w:rPr>
        <w:t>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highlight w:val="white"/>
        </w:rPr>
      </w:pPr>
      <w:r>
        <w:rPr>
          <w:rFonts w:ascii="Times New Roman" w:hAnsi="Times New Roman"/>
          <w:sz w:val="20"/>
          <w:highlight w:val="white"/>
        </w:rPr>
        <w:t>On November 12, 2010, we sold at aggregate face value $18,500,000 in senior promissory notes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 Agreement”).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2.     MANAGEMENT’S DISCUSSION AND ANALYSIS OF</w:t>
      </w:r>
    </w:p>
    <w:p>
      <w:pPr>
        <w:pStyle w:val="TextBody"/>
        <w:spacing w:before="0" w:after="0"/>
        <w:ind w:left="990" w:right="0" w:hanging="0"/>
        <w:jc w:val="both"/>
        <w:rPr>
          <w:rFonts w:ascii="Times New Roman" w:hAnsi="Times New Roman"/>
          <w:b/>
          <w:sz w:val="20"/>
        </w:rPr>
      </w:pPr>
      <w:bookmarkStart w:id="306" w:name="TAB1182"/>
      <w:bookmarkEnd w:id="306"/>
      <w:r>
        <w:rPr>
          <w:rFonts w:ascii="Times New Roman" w:hAnsi="Times New Roman"/>
          <w:b/>
          <w:sz w:val="20"/>
        </w:rPr>
        <w:t>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2010.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7 of the unaudited condensed consolidated financial stat 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the result of a change in management organization in fiscal 2011, our sports field products are now included in the Retail and Wholesale Products Group.  Prior year segment net sales and operating income have been restated to reflect this change.  The organization change was intended to better serve our customers and the segment information presented reflects the information regularly reviewed by our chief operating decision maker.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THREE MONTHS ENDED OCTOBER 31, 2010 COMPARED TO</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THREE MONTHS ENDED OCTOBER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Consolidated net sales for the three months ended October 31, 2010 were $56,285,000, an increase of 5% from net sales of $53,404,000 for the three months ended October 31, 2009.  Net income for the first quarter of fiscal 2011 was $2,519,000, an increase of 15% from net income of $2,194,000 in the first quarter of fiscal 2010.  Diluted net income per share for the first quarter of fiscal 2011 was $0.35 compared to $0.30 for the first quarter of fiscal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Consolidated net income for the first quarter of fiscal 2011 was positively affected by an increased proportion of sales from products with a higher net selling price and by a lower cost for fuel used in our manufacturing processes.  These positive impacts on net income more than offset a decline in total tons sold, higher costs for freight, materials and packaging and higher selling, general and administrative expenses.  The change in selling, general and administrative expenses is described in the operating segments and consolidated results discussions below.  Freight costs increased due to higher diesel fuel prices.  Materials costs increased due to higher non-energy manufacturing costs, as discussed in the consolidated results below, which were partially offset by the benefit of lower energy- related costs in our mining and manufacturing processes.  Packaging costs increased due to fluctuations in the resin and paper markets.  The Business to Business Products Group’s segment operating income improved due to a greater proportion of sales from products with a higher net selling price and due to increased tons sold, which outweighed the impact of higher costs.  The Retail and Wholesale Products Group’s segment operating income decreased slightly due to fewer tons sold, higher costs and weak performance of our foreign subsidiaries.</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 w:name="PGBRK12"/>
      <w:bookmarkStart w:id="308" w:name="PGBRK12"/>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FTR12"/>
      <w:bookmarkStart w:id="310" w:name="FTR12"/>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1" w:name="GLFTR12"/>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2" w:name="PN12"/>
      <w:bookmarkEnd w:id="312"/>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HDR12"/>
      <w:bookmarkStart w:id="314" w:name="HDR12"/>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5" w:name="GLHDR12"/>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BUSINESS TO BUSINESS PRODUCTS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Business to Business Products Group for the first quarter of fiscal 2011 were $19,045,000, an increase of $2,268,000, or 14%, from net sales of $16,777,000 in the first quarter of fiscal 2010.  The Group benefited from a greater proportion of sales from products with a higher net selling price, along with a 4% increase in tons sold.  Net sales of fluid purification and agricultural chemical carrier products increased, while net sales of animal health and nutrition products and co-packaged cat litter decreased.  Net sales of fluid purification products increased 19% with 17% more tons sold in the first quarter of fiscal 2011 compared to the first quarter of fiscal 2010.  Sales to new customers and increased sales to existing customers contributed to the higher net sales.  0;Sales in some export markets improved in part due to a weaker U.S. dollar relative to certain foreign currencies, which made our products more competitive in the global marketplace.  This year’s soybean crop also requires more clay to bleach impurities during oil processing compared to the prior year’s crop.  Net sales of agricultural chemical carrier products increased 59% with 49% more tons sold.  The higher net sales in the first quarter of fiscal 2011 reflected a return to more historical levels of tons sold.  Sales were exceptionally low in the first quarter of fiscal 2010 as high customer inventory levels contributed to lower demand for our products.  Agricultural chemical carrier sales also benefited from a greater proportion of sales from higher priced products.  Animal health and nutrition products net sales decreased 12% compared to the first quarter of fiscal 2010.  Sales of our enterosorbent animal health products declined due primarily to the loss of a customer.  Our co-packaged traditional coarse cat litter net sales decreased 1% due to the continued decline of the coarse cat litter market as a whole.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Business to Business Products Group’s segment operating income for the first quarter of fiscal 2011 was $5,288,000, an increase of $667,000, or 14%, from operating income of $4,621,000 in the first quarter of fiscal 2010.  This increase was driven by the higher sales described above that were partially offset by higher costs.  Combined freight, materials and packaging costs increased approximately 16%.  Freight costs increased approximately 23% due primarily to higher diesel fuel prices and increased export sales.  Material costs increased approximately 15% as higher non-fuel manufacturing costs more than offset the lower cost of fuel used in manufacturing.  See the discussion of manufacturing costs under Consolidated Results below.  Packaging costs also increased 3% due to fluctuations in the price of paper and resin.  Selling, general and administrative expenses for the Group were up 8% compared to the first quarter of fiscal 2010 due primarily to increased advertising and travel to promote our animal health and nutrition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RETAIL AND WHOLESALE PRODUCTS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Retail and Wholesale Products Group for the first quarter of fiscal 2011 were $37,240,000, an increase of $613,000, or 2%, from net sales of $36,627,000 in the first quarter of fiscal 2010.  The increase in net sales was driven by higher sales of cat litter and industrial absorbents.  These increases outweighed a decrease in sales by our foreign subsidiaries as described under Foreign Operations below.  Cat litter net sales were up approximately 5% due to a greater proportion of sales from products with a higher net selling price and lower trade spending for product promotion, which is deducted from net sales.  Net sales of branded cat litter increased approximately 12% due to 6% more tons sold and lower trade spending.  Wal-Mart Stores, Inc. (“Wal-Mart”) be gan to carry a reduced number of cat litter brands in the first quarter of fiscal 2010.  During the third quarter of fiscal 2010, Wal-Mart reinstated our branded scoopable litter in a limited number of stores; however, the new store count remains materially reduced from the store count at the end of fiscal 2009.  Sales to Wal-Mart for the first quarter of fiscal 2011 were higher than for the first quarter of fiscal 2010, but remain lower than historical periods.  Our branded cat litter net sales also increased at customers other than Wal-Mart.  Partially offsetting the increase in branded cat litter sales was a 1% decrease in net sales of private label cat litter.  Industrial absorbents net sales increased 4% compared to the first quarter of fiscal 2010 due primarily to increased demand from industrial distributors.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Retail and Wholesale Products Group’s segment operating income for the first quarter of fiscal 2011 was $3,066,000, a decrease of $38,000, or 1%, from operating income of $3,104,000 in the first quarter of fiscal 2010.  The Group’s combined freight, materials and packaging costs increased approximately 6% from the first quarter of fiscal 2010.  Freight costs increased approximately 6% due primarily to higher diesel fuel prices.  Material costs increased approximately 6% as higher non-fuel manufacturing costs more than offset the lower cost of fuel used in manufacturing.  See the discussion of manufacturing costs under Consolidated Results below.  Packaging costs also increased approximately 5% due to fluctuations in the price of paper and resin.  Selling, gener al and administrative expenses for the Group were 3% higher compared to the first quarter of fiscal 2010 due primarily to higher costs for new product market research, which were partially offset by reduced bad debt expense.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 w:name="PGBRK13"/>
      <w:bookmarkStart w:id="317" w:name="PGBRK13"/>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FTR13"/>
      <w:bookmarkStart w:id="319" w:name="FTR13"/>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0" w:name="GLFTR13"/>
      <w:bookmarkEnd w:id="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1" w:name="PN13"/>
      <w:bookmarkEnd w:id="32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HDR13"/>
      <w:bookmarkStart w:id="323" w:name="HDR13"/>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4" w:name="GLHDR13"/>
      <w:bookmarkEnd w:id="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CONSOLIDATED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consolidated gross profit as a percentage of net sales for the first quarter of fiscal 2011 was 23%, the same as in the first quarter of fiscal 2010.  Gross profit was positively impacted by an increased proportion of sales from products with a higher net selling price and by a lower cost of fuel used in our manufacturing processes that prevailed over higher costs for packaging, freight and materials.  The cost of fuel was 9% lower in the first quarter of fiscal 2011 compared to the first quarter of fiscal 2010.  We use natural gas, fuel oil and coal in the manufacturing process to operate kilns that dry our clay.  As described in Item 3. Quantitative and Qualitative Disclosures About Market Risk below, we have contracted for a portion of our planned fuel needs for fiscal 2011.  Gro ss profit for the first quarter of fiscal 2011 was negatively impacted by a 6% increase in non-fuel manufacturing cost per ton produced, which includes depreciation and amortization.  This cost increase was driven primarily by increased manufacturing of products that required purchased additives, fragrances and other materials.  Labor and benefits costs also increased compared to the prior year.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Selling, general and administrative expenses as a percentage of net sales for the first quarter of fiscal 2011 were 17%, the same as for the first quarter of fiscal 2010.  The discussions of the Groups’ operating income above describe the fluctuation in the selling, general and administrative expenses that were allocated to the operating segments.  The remaining unallocated corporate expenses in the first quarter of fiscal 2011 included a lower quarterly estimated annual incentive plan bonus accrual.  The quarter’s incentive bonus expense was based on performance targets that are established for each fiscal year.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Interest expense was $37,000 higher for the first quarter of fiscal 2011 compared to the same period in fiscal 2010.  Interest expense increased due to the discontinued capitalization of interest for a new product-related capital project.  This increase was partially offset by a reduction in interest expense due to continued debt reduction.  Interest income was $21,000 lower in the first quarter of fiscal 2011 due to lower average investment balances and a lower average interest rate.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effective tax rate was 28% of pre-tax income in the first quarter of fiscal 2011, compared to the 26% effective tax rate for the full year of fiscal 2010.  The effective tax rate for fiscal 2011 is based on the projected composition and level of our taxable income for the year.  The tax rate in fiscal 2010 reflected the utilization of prior period Alternative Minimum Tax credits.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assets decreased $2,639,000, or 2%, during the first three months of fiscal 2011.  Current assets decreased $2,142,000, or 3%, from fiscal 2010 year end balances due primarily to lower cash and cash equivalents and investment in short-term securities.  These decreases were partially offset by increases in inventories, accounts receivable and prepaid expenses.  The changes in current assets are described below in Liquidity and Capital Resources.  Property, plant and equipment, net of accumulated depreciation, decreased $411,000 during the first three months of fiscal 2011 due to depreciation expense in excess of additions.  Additions were primarily for replacement of machinery and other capital projects at our manufacturing facilities.  Other noncurrent assets decreased $ 86,000 from fiscal 2010 year end balances due to amortization of certain other assets and lower deferred income taxes.  These decreases were partially offset by increased cash surrender value of life insurance on key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liabilities decreased $4,201,000 during the first three months of fiscal 2011.  Current liabilities decreased $2,270,000, or 8%, from fiscal 2010 year end balances due primarily to decreased accrued salaries that was partially offset by increased current maturities of notes payable and accrued trade promotions  Current maturities of notes payable increased as the amount reclassified from noncurrent liabilities was greater than debt payments.  The changes in current liabilities are described below in Liquidity and Capital Resources.  Noncurrent liabilities decreased $1,931,000, or 5%, from fiscal 2010 year end balances due to the reclassification of notes payable and deferred compensation from noncurrent to current.  These decreases were partially offset by higher accruals for pens ion and postretirement benefits based on the most recent actuarial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FOREIGN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by our foreign subsidiaries during the first three months of fiscal 2011 were $3,049,000, a decrease of 20% from net sales of $3,817,000 during the first three months of fiscal 2010.  Net sales by our foreign subsidiaries represented 5% of our consolidated net sales during the first three months of fiscal 2011, compared to 7% during the first three months of fiscal 2010.  Net sales declined 15% for our Canadian subsidiary and 38% for our United Kingdom subsidiary.  Cat litter sales were lower for our Canadian subsidiary due to the loss of a customer and lower sales to existing customers.  The impact of this sales decline was lessened by the relative strength of the Canadian Dollar compared to the U.S. Dollar.  The Canadian Dollar was about 4% stronger on average against the U. S. Dollar for the first three months of fiscal 2011 compared to the first three months of fiscal 2010, which resulted in higher sales values after translation to U.S. Dollars.  Net sales of industrial absorbents by our United Kingdom subsidiary declined due primarily to continued weakness in industrial markets and unfavorable currency translation fluctuations.  The British Pound was about 4% weaker on average against the U.S. Dollar for the first three months of fiscal 2011 compared to the first three months of fiscal 2010, which resulted in lower sales values after translation to U.S. Dollars.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14"/>
      <w:bookmarkStart w:id="326" w:name="PGBRK14"/>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14"/>
      <w:bookmarkStart w:id="328" w:name="FTR14"/>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14"/>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 w:name="PN14"/>
      <w:bookmarkEnd w:id="330"/>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14"/>
      <w:bookmarkStart w:id="332" w:name="HDR14"/>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14"/>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first three months of fiscal 2011, our foreign subsidiaries reported a net loss of $205,000, compared to net income of $302,000 in the first three months of fiscal 2010.  The decrease in the net income was due to the lower sales described above and higher costs for repairs and labor.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Identifiable assets of our foreign subsidiaries as of October 31, 2010 were $9,283,000 compared to $9,610,000 as of October 31, 2009.  The decrease is primarily due to the sale of a building in our United Kingdom subsidiary and lower investment in short-term securities and inventories, partially offset by higher cash and cash equivalent balances.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LIQUIDITY AND CAPITAL RESOURCES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decreased $2,663,000 during the first three months of fiscal 2011 to $16,099,000 at October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certain elements of our unaudited condensed consolidated statements of cash flows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82"/>
        <w:gridCol w:w="110"/>
        <w:gridCol w:w="128"/>
        <w:gridCol w:w="1003"/>
        <w:gridCol w:w="116"/>
        <w:gridCol w:w="110"/>
        <w:gridCol w:w="128"/>
        <w:gridCol w:w="1003"/>
        <w:gridCol w:w="125"/>
      </w:tblGrid>
      <w:tr>
        <w:trPr/>
        <w:tc>
          <w:tcPr>
            <w:tcW w:w="748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8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25" w:type="dxa"/>
            <w:tcBorders/>
            <w:shd w:fill="auto" w:val="clear"/>
            <w:vAlign w:val="bottom"/>
          </w:tcPr>
          <w:p>
            <w:pPr>
              <w:pStyle w:val="TableContents"/>
              <w:spacing w:before="0" w:after="283"/>
              <w:jc w:val="left"/>
              <w:rPr/>
            </w:pPr>
            <w:r>
              <w:rPr/>
              <w:t> </w:t>
            </w:r>
          </w:p>
        </w:tc>
      </w:tr>
      <w:tr>
        <w:trPr/>
        <w:tc>
          <w:tcPr>
            <w:tcW w:w="748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October 31, </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October 31, </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5" w:type="dxa"/>
            <w:tcBorders/>
            <w:shd w:fill="auto" w:val="clear"/>
            <w:vAlign w:val="bottom"/>
          </w:tcPr>
          <w:p>
            <w:pPr>
              <w:pStyle w:val="TableContents"/>
              <w:spacing w:before="0" w:after="283"/>
              <w:jc w:val="left"/>
              <w:rPr/>
            </w:pPr>
            <w:r>
              <w:rPr/>
              <w:t> </w:t>
            </w:r>
          </w:p>
        </w:tc>
      </w:tr>
      <w:tr>
        <w:trPr/>
        <w:tc>
          <w:tcPr>
            <w:tcW w:w="748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provided by operating activities</w:t>
            </w:r>
          </w:p>
        </w:tc>
        <w:tc>
          <w:tcPr>
            <w:tcW w:w="110" w:type="dxa"/>
            <w:tcBorders/>
            <w:shd w:fill="CCEEFF" w:val="clear"/>
            <w:vAlign w:val="bottom"/>
          </w:tcPr>
          <w:p>
            <w:pPr>
              <w:pStyle w:val="TableContents"/>
              <w:spacing w:before="0" w:after="283"/>
              <w:jc w:val="lef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7,639</w:t>
            </w:r>
          </w:p>
        </w:tc>
        <w:tc>
          <w:tcPr>
            <w:tcW w:w="125" w:type="dxa"/>
            <w:tcBorders/>
            <w:shd w:fill="CCEEFF" w:val="clear"/>
            <w:vAlign w:val="bottom"/>
          </w:tcPr>
          <w:p>
            <w:pPr>
              <w:pStyle w:val="TableContents"/>
              <w:spacing w:before="0" w:after="283"/>
              <w:jc w:val="left"/>
              <w:rPr/>
            </w:pPr>
            <w:r>
              <w:rPr/>
              <w:t> </w:t>
            </w:r>
          </w:p>
        </w:tc>
      </w:tr>
      <w:tr>
        <w:trPr/>
        <w:tc>
          <w:tcPr>
            <w:tcW w:w="748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provided by (used in) investing activities</w:t>
            </w:r>
          </w:p>
        </w:tc>
        <w:tc>
          <w:tcPr>
            <w:tcW w:w="110" w:type="dxa"/>
            <w:tcBorders/>
            <w:shd w:fill="FFFFFF" w:val="clear"/>
            <w:vAlign w:val="bottom"/>
          </w:tcPr>
          <w:p>
            <w:pPr>
              <w:pStyle w:val="TableContents"/>
              <w:spacing w:before="0" w:after="283"/>
              <w:jc w:val="left"/>
              <w:rPr/>
            </w:pPr>
            <w:r>
              <w:rPr/>
              <w:t> </w:t>
            </w:r>
          </w:p>
        </w:tc>
        <w:tc>
          <w:tcPr>
            <w:tcW w:w="128"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8"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(2,323</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financing activities</w:t>
            </w:r>
          </w:p>
        </w:tc>
        <w:tc>
          <w:tcPr>
            <w:tcW w:w="110" w:type="dxa"/>
            <w:tcBorders/>
            <w:shd w:fill="CCEEFF" w:val="clear"/>
            <w:vAlign w:val="bottom"/>
          </w:tcPr>
          <w:p>
            <w:pPr>
              <w:pStyle w:val="TableContents"/>
              <w:spacing w:before="0" w:after="283"/>
              <w:jc w:val="left"/>
              <w:rPr/>
            </w:pPr>
            <w:r>
              <w:rPr/>
              <w:t> </w:t>
            </w:r>
          </w:p>
        </w:tc>
        <w:tc>
          <w:tcPr>
            <w:tcW w:w="128"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(2,634</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Effect of exchange rate changes on cash and cash equivalents</w:t>
            </w:r>
          </w:p>
        </w:tc>
        <w:tc>
          <w:tcPr>
            <w:tcW w:w="110" w:type="dxa"/>
            <w:tcBorders/>
            <w:shd w:fill="FFFFFF" w:val="clear"/>
            <w:vAlign w:val="bottom"/>
          </w:tcPr>
          <w:p>
            <w:pPr>
              <w:pStyle w:val="TableContents"/>
              <w:spacing w:before="0" w:after="283"/>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FFFFFF" w:val="clear"/>
            <w:vAlign w:val="bottom"/>
          </w:tcPr>
          <w:p>
            <w:pPr>
              <w:pStyle w:val="TableContents"/>
              <w:spacing w:before="0" w:after="283"/>
              <w:jc w:val="left"/>
              <w:rPr/>
            </w:pPr>
            <w:r>
              <w:rPr/>
              <w:t> </w:t>
            </w:r>
          </w:p>
        </w:tc>
      </w:tr>
      <w:tr>
        <w:trPr/>
        <w:tc>
          <w:tcPr>
            <w:tcW w:w="748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(decrease) increase in cash and cash equivalents</w:t>
            </w:r>
          </w:p>
        </w:tc>
        <w:tc>
          <w:tcPr>
            <w:tcW w:w="110" w:type="dxa"/>
            <w:tcBorders/>
            <w:shd w:fill="CCEEFF" w:val="clear"/>
            <w:vAlign w:val="bottom"/>
          </w:tcPr>
          <w:p>
            <w:pPr>
              <w:pStyle w:val="TableContents"/>
              <w:spacing w:before="0" w:after="283"/>
              <w:jc w:val="lef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(2,663</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4,189</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provided by operating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cash used in operations was $464,000 for the first three months of fiscal 2011, compared to net cash provided by operations of $7,639,000 for the first three months of fiscal 2010.  The change was due primarily to working capital fluctuations.  For the first three months of fiscal years 2011 and 2010, the primary components of working capital that impacted operating cash flows were as follows: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receivable, less allowance for doubtful accounts, increased $859,000 in the first three months of fiscal 2011.  Net sales in the first quarter of fiscal 2011 were more than net sales in the fourth quarter of fiscal 2010.  Accounts receivable, less allowance for doubtful accounts, decreased $3,431,000 in the first three months of fiscal 2010 due to lower sales in the first quarter of fiscal 2010 compared to sales in the fourth quarter of fiscal 2009.  The change in both periods is also subject to timing of sales and collections and the payment terms provided to various customers.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Inventories increased $1,273,000 in the first three months of fiscal 2011 compared to a decrease of $1,397,000 in the same period in fiscal 2010.  Finished goods and packaging inventories increased in the first three months of fiscal 2011 to meet the requirements of higher sales and due to higher costs.  Conversely, these inventories decreased in the first three months of fiscal 2010 primarily due to lower sales requirements and lower costs.  Supplies inventories decreased in the first quarter of fiscal 2010 due to the adjustment of an overstatement described in Note 2 to the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Prepaid expenses increased $394,000 in the first three months of fiscal 2011 and increased $219,000 in the first three months of fiscal 2010.  The timing of insurance premium payments resulted in an increase in prepaid expenses in both years, partially offset by a decrease in prepaid repair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assets decreased $20,000 in the first three months of fiscal 2011 and decreased $139,000 in the first three months of fiscal 2010.  The decrease in the first three months of fiscal 2010 included the reclassification of the current portion of a lease receivable.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 w:name="PGBRK15"/>
      <w:bookmarkStart w:id="335" w:name="PGBRK15"/>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FTR15"/>
      <w:bookmarkStart w:id="337" w:name="FTR15"/>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8" w:name="GLFTR15"/>
      <w:bookmarkEnd w:id="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9" w:name="PN15"/>
      <w:bookmarkEnd w:id="339"/>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HDR15"/>
      <w:bookmarkStart w:id="341" w:name="HDR15"/>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2" w:name="GLHDR15"/>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Accounts payable increased $55,000 in the first three months of fiscal 2011 compared to a decrease of $829,000 in the same period in fiscal 2010.  The increase in fiscal 2011 was due to higher trade payables partially offset by a lower income tax accrual.  The decrease in fiscal 2010 reflected fewer purchases due to lower production levels and costs.  Both years were subject to normal fluctuations in the timing of 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Accrued expenses decreased $2,830,000 in the first three months of fiscal 2011 compared to a decrease of $1,165,000 in the first three months of fiscal 2010.  Accrued salaries included the discretionary bonus accrual, which in both years decreased by the payout of the prior fiscal year’s bonus accrual and increased by the current fiscal year’s first three month bonus accrual.  The bonus paid out in fiscal 2011 was greater than the bonus paid out in fiscal 2010.  The accrual for trade promotions fluctuated due to the timing and level of promotional activities.  Accrued freight varied in both years due to the timing of payments and shipments at quarter-end.  Other accrued expenses included real estate taxes, which also varied due to the timing of 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Deferred compensation decreased $179,000 in the first three months of fiscal 2011 compared to an increase of $209,000 in the first three months of fiscal 2010.  The first payout of an executive deferred bonus award under our annual incentive plan occurred in the first quarter of fiscal 2011.  In the first quarter of fiscal 2010, employee deferrals and interest on accumulated deferred compensation balances exceeded payouts.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liabilities increased $392,000 in the first three months of fiscal 2011 compared to an increase of $481,000 in the same period of fiscal 2010.  Both years’ increases were due primarily to additional accruals for employee postretirement benefits.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provided by (used in) investing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provided by investing activities was $473,000 in the first three months of fiscal 2011 compared to cash used in investing activities of $2,323,000 in the first three months of fiscal 2010.  In the first three months of fiscal 2011, $2,001,000 net cash was provided by dispositions of investment securities, compared to the first three months of fiscal 2010 when $996,000 net cash was used to purchase investment securities.  In the first quarter of fiscal 2011, cash from dispositions was used to fund larger payments on long-term debt, bonus payouts and capital expenditures compared to the first quarter of fiscal 2010.  Purchases and dispositions of investment securities in both periods are subject to variations in the timing of investment maturities.  Cash used for capital expenditures was $1,63 8,000 in the first three months of fiscal 2011 compared to $1,327,000 in the same period in fiscal 2010.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financing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used in financing activities was $2,634,000 in the first three months of fiscal 2011 compared to $1,140,000 in the first three months of fiscal 2010.  Cash used for payment of long-term debt in the first three months of fiscal 2011 was $1,300,000 more than in the first three months of fiscal 2010.  Cash used for dividend payments was $48,000 higher in the first quarter of fiscal 2011 due to a dividend increase.  In addition, cash used to purchase treasury stock was $511,000 in the first quarter of fiscal 2011, while no purchases were made in the same period of fiscal 2010.  Conversely, cash provided by issuance of Common Stock and treasury stock in connection with stock option exercises was $240,000 higher in the first three months of fiscal 2011 than in the first three months of fiscal 2010 .</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Other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cash and investment balances held by our foreign subsidiaries of $1,858,000 at October 31, 2010 were higher than the October 31, 2009 balances of $1,423,000 due to changes in working capital.  Accounts receivable and inventories were lower and accounts payable was higher at October 31, 2010 compared to October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As of October 31, 2010, the value of these guarantees was $64,000 of lease liabilities.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 $15,000,000 unsecured revolving credit agreement with Harris N.A. (“Harris”) which will expire December 31, 2011.  The credit agreement provides that we may select a variable rate based on either Harris’ prime rate or a LIBOR-based rate, plus a margin which varies depending on our debt to earnings ratio, or a fixed rate as agreed between us and Harris.  At October 31, 2010, the variable rates would have been 3.25% for Harris’ prime-based rate or 1.27% for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 verage ratio and a minimum consolidated net worth.  As of October 31, 2010 and 2009, no borrowings were outstanding under this credit facility and we were in compliance with its covenants.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 w:name="PGBRK16"/>
      <w:bookmarkStart w:id="344" w:name="PGBRK16"/>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FTR16"/>
      <w:bookmarkStart w:id="346" w:name="FTR16"/>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7" w:name="GLFTR16"/>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8" w:name="PN16"/>
      <w:bookmarkEnd w:id="348"/>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 w:name="HDR16"/>
      <w:bookmarkStart w:id="350" w:name="HDR16"/>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1" w:name="GLHDR16"/>
      <w:bookmarkEnd w:id="3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highlight w:val="white"/>
        </w:rPr>
      </w:pPr>
      <w:r>
        <w:rPr>
          <w:rFonts w:ascii="Times New Roman" w:hAnsi="Times New Roman"/>
          <w:sz w:val="20"/>
          <w:highlight w:val="white"/>
        </w:rPr>
        <w:t>On November 12, 2010, we sold at aggregate face value $18,500,000 in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See Note 9 of the notes to the unaudited condensed consolidated financial statements for more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October 31, 2010, we had remaining authority to repurchase 209,943 shares of common stock under a repurchase plan approved by the Board of Directors.  These repurchases may be made on the open market (pursuant to Rule 10b5-1 plans or otherwise) or in negotiated transactions and the timing and amount of shares repurchased will be determined by our management.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that cash flow from operations, availability under our revolving credit facility, proceeds from our sale of senior promissory notes and current cash and investment balances will provide adequate cash funds for foreseeable working capital needs, capital expenditures and debt service obligations for at least the next 12 months.  We currently expect cash requirements for capital expenditures in fiscal 2011 to be slightly higher than capital expenditures in fiscal 2010.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tables in the following subsection summarize our contractual obligations and commercial commitments at October 31, 2010 for the time frames indicated.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CONTRACTUAL OBLIGATIONS AND COMMERCIAL COMMITMENTS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47"/>
        <w:gridCol w:w="98"/>
        <w:gridCol w:w="125"/>
        <w:gridCol w:w="1054"/>
        <w:gridCol w:w="98"/>
        <w:gridCol w:w="98"/>
        <w:gridCol w:w="125"/>
        <w:gridCol w:w="1011"/>
        <w:gridCol w:w="98"/>
        <w:gridCol w:w="98"/>
        <w:gridCol w:w="125"/>
        <w:gridCol w:w="1054"/>
        <w:gridCol w:w="97"/>
        <w:gridCol w:w="98"/>
        <w:gridCol w:w="125"/>
        <w:gridCol w:w="1011"/>
        <w:gridCol w:w="98"/>
        <w:gridCol w:w="98"/>
        <w:gridCol w:w="125"/>
        <w:gridCol w:w="1011"/>
        <w:gridCol w:w="111"/>
      </w:tblGrid>
      <w:tr>
        <w:trPr/>
        <w:tc>
          <w:tcPr>
            <w:tcW w:w="3447"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6549"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 Due by Period</w:t>
            </w:r>
          </w:p>
        </w:tc>
        <w:tc>
          <w:tcPr>
            <w:tcW w:w="111" w:type="dxa"/>
            <w:tcBorders/>
            <w:shd w:fill="auto" w:val="clear"/>
            <w:vAlign w:val="bottom"/>
          </w:tcPr>
          <w:p>
            <w:pPr>
              <w:pStyle w:val="TableContents"/>
              <w:spacing w:before="0" w:after="283"/>
              <w:jc w:val="left"/>
              <w:rPr/>
            </w:pPr>
            <w:r>
              <w:rPr/>
              <w:t> </w:t>
            </w:r>
          </w:p>
        </w:tc>
      </w:tr>
      <w:tr>
        <w:trPr/>
        <w:tc>
          <w:tcPr>
            <w:tcW w:w="3447"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Contractual Obligations</w:t>
            </w:r>
          </w:p>
        </w:tc>
        <w:tc>
          <w:tcPr>
            <w:tcW w:w="98" w:type="dxa"/>
            <w:tcBorders/>
            <w:shd w:fill="auto" w:val="clear"/>
            <w:vAlign w:val="bottom"/>
          </w:tcPr>
          <w:p>
            <w:pPr>
              <w:pStyle w:val="TableContents"/>
              <w:spacing w:before="0" w:after="283"/>
              <w:rPr/>
            </w:pPr>
            <w:r>
              <w:rPr/>
              <w:t> </w:t>
            </w:r>
          </w:p>
        </w:tc>
        <w:tc>
          <w:tcPr>
            <w:tcW w:w="11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Less Than 1 Year</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 3 Years</w:t>
            </w:r>
          </w:p>
        </w:tc>
        <w:tc>
          <w:tcPr>
            <w:tcW w:w="97"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 – 5 Years</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After 5 Years</w:t>
            </w:r>
          </w:p>
        </w:tc>
        <w:tc>
          <w:tcPr>
            <w:tcW w:w="111" w:type="dxa"/>
            <w:tcBorders/>
            <w:shd w:fill="auto" w:val="clear"/>
            <w:vAlign w:val="bottom"/>
          </w:tcPr>
          <w:p>
            <w:pPr>
              <w:pStyle w:val="TableContents"/>
              <w:spacing w:before="0" w:after="283"/>
              <w:jc w:val="left"/>
              <w:rPr/>
            </w:pPr>
            <w:r>
              <w:rPr/>
              <w:t> </w:t>
            </w:r>
          </w:p>
        </w:tc>
      </w:tr>
      <w:tr>
        <w:trPr/>
        <w:tc>
          <w:tcPr>
            <w:tcW w:w="34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Long-Term Debt</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16,800,000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CCEEFF" w:val="clear"/>
            <w:vAlign w:val="bottom"/>
          </w:tcPr>
          <w:p>
            <w:pPr>
              <w:pStyle w:val="TableContents"/>
              <w:spacing w:before="0" w:after="283"/>
              <w:ind w:left="117" w:right="0" w:hanging="0"/>
              <w:jc w:val="right"/>
              <w:rPr>
                <w:rFonts w:ascii="times new roman" w:hAnsi="times new roman"/>
                <w:sz w:val="20"/>
              </w:rPr>
            </w:pPr>
            <w:bookmarkStart w:id="352" w:name="TAB1183"/>
            <w:bookmarkEnd w:id="352"/>
            <w:r>
              <w:rPr>
                <w:rFonts w:ascii="times new roman" w:hAnsi="times new roman"/>
                <w:sz w:val="20"/>
              </w:rPr>
              <w:t>4,100,000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8,800,000</w:t>
            </w:r>
          </w:p>
        </w:tc>
        <w:tc>
          <w:tcPr>
            <w:tcW w:w="97"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3,900,000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CCEEFF" w:val="clear"/>
            <w:vAlign w:val="bottom"/>
          </w:tcPr>
          <w:p>
            <w:pPr>
              <w:pStyle w:val="TableContents"/>
              <w:spacing w:before="0" w:after="283"/>
              <w:ind w:left="72" w:right="0" w:hanging="0"/>
              <w:jc w:val="right"/>
              <w:rPr>
                <w:rFonts w:ascii="times new roman" w:hAnsi="times new roman"/>
                <w:sz w:val="20"/>
              </w:rPr>
            </w:pPr>
            <w:bookmarkStart w:id="353" w:name="TAB1184"/>
            <w:bookmarkEnd w:id="353"/>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r>
      <w:tr>
        <w:trPr/>
        <w:tc>
          <w:tcPr>
            <w:tcW w:w="34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on Long-Term Debt</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ind w:left="124" w:right="0" w:hanging="0"/>
              <w:jc w:val="right"/>
              <w:rPr>
                <w:rFonts w:ascii="times new roman" w:hAnsi="times new roman"/>
                <w:sz w:val="20"/>
              </w:rPr>
            </w:pPr>
            <w:bookmarkStart w:id="354" w:name="TAB1185"/>
            <w:bookmarkEnd w:id="354"/>
            <w:r>
              <w:rPr>
                <w:rFonts w:ascii="times new roman" w:hAnsi="times new roman"/>
                <w:sz w:val="20"/>
              </w:rPr>
              <w:t>2,414,000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ind w:left="117" w:right="0" w:hanging="0"/>
              <w:jc w:val="right"/>
              <w:rPr>
                <w:rFonts w:ascii="times new roman" w:hAnsi="times new roman"/>
                <w:sz w:val="20"/>
              </w:rPr>
            </w:pPr>
            <w:bookmarkStart w:id="355" w:name="TAB1186"/>
            <w:bookmarkEnd w:id="355"/>
            <w:r>
              <w:rPr>
                <w:rFonts w:ascii="times new roman" w:hAnsi="times new roman"/>
                <w:sz w:val="20"/>
              </w:rPr>
              <w:t>957,000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ind w:left="72" w:right="0" w:hanging="0"/>
              <w:jc w:val="right"/>
              <w:rPr>
                <w:rFonts w:ascii="times new roman" w:hAnsi="times new roman"/>
                <w:sz w:val="20"/>
              </w:rPr>
            </w:pPr>
            <w:bookmarkStart w:id="356" w:name="TAB1187"/>
            <w:bookmarkEnd w:id="356"/>
            <w:r>
              <w:rPr>
                <w:rFonts w:ascii="times new roman" w:hAnsi="times new roman"/>
                <w:sz w:val="20"/>
              </w:rPr>
              <w:t>1,204,000</w:t>
            </w:r>
          </w:p>
        </w:tc>
        <w:tc>
          <w:tcPr>
            <w:tcW w:w="97"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ind w:left="720" w:right="0" w:hanging="0"/>
              <w:jc w:val="right"/>
              <w:rPr>
                <w:rFonts w:ascii="times new roman" w:hAnsi="times new roman"/>
                <w:sz w:val="20"/>
              </w:rPr>
            </w:pPr>
            <w:bookmarkStart w:id="357" w:name="TAB1188"/>
            <w:bookmarkEnd w:id="357"/>
            <w:r>
              <w:rPr>
                <w:rFonts w:ascii="times new roman" w:hAnsi="times new roman"/>
                <w:sz w:val="20"/>
              </w:rPr>
              <w:t>253,000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34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Leases</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97"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r>
      <w:tr>
        <w:trPr/>
        <w:tc>
          <w:tcPr>
            <w:tcW w:w="34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Leases</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10,288,000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2,399,000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2,884,000</w:t>
            </w:r>
          </w:p>
        </w:tc>
        <w:tc>
          <w:tcPr>
            <w:tcW w:w="97"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ind w:left="72" w:right="0" w:hanging="0"/>
              <w:jc w:val="right"/>
              <w:rPr>
                <w:rFonts w:ascii="times new roman" w:hAnsi="times new roman"/>
                <w:sz w:val="20"/>
              </w:rPr>
            </w:pPr>
            <w:bookmarkStart w:id="358" w:name="TAB1189"/>
            <w:bookmarkEnd w:id="358"/>
            <w:r>
              <w:rPr>
                <w:rFonts w:ascii="times new roman" w:hAnsi="times new roman"/>
                <w:sz w:val="20"/>
              </w:rPr>
              <w:t>2,036,000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2,969,000</w:t>
            </w:r>
          </w:p>
        </w:tc>
        <w:tc>
          <w:tcPr>
            <w:tcW w:w="111" w:type="dxa"/>
            <w:tcBorders/>
            <w:shd w:fill="FFFFFF" w:val="clear"/>
            <w:vAlign w:val="bottom"/>
          </w:tcPr>
          <w:p>
            <w:pPr>
              <w:pStyle w:val="TableContents"/>
              <w:spacing w:before="0" w:after="283"/>
              <w:jc w:val="left"/>
              <w:rPr/>
            </w:pPr>
            <w:r>
              <w:rPr/>
              <w:t> </w:t>
            </w:r>
          </w:p>
        </w:tc>
      </w:tr>
      <w:tr>
        <w:trPr/>
        <w:tc>
          <w:tcPr>
            <w:tcW w:w="34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Unconditional Purchase Obligations</w:t>
            </w:r>
          </w:p>
        </w:tc>
        <w:tc>
          <w:tcPr>
            <w:tcW w:w="9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1,690,000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1,690,000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r>
      <w:tr>
        <w:trPr/>
        <w:tc>
          <w:tcPr>
            <w:tcW w:w="34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Contractual Cash Obligations</w:t>
            </w:r>
          </w:p>
        </w:tc>
        <w:tc>
          <w:tcPr>
            <w:tcW w:w="98"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31,265,000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ind w:left="117" w:right="0" w:hanging="0"/>
              <w:jc w:val="right"/>
              <w:rPr>
                <w:rFonts w:ascii="times new roman" w:hAnsi="times new roman"/>
                <w:sz w:val="20"/>
              </w:rPr>
            </w:pPr>
            <w:bookmarkStart w:id="359" w:name="TAB1190"/>
            <w:bookmarkEnd w:id="359"/>
            <w:r>
              <w:rPr>
                <w:rFonts w:ascii="times new roman" w:hAnsi="times new roman"/>
                <w:sz w:val="20"/>
              </w:rPr>
              <w:t>9,195,000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12,912,000</w:t>
            </w:r>
          </w:p>
        </w:tc>
        <w:tc>
          <w:tcPr>
            <w:tcW w:w="97"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6,189,000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2,969,000</w:t>
            </w:r>
          </w:p>
        </w:tc>
        <w:tc>
          <w:tcPr>
            <w:tcW w:w="11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plan to make a contribution to our defined benefit pension plan in fiscal 2011 of approximately $920,000.  We have not presented this obligation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unconditional purchase obligations include forward purchase contracts we have entered into for a portion of our natural gas fuel needs for fiscal 2011.  As of October 31, 2010, the remaining purchase obligation for fiscal 2011 was $1,690,000 for 270,000 MMBtu.  These contracts were entered into in the normal course of business and no contracts were entered into for speculative purposes.</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0" w:name="PGBRK17"/>
      <w:bookmarkStart w:id="361" w:name="PGBRK17"/>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2" w:name="FTR17"/>
      <w:bookmarkStart w:id="363" w:name="FTR17"/>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4" w:name="GLFTR17"/>
      <w:bookmarkEnd w:id="3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5" w:name="PN17"/>
      <w:bookmarkEnd w:id="365"/>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6" w:name="HDR17"/>
      <w:bookmarkStart w:id="367" w:name="HDR17"/>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8" w:name="GLHDR17"/>
      <w:bookmarkEnd w:id="3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tbl>
      <w:tblPr>
        <w:tblW w:w="5000" w:type="pct"/>
        <w:jc w:val="left"/>
        <w:tblInd w:w="0" w:type="dxa"/>
        <w:tblCellMar>
          <w:top w:w="0" w:type="dxa"/>
          <w:left w:w="0" w:type="dxa"/>
          <w:bottom w:w="0" w:type="dxa"/>
          <w:right w:w="0" w:type="dxa"/>
        </w:tblCellMar>
      </w:tblPr>
      <w:tblGrid>
        <w:gridCol w:w="2955"/>
        <w:gridCol w:w="99"/>
        <w:gridCol w:w="155"/>
        <w:gridCol w:w="1248"/>
        <w:gridCol w:w="99"/>
        <w:gridCol w:w="99"/>
        <w:gridCol w:w="155"/>
        <w:gridCol w:w="1248"/>
        <w:gridCol w:w="99"/>
        <w:gridCol w:w="98"/>
        <w:gridCol w:w="155"/>
        <w:gridCol w:w="1159"/>
        <w:gridCol w:w="99"/>
        <w:gridCol w:w="99"/>
        <w:gridCol w:w="155"/>
        <w:gridCol w:w="1031"/>
        <w:gridCol w:w="99"/>
        <w:gridCol w:w="99"/>
        <w:gridCol w:w="316"/>
        <w:gridCol w:w="610"/>
        <w:gridCol w:w="128"/>
      </w:tblGrid>
      <w:tr>
        <w:trPr/>
        <w:tc>
          <w:tcPr>
            <w:tcW w:w="295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w:t>
            </w:r>
          </w:p>
        </w:tc>
        <w:tc>
          <w:tcPr>
            <w:tcW w:w="7023"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of Commitment Expiration Per Period</w:t>
            </w:r>
          </w:p>
        </w:tc>
        <w:tc>
          <w:tcPr>
            <w:tcW w:w="128" w:type="dxa"/>
            <w:tcBorders/>
            <w:shd w:fill="auto" w:val="clear"/>
            <w:vAlign w:val="bottom"/>
          </w:tcPr>
          <w:p>
            <w:pPr>
              <w:pStyle w:val="TableContents"/>
              <w:spacing w:before="0" w:after="283"/>
              <w:jc w:val="left"/>
              <w:rPr/>
            </w:pPr>
            <w:r>
              <w:rPr/>
              <w:t> </w:t>
            </w:r>
          </w:p>
        </w:tc>
      </w:tr>
      <w:tr>
        <w:trPr/>
        <w:tc>
          <w:tcPr>
            <w:tcW w:w="295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w:t>
            </w:r>
          </w:p>
        </w:tc>
        <w:tc>
          <w:tcPr>
            <w:tcW w:w="14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9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4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Less Than 1 Year</w:t>
            </w:r>
          </w:p>
        </w:tc>
        <w:tc>
          <w:tcPr>
            <w:tcW w:w="99"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3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 3 Years</w:t>
            </w:r>
          </w:p>
        </w:tc>
        <w:tc>
          <w:tcPr>
            <w:tcW w:w="9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 – 5 Years</w:t>
            </w:r>
          </w:p>
        </w:tc>
        <w:tc>
          <w:tcPr>
            <w:tcW w:w="9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9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After 5 Years</w:t>
            </w:r>
          </w:p>
        </w:tc>
        <w:tc>
          <w:tcPr>
            <w:tcW w:w="128" w:type="dxa"/>
            <w:tcBorders/>
            <w:shd w:fill="auto" w:val="clear"/>
            <w:vAlign w:val="bottom"/>
          </w:tcPr>
          <w:p>
            <w:pPr>
              <w:pStyle w:val="TableContents"/>
              <w:spacing w:before="0" w:after="283"/>
              <w:jc w:val="left"/>
              <w:rPr/>
            </w:pPr>
            <w:r>
              <w:rPr/>
              <w:t> </w:t>
            </w:r>
          </w:p>
        </w:tc>
      </w:tr>
      <w:tr>
        <w:trPr/>
        <w:tc>
          <w:tcPr>
            <w:tcW w:w="295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Commercial Commitments</w:t>
            </w:r>
          </w:p>
        </w:tc>
        <w:tc>
          <w:tcPr>
            <w:tcW w:w="99" w:type="dxa"/>
            <w:tcBorders/>
            <w:shd w:fill="CCEEFF" w:val="clear"/>
            <w:vAlign w:val="bottom"/>
          </w:tcPr>
          <w:p>
            <w:pPr>
              <w:pStyle w:val="TableContents"/>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8" w:type="dxa"/>
            <w:tcBorders>
              <w:bottom w:val="double" w:sz="8"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sz w:val="20"/>
              </w:rPr>
            </w:pPr>
            <w:bookmarkStart w:id="369" w:name="TAB1191"/>
            <w:bookmarkEnd w:id="369"/>
            <w:r>
              <w:rPr>
                <w:rFonts w:ascii="times new roman" w:hAnsi="times new roman"/>
                <w:sz w:val="20"/>
              </w:rPr>
              <w:t>26,213,000</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23,676,000</w:t>
            </w:r>
          </w:p>
        </w:tc>
        <w:tc>
          <w:tcPr>
            <w:tcW w:w="99"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1,975,000</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562,000</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left"/>
              <w:rPr/>
            </w:pPr>
            <w:r>
              <w:rPr/>
              <w:t> </w:t>
            </w:r>
          </w:p>
        </w:tc>
        <w:tc>
          <w:tcPr>
            <w:tcW w:w="31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other commercial commitments represent open purchase orders, i</w:t>
      </w:r>
      <w:bookmarkStart w:id="370" w:name="20"/>
      <w:bookmarkEnd w:id="370"/>
      <w:r>
        <w:rPr>
          <w:rFonts w:ascii="Times New Roman" w:hAnsi="Times New Roman"/>
          <w:sz w:val="20"/>
        </w:rPr>
        <w:t>ncluding blanket purchase orders, for items such as packaging, additives and pallets used in the normal course of operations.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CRITICAL ACCOUNTING POLICIES AND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See the information concerning our critical accounting policies included under Management’s Discussion of Financial Condition and Results of Operations in our Annual Report on Form 10-K for the fiscal year ended July 31, 2010 filed with the Securities and Exchange Commission, which is incorporated by reference in this Form 10-Q.</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Recently Adopted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new accounting standards were adopted for the quarter ended October 31,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Recently Issued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July 2010, the FASB issued guidance under ASC 310-10, </w:t>
      </w:r>
      <w:r>
        <w:rPr>
          <w:rFonts w:ascii="Times New Roman" w:hAnsi="Times New Roman"/>
          <w:i/>
          <w:sz w:val="20"/>
        </w:rPr>
        <w:t xml:space="preserve">Disclosures about the Credit Quality of Financing Receivables and the Allowance for Credit Losses, </w:t>
      </w:r>
      <w:r>
        <w:rPr>
          <w:rFonts w:ascii="Times New Roman" w:hAnsi="Times New Roman"/>
          <w:sz w:val="20"/>
        </w:rPr>
        <w:t>that requires new disclosures to provide a greater level of disaggregated information about the credit quality of financing receivables, including credit quality indicators, past due information and modifications of financing receivables.  A rollforward schedule of the allowance for credit losses for the reporting period is also required.  Adoption of the guidance regarding disclosures as of the end of a reporting period may result in enhanced disclosures beginning with our Quarterly Report on Form 10-Q for the quarter ending January 31, 2011.  Adoption of the guidance regarding disclosures about activity that occurs during a reporting period are effective beginning with our Quarterly Report on Form 10-Q for the quarter ending April 30, 2011.  Adoption of this guidance may result in enhanced disclosures and will not have a material impact on the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January 2010, the FASB issued guidance under ASC 820-10, </w:t>
      </w:r>
      <w:r>
        <w:rPr>
          <w:rFonts w:ascii="Times New Roman" w:hAnsi="Times New Roman"/>
          <w:i/>
          <w:sz w:val="20"/>
        </w:rPr>
        <w:t xml:space="preserve">Fair Value Measurements and Disclosures: Improving Disclosures about Fair Value Measurements, </w:t>
      </w:r>
      <w:r>
        <w:rPr>
          <w:rFonts w:ascii="Times New Roman" w:hAnsi="Times New Roman"/>
          <w:sz w:val="20"/>
        </w:rPr>
        <w:t>that requires new disclosures related to Level 3 fair value measurements.  Adoption of this guidance may result in enhanced disclosures beginning with our Quarterly Report on Form 10-Q for the quarter ending October 31, 2011 and will not have a material impact on the Consolidated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  QUANTITATIVE AND QUALITATIVE DISCLOSURES ABOUT MARKET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sz w:val="20"/>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71" w:name="PGBRK18"/>
      <w:bookmarkStart w:id="372" w:name="PGBRK18"/>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73" w:name="FTR18"/>
      <w:bookmarkStart w:id="374" w:name="FTR18"/>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5" w:name="GLFTR18"/>
      <w:bookmarkEnd w:id="3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6" w:name="PN18"/>
      <w:bookmarkEnd w:id="376"/>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77" w:name="HDR18"/>
      <w:bookmarkStart w:id="378" w:name="HDR18"/>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9" w:name="GLHDR18"/>
      <w:bookmarkEnd w:id="3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We are exposed to market risk at it relates to the investments that make up our plan assets under our de</w:t>
      </w:r>
      <w:bookmarkStart w:id="380" w:name="21"/>
      <w:bookmarkEnd w:id="380"/>
      <w:r>
        <w:rPr>
          <w:rFonts w:ascii="Times New Roman" w:hAnsi="Times New Roman"/>
          <w:sz w:val="20"/>
        </w:rPr>
        <w:t>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commodity price risk with respect to fuel.  We have contracted for a portion of our anticipated fuel needs using forward purchase contracts to mitigate the volatility of our kiln fuel prices.  As of October 31, 2010, we have purchased natural gas contracts representing approximately 23% of our planned kiln fuel needs for fiscal 2011.  We estimate the weighted average cost of these natural gas contracts in fiscal 2011 to be approximately 4% lower than the contracts in fiscal 2010; however, this average will change if we continue to buy natural gas contracts.  All contracts are related to the normal course of business and no contracts are entered into for speculative purposes.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tables below provide information about our natural gas purchase contracts, which are sensitive to changes in commodity prices, specifically natural gas prices.  For the purchase contracts outstanding at October 31, 2010, the table presents the notional amounts in MMBtu’s, the weighted average contract prices, and the total dollar contract amount, which will mature by July 31, 2011.  The Fair Value was determined using the “Most Recent Settle” price for the “Henry Hub Natural Gas” option contract prices as listed by the New York Mercantile Exchange on November 30, 2010.</w:t>
      </w:r>
    </w:p>
    <w:p>
      <w:pPr>
        <w:pStyle w:val="TextBody"/>
        <w:spacing w:before="0" w:after="0"/>
        <w:ind w:left="0" w:right="0" w:hanging="0"/>
        <w:jc w:val="both"/>
        <w:rPr/>
      </w:pPr>
      <w:r>
        <w:rPr/>
        <w:t> </w:t>
      </w:r>
      <w:r>
        <w:rPr/>
        <w:br/>
        <w:t> </w:t>
      </w:r>
    </w:p>
    <w:tbl>
      <w:tblPr>
        <w:tblW w:w="3000" w:type="pct"/>
        <w:jc w:val="center"/>
        <w:tblInd w:w="0" w:type="dxa"/>
        <w:tblCellMar>
          <w:top w:w="28" w:type="dxa"/>
          <w:left w:w="0" w:type="dxa"/>
          <w:bottom w:w="28" w:type="dxa"/>
          <w:right w:w="0" w:type="dxa"/>
        </w:tblCellMar>
      </w:tblPr>
      <w:tblGrid>
        <w:gridCol w:w="3514"/>
        <w:gridCol w:w="102"/>
        <w:gridCol w:w="126"/>
        <w:gridCol w:w="980"/>
        <w:gridCol w:w="102"/>
        <w:gridCol w:w="102"/>
        <w:gridCol w:w="126"/>
        <w:gridCol w:w="958"/>
        <w:gridCol w:w="113"/>
      </w:tblGrid>
      <w:tr>
        <w:trPr/>
        <w:tc>
          <w:tcPr>
            <w:tcW w:w="6010" w:type="dxa"/>
            <w:gridSpan w:val="8"/>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Commodity Price Sensitivity</w:t>
            </w:r>
          </w:p>
          <w:p>
            <w:pPr>
              <w:pStyle w:val="TableContents"/>
              <w:spacing w:before="0" w:after="0"/>
              <w:ind w:left="0" w:right="0" w:hanging="0"/>
              <w:jc w:val="center"/>
              <w:rPr>
                <w:rFonts w:ascii="times new roman" w:hAnsi="times new roman"/>
                <w:sz w:val="20"/>
              </w:rPr>
            </w:pPr>
            <w:r>
              <w:rPr>
                <w:rFonts w:ascii="times new roman" w:hAnsi="times new roman"/>
                <w:sz w:val="20"/>
              </w:rPr>
              <w:t>Natural Gas Future Contracts</w:t>
            </w:r>
          </w:p>
          <w:p>
            <w:pPr>
              <w:pStyle w:val="TableContents"/>
              <w:spacing w:before="0" w:after="0"/>
              <w:ind w:left="0" w:right="0" w:hanging="0"/>
              <w:jc w:val="center"/>
              <w:rPr>
                <w:rFonts w:ascii="times new roman" w:hAnsi="times new roman"/>
                <w:sz w:val="20"/>
              </w:rPr>
            </w:pPr>
            <w:r>
              <w:rPr>
                <w:rFonts w:ascii="times new roman" w:hAnsi="times new roman"/>
                <w:sz w:val="20"/>
              </w:rPr>
              <w:t>For the Nine Months Ending July 31, 2011</w:t>
            </w:r>
          </w:p>
        </w:tc>
        <w:tc>
          <w:tcPr>
            <w:tcW w:w="113" w:type="dxa"/>
            <w:tcBorders>
              <w:top w:val="single" w:sz="12" w:space="0" w:color="000000"/>
              <w:bottom w:val="single" w:sz="12" w:space="0" w:color="000000"/>
            </w:tcBorders>
            <w:shd w:fill="auto" w:val="clear"/>
            <w:vAlign w:val="bottom"/>
          </w:tcPr>
          <w:p>
            <w:pPr>
              <w:pStyle w:val="TableContents"/>
              <w:spacing w:before="0" w:after="283"/>
              <w:jc w:val="left"/>
              <w:rPr/>
            </w:pPr>
            <w:r>
              <w:rPr/>
              <w:t> </w:t>
            </w:r>
          </w:p>
        </w:tc>
      </w:tr>
      <w:tr>
        <w:trPr/>
        <w:tc>
          <w:tcPr>
            <w:tcW w:w="3514" w:type="dxa"/>
            <w:tcBorders/>
            <w:shd w:fill="auto" w:val="clear"/>
            <w:tcMar>
              <w:top w:w="0" w:type="dxa"/>
              <w:bottom w:w="0" w:type="dxa"/>
            </w:tcMar>
            <w:vAlign w:val="bottom"/>
          </w:tcPr>
          <w:p>
            <w:pPr>
              <w:pStyle w:val="TableContents"/>
              <w:spacing w:before="0" w:after="283"/>
              <w:rPr/>
            </w:pPr>
            <w:r>
              <w:rPr/>
              <w:t xml:space="preserve">  </w:t>
            </w:r>
          </w:p>
        </w:tc>
        <w:tc>
          <w:tcPr>
            <w:tcW w:w="102" w:type="dxa"/>
            <w:tcBorders/>
            <w:shd w:fill="auto" w:val="clear"/>
            <w:tcMar>
              <w:top w:w="0" w:type="dxa"/>
              <w:bottom w:w="0" w:type="dxa"/>
            </w:tcMar>
            <w:vAlign w:val="bottom"/>
          </w:tcPr>
          <w:p>
            <w:pPr>
              <w:pStyle w:val="TableContents"/>
              <w:spacing w:before="0" w:after="283"/>
              <w:rPr/>
            </w:pPr>
            <w:r>
              <w:rPr/>
              <w:t> </w:t>
            </w:r>
          </w:p>
        </w:tc>
        <w:tc>
          <w:tcPr>
            <w:tcW w:w="1106"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2011 Maturity</w:t>
            </w:r>
          </w:p>
        </w:tc>
        <w:tc>
          <w:tcPr>
            <w:tcW w:w="102" w:type="dxa"/>
            <w:tcBorders/>
            <w:shd w:fill="auto" w:val="clear"/>
            <w:tcMar>
              <w:top w:w="0" w:type="dxa"/>
              <w:bottom w:w="0" w:type="dxa"/>
            </w:tcMar>
            <w:vAlign w:val="bottom"/>
          </w:tcPr>
          <w:p>
            <w:pPr>
              <w:pStyle w:val="TableContents"/>
              <w:spacing w:before="0" w:after="283"/>
              <w:jc w:val="left"/>
              <w:rPr/>
            </w:pPr>
            <w:r>
              <w:rPr/>
              <w:t> </w:t>
            </w:r>
          </w:p>
        </w:tc>
        <w:tc>
          <w:tcPr>
            <w:tcW w:w="102" w:type="dxa"/>
            <w:tcBorders/>
            <w:shd w:fill="auto" w:val="clear"/>
            <w:tcMar>
              <w:top w:w="0" w:type="dxa"/>
              <w:bottom w:w="0" w:type="dxa"/>
            </w:tcMar>
            <w:vAlign w:val="bottom"/>
          </w:tcPr>
          <w:p>
            <w:pPr>
              <w:pStyle w:val="TableContents"/>
              <w:spacing w:before="0" w:after="283"/>
              <w:rPr/>
            </w:pPr>
            <w:r>
              <w:rPr/>
              <w:t> </w:t>
            </w:r>
          </w:p>
        </w:tc>
        <w:tc>
          <w:tcPr>
            <w:tcW w:w="1084"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r>
      <w:tr>
        <w:trPr/>
        <w:tc>
          <w:tcPr>
            <w:tcW w:w="3514"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Natural Gas Future Volumes (MMBtu)</w:t>
            </w:r>
          </w:p>
        </w:tc>
        <w:tc>
          <w:tcPr>
            <w:tcW w:w="102" w:type="dxa"/>
            <w:tcBorders/>
            <w:shd w:fill="CCEEFF" w:val="clear"/>
            <w:tcMar>
              <w:top w:w="0" w:type="dxa"/>
              <w:bottom w:w="0" w:type="dxa"/>
            </w:tcMar>
            <w:vAlign w:val="bottom"/>
          </w:tcPr>
          <w:p>
            <w:pPr>
              <w:pStyle w:val="TableContents"/>
              <w:spacing w:before="0" w:after="283"/>
              <w:jc w:val="right"/>
              <w:rPr/>
            </w:pPr>
            <w:r>
              <w:rPr/>
              <w:t> </w:t>
            </w:r>
          </w:p>
        </w:tc>
        <w:tc>
          <w:tcPr>
            <w:tcW w:w="126" w:type="dxa"/>
            <w:tcBorders/>
            <w:shd w:fill="CCEEFF" w:val="clear"/>
            <w:tcMar>
              <w:top w:w="0" w:type="dxa"/>
              <w:bottom w:w="0" w:type="dxa"/>
            </w:tcMar>
            <w:vAlign w:val="bottom"/>
          </w:tcPr>
          <w:p>
            <w:pPr>
              <w:pStyle w:val="TableContents"/>
              <w:spacing w:before="0" w:after="283"/>
              <w:jc w:val="left"/>
              <w:rPr/>
            </w:pPr>
            <w:r>
              <w:rPr/>
              <w:t> </w:t>
            </w:r>
          </w:p>
        </w:tc>
        <w:tc>
          <w:tcPr>
            <w:tcW w:w="980"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270,000</w:t>
            </w:r>
          </w:p>
        </w:tc>
        <w:tc>
          <w:tcPr>
            <w:tcW w:w="102" w:type="dxa"/>
            <w:tcBorders/>
            <w:shd w:fill="CCEEFF" w:val="clear"/>
            <w:tcMar>
              <w:top w:w="0" w:type="dxa"/>
              <w:bottom w:w="0" w:type="dxa"/>
            </w:tcMar>
            <w:vAlign w:val="bottom"/>
          </w:tcPr>
          <w:p>
            <w:pPr>
              <w:pStyle w:val="TableContents"/>
              <w:spacing w:before="0" w:after="283"/>
              <w:jc w:val="left"/>
              <w:rPr/>
            </w:pPr>
            <w:r>
              <w:rPr/>
              <w:t> </w:t>
            </w:r>
          </w:p>
        </w:tc>
        <w:tc>
          <w:tcPr>
            <w:tcW w:w="102" w:type="dxa"/>
            <w:tcBorders/>
            <w:shd w:fill="CCEEFF" w:val="clear"/>
            <w:tcMar>
              <w:top w:w="0" w:type="dxa"/>
              <w:bottom w:w="0" w:type="dxa"/>
            </w:tcMar>
            <w:vAlign w:val="bottom"/>
          </w:tcPr>
          <w:p>
            <w:pPr>
              <w:pStyle w:val="TableContents"/>
              <w:spacing w:before="0" w:after="283"/>
              <w:jc w:val="left"/>
              <w:rPr/>
            </w:pPr>
            <w:r>
              <w:rPr/>
              <w:t> </w:t>
            </w:r>
          </w:p>
        </w:tc>
        <w:tc>
          <w:tcPr>
            <w:tcW w:w="126" w:type="dxa"/>
            <w:tcBorders/>
            <w:shd w:fill="CCEEFF" w:val="clear"/>
            <w:tcMar>
              <w:top w:w="0" w:type="dxa"/>
              <w:bottom w:w="0" w:type="dxa"/>
            </w:tcMar>
            <w:vAlign w:val="bottom"/>
          </w:tcPr>
          <w:p>
            <w:pPr>
              <w:pStyle w:val="TableContents"/>
              <w:spacing w:before="0" w:after="283"/>
              <w:jc w:val="left"/>
              <w:rPr/>
            </w:pPr>
            <w:r>
              <w:rPr/>
              <w:t> </w:t>
            </w:r>
          </w:p>
        </w:tc>
        <w:tc>
          <w:tcPr>
            <w:tcW w:w="958"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tcMar>
              <w:top w:w="0" w:type="dxa"/>
              <w:bottom w:w="0" w:type="dxa"/>
            </w:tcMar>
            <w:vAlign w:val="bottom"/>
          </w:tcPr>
          <w:p>
            <w:pPr>
              <w:pStyle w:val="TableContents"/>
              <w:spacing w:before="0" w:after="283"/>
              <w:jc w:val="left"/>
              <w:rPr/>
            </w:pPr>
            <w:r>
              <w:rPr/>
              <w:t> </w:t>
            </w:r>
          </w:p>
        </w:tc>
      </w:tr>
      <w:tr>
        <w:trPr/>
        <w:tc>
          <w:tcPr>
            <w:tcW w:w="3514" w:type="dxa"/>
            <w:tcBorders/>
            <w:shd w:fill="FFFF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Price (Per MMBtu)</w:t>
            </w:r>
          </w:p>
        </w:tc>
        <w:tc>
          <w:tcPr>
            <w:tcW w:w="102" w:type="dxa"/>
            <w:tcBorders/>
            <w:shd w:fill="FFFFFF" w:val="clear"/>
            <w:tcMar>
              <w:top w:w="0" w:type="dxa"/>
              <w:bottom w:w="0" w:type="dxa"/>
            </w:tcMar>
            <w:vAlign w:val="bottom"/>
          </w:tcPr>
          <w:p>
            <w:pPr>
              <w:pStyle w:val="TableContents"/>
              <w:spacing w:before="0" w:after="283"/>
              <w:jc w:val="right"/>
              <w:rPr/>
            </w:pPr>
            <w:r>
              <w:rPr/>
              <w:t> </w:t>
            </w:r>
          </w:p>
        </w:tc>
        <w:tc>
          <w:tcPr>
            <w:tcW w:w="12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6.26</w:t>
            </w:r>
          </w:p>
        </w:tc>
        <w:tc>
          <w:tcPr>
            <w:tcW w:w="102" w:type="dxa"/>
            <w:tcBorders/>
            <w:shd w:fill="FFFFFF" w:val="clear"/>
            <w:tcMar>
              <w:top w:w="0" w:type="dxa"/>
              <w:bottom w:w="0" w:type="dxa"/>
            </w:tcMar>
            <w:vAlign w:val="bottom"/>
          </w:tcPr>
          <w:p>
            <w:pPr>
              <w:pStyle w:val="TableContents"/>
              <w:spacing w:before="0" w:after="283"/>
              <w:jc w:val="left"/>
              <w:rPr/>
            </w:pPr>
            <w:r>
              <w:rPr/>
              <w:t> </w:t>
            </w:r>
          </w:p>
        </w:tc>
        <w:tc>
          <w:tcPr>
            <w:tcW w:w="102" w:type="dxa"/>
            <w:tcBorders/>
            <w:shd w:fill="FFFFFF" w:val="clear"/>
            <w:tcMar>
              <w:top w:w="0" w:type="dxa"/>
              <w:bottom w:w="0" w:type="dxa"/>
            </w:tcMar>
            <w:vAlign w:val="bottom"/>
          </w:tcPr>
          <w:p>
            <w:pPr>
              <w:pStyle w:val="TableContents"/>
              <w:spacing w:before="0" w:after="283"/>
              <w:jc w:val="left"/>
              <w:rPr/>
            </w:pPr>
            <w:r>
              <w:rPr/>
              <w:t> </w:t>
            </w:r>
          </w:p>
        </w:tc>
        <w:tc>
          <w:tcPr>
            <w:tcW w:w="126" w:type="dxa"/>
            <w:tcBorders/>
            <w:shd w:fill="FFFFFF" w:val="clear"/>
            <w:tcMar>
              <w:top w:w="0" w:type="dxa"/>
              <w:bottom w:w="0" w:type="dxa"/>
            </w:tcMar>
            <w:vAlign w:val="bottom"/>
          </w:tcPr>
          <w:p>
            <w:pPr>
              <w:pStyle w:val="TableContents"/>
              <w:spacing w:before="0" w:after="283"/>
              <w:jc w:val="left"/>
              <w:rPr/>
            </w:pPr>
            <w:r>
              <w:rPr/>
              <w:t> </w:t>
            </w:r>
          </w:p>
        </w:tc>
        <w:tc>
          <w:tcPr>
            <w:tcW w:w="958"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tcMar>
              <w:top w:w="0" w:type="dxa"/>
              <w:bottom w:w="0" w:type="dxa"/>
            </w:tcMar>
            <w:vAlign w:val="bottom"/>
          </w:tcPr>
          <w:p>
            <w:pPr>
              <w:pStyle w:val="TableContents"/>
              <w:spacing w:before="0" w:after="283"/>
              <w:jc w:val="left"/>
              <w:rPr/>
            </w:pPr>
            <w:r>
              <w:rPr/>
              <w:t> </w:t>
            </w:r>
          </w:p>
        </w:tc>
      </w:tr>
      <w:tr>
        <w:trPr/>
        <w:tc>
          <w:tcPr>
            <w:tcW w:w="3514" w:type="dxa"/>
            <w:tcBorders>
              <w:bottom w:val="double" w:sz="8"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 Amount ($ U.S., in thousands)</w:t>
            </w:r>
          </w:p>
        </w:tc>
        <w:tc>
          <w:tcPr>
            <w:tcW w:w="102" w:type="dxa"/>
            <w:tcBorders/>
            <w:shd w:fill="CCEEFF"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1,689.5</w:t>
            </w:r>
          </w:p>
        </w:tc>
        <w:tc>
          <w:tcPr>
            <w:tcW w:w="102" w:type="dxa"/>
            <w:tcBorders/>
            <w:shd w:fill="CCEEFF" w:val="clear"/>
            <w:tcMar>
              <w:top w:w="0" w:type="dxa"/>
              <w:bottom w:w="0" w:type="dxa"/>
            </w:tcMar>
            <w:vAlign w:val="bottom"/>
          </w:tcPr>
          <w:p>
            <w:pPr>
              <w:pStyle w:val="TableContents"/>
              <w:spacing w:before="0" w:after="283"/>
              <w:jc w:val="left"/>
              <w:rPr/>
            </w:pPr>
            <w:r>
              <w:rPr/>
              <w:t> </w:t>
            </w:r>
          </w:p>
        </w:tc>
        <w:tc>
          <w:tcPr>
            <w:tcW w:w="102" w:type="dxa"/>
            <w:tcBorders/>
            <w:shd w:fill="CCEEFF" w:val="clear"/>
            <w:tcMar>
              <w:top w:w="0" w:type="dxa"/>
              <w:bottom w:w="0" w:type="dxa"/>
            </w:tcMar>
            <w:vAlign w:val="bottom"/>
          </w:tcPr>
          <w:p>
            <w:pPr>
              <w:pStyle w:val="TableContents"/>
              <w:spacing w:before="0" w:after="283"/>
              <w:jc w:val="left"/>
              <w:rPr/>
            </w:pPr>
            <w:r>
              <w:rPr/>
              <w:t> </w:t>
            </w:r>
          </w:p>
        </w:tc>
        <w:tc>
          <w:tcPr>
            <w:tcW w:w="126"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1,084.2</w:t>
            </w:r>
          </w:p>
        </w:tc>
        <w:tc>
          <w:tcPr>
            <w:tcW w:w="113" w:type="dxa"/>
            <w:tcBorders>
              <w:bottom w:val="double" w:sz="8" w:space="0" w:color="000000"/>
            </w:tcBorders>
            <w:shd w:fill="CCEEFF"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81" w:name="PGBRK19"/>
      <w:bookmarkStart w:id="382" w:name="PGBRK19"/>
      <w:bookmarkEnd w:id="3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83" w:name="FTR19"/>
      <w:bookmarkStart w:id="384" w:name="FTR19"/>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5" w:name="GLFTR19"/>
      <w:bookmarkEnd w:id="3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6" w:name="PN19"/>
      <w:bookmarkEnd w:id="386"/>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87" w:name="HDR19"/>
      <w:bookmarkStart w:id="388" w:name="HDR19"/>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9" w:name="GLHDR19"/>
      <w:bookmarkEnd w:id="3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ITEM 4.  CONTROLS AND PROCE</w:t>
      </w:r>
      <w:bookmarkStart w:id="390" w:name="22"/>
      <w:bookmarkEnd w:id="390"/>
      <w:r>
        <w:rPr>
          <w:rFonts w:ascii="Times New Roman" w:hAnsi="Times New Roman"/>
          <w:b/>
          <w:sz w:val="20"/>
        </w:rPr>
        <w:t>DURES</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conducted an evaluation of the effectiveness of the design and operation of our disclosure controls and procedures (as defined in Rule 13a-15(e) under the Securities Exchange Act of 1934)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 me periods specified by the SEC, and that such information is accumulated and communicated to management, including the CEO and CFO, as appropriate to allow timely decisions regarding required disclosure.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were no changes in our internal control over financial reporting (as defined in Rule 13a-15(f) under the Exchange Act) that occurred during the fiscal quarter ended October 31 that have materially affected, or are reasonably likely to materially affect, our internal control over financial reporting.</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Inherent Limitations on Effectiveness of Controls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91" w:name="PGBRK20"/>
      <w:bookmarkStart w:id="392" w:name="PGBRK20"/>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93" w:name="FTR20"/>
      <w:bookmarkStart w:id="394" w:name="FTR20"/>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5" w:name="GLFTR20"/>
      <w:bookmarkEnd w:id="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6" w:name="PN20"/>
      <w:bookmarkEnd w:id="396"/>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97" w:name="HDR20"/>
      <w:bookmarkStart w:id="398" w:name="HDR20"/>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9" w:name="GLHDR20"/>
      <w:bookmarkEnd w:id="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PART II – OTHER INFOR</w:t>
      </w:r>
      <w:bookmarkStart w:id="400" w:name="23"/>
      <w:bookmarkEnd w:id="400"/>
      <w:r>
        <w:rPr>
          <w:rFonts w:ascii="Times New Roman" w:hAnsi="Times New Roman"/>
          <w:b/>
          <w:sz w:val="20"/>
        </w:rPr>
        <w:t>MATION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Items 1, 1A, 3 and 4 of this Part II are either inapplicable or are answered in the negative and are omitted pursuant to the instructions to Part II.</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During the three months ended October 31, 2010, we did not sell any securities which were not registered under the Securities Act.  The following chart summarizes Common Stock repurchases during this period.</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2551"/>
        <w:gridCol w:w="1500"/>
        <w:gridCol w:w="1501"/>
        <w:gridCol w:w="2252"/>
        <w:gridCol w:w="2401"/>
      </w:tblGrid>
      <w:tr>
        <w:trPr/>
        <w:tc>
          <w:tcPr>
            <w:tcW w:w="10205" w:type="dxa"/>
            <w:gridSpan w:val="5"/>
            <w:tcBorders/>
            <w:shd w:fill="auto" w:val="clear"/>
            <w:vAlign w:val="bottom"/>
          </w:tcPr>
          <w:p>
            <w:pPr>
              <w:pStyle w:val="TableContents"/>
              <w:spacing w:before="0" w:after="283"/>
              <w:jc w:val="center"/>
              <w:rPr/>
            </w:pPr>
            <w:r>
              <w:rPr/>
              <w:t xml:space="preserve">  </w:t>
            </w:r>
            <w:r>
              <w:rPr>
                <w:rFonts w:ascii="times new roman" w:hAnsi="times new roman"/>
                <w:b/>
                <w:sz w:val="20"/>
                <w:u w:val="single"/>
              </w:rPr>
              <w:t>ISSUER PURCHASES OF EQUITY SECURITIES1</w:t>
            </w:r>
          </w:p>
        </w:tc>
      </w:tr>
      <w:tr>
        <w:trPr/>
        <w:tc>
          <w:tcPr>
            <w:tcW w:w="2551" w:type="dxa"/>
            <w:tcBorders/>
            <w:shd w:fill="auto" w:val="clear"/>
            <w:vAlign w:val="bottom"/>
          </w:tcPr>
          <w:p>
            <w:pPr>
              <w:pStyle w:val="TableContents"/>
              <w:spacing w:before="0" w:after="283"/>
              <w:rPr/>
            </w:pPr>
            <w:r>
              <w:rPr/>
              <w:t xml:space="preserve">  </w:t>
            </w:r>
          </w:p>
        </w:tc>
        <w:tc>
          <w:tcPr>
            <w:tcW w:w="1500" w:type="dxa"/>
            <w:tcBorders/>
            <w:shd w:fill="auto" w:val="clear"/>
            <w:vAlign w:val="bottom"/>
          </w:tcPr>
          <w:p>
            <w:pPr>
              <w:pStyle w:val="TableContents"/>
              <w:spacing w:before="0" w:after="283"/>
              <w:rPr/>
            </w:pPr>
            <w:r>
              <w:rPr/>
              <w:t xml:space="preserve">  </w:t>
            </w:r>
          </w:p>
        </w:tc>
        <w:tc>
          <w:tcPr>
            <w:tcW w:w="1501" w:type="dxa"/>
            <w:tcBorders/>
            <w:shd w:fill="auto" w:val="clear"/>
            <w:vAlign w:val="bottom"/>
          </w:tcPr>
          <w:p>
            <w:pPr>
              <w:pStyle w:val="TableContents"/>
              <w:spacing w:before="0" w:after="283"/>
              <w:rPr/>
            </w:pPr>
            <w:r>
              <w:rPr/>
              <w:t xml:space="preserve">  </w:t>
            </w:r>
          </w:p>
        </w:tc>
        <w:tc>
          <w:tcPr>
            <w:tcW w:w="2252" w:type="dxa"/>
            <w:tcBorders/>
            <w:shd w:fill="auto" w:val="clear"/>
            <w:vAlign w:val="bottom"/>
          </w:tcPr>
          <w:p>
            <w:pPr>
              <w:pStyle w:val="TableContents"/>
              <w:spacing w:before="0" w:after="283"/>
              <w:rPr/>
            </w:pPr>
            <w:r>
              <w:rPr/>
              <w:t xml:space="preserve">  </w:t>
            </w:r>
          </w:p>
        </w:tc>
        <w:tc>
          <w:tcPr>
            <w:tcW w:w="2401" w:type="dxa"/>
            <w:tcBorders/>
            <w:shd w:fill="auto" w:val="clear"/>
            <w:vAlign w:val="bottom"/>
          </w:tcPr>
          <w:p>
            <w:pPr>
              <w:pStyle w:val="TableContents"/>
              <w:spacing w:before="0" w:after="283"/>
              <w:rPr/>
            </w:pPr>
            <w:r>
              <w:rPr/>
              <w:t xml:space="preserve">  </w:t>
            </w:r>
          </w:p>
        </w:tc>
      </w:tr>
      <w:tr>
        <w:trPr/>
        <w:tc>
          <w:tcPr>
            <w:tcW w:w="255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For the Three </w:t>
            </w:r>
          </w:p>
          <w:p>
            <w:pPr>
              <w:pStyle w:val="TableContents"/>
              <w:spacing w:before="0" w:after="0"/>
              <w:ind w:left="0" w:right="0" w:hanging="0"/>
              <w:jc w:val="center"/>
              <w:rPr>
                <w:rFonts w:ascii="times new roman" w:hAnsi="times new roman"/>
                <w:b/>
                <w:sz w:val="20"/>
              </w:rPr>
            </w:pPr>
            <w:r>
              <w:rPr>
                <w:rFonts w:ascii="times new roman" w:hAnsi="times new roman"/>
                <w:b/>
                <w:sz w:val="20"/>
              </w:rPr>
              <w:t>Months Ended  </w:t>
            </w:r>
          </w:p>
          <w:p>
            <w:pPr>
              <w:pStyle w:val="TableContents"/>
              <w:spacing w:before="0" w:after="0"/>
              <w:ind w:left="0" w:right="0" w:hanging="0"/>
              <w:jc w:val="center"/>
              <w:rPr>
                <w:rFonts w:ascii="times new roman" w:hAnsi="times new roman"/>
                <w:b/>
                <w:sz w:val="20"/>
              </w:rPr>
            </w:pPr>
            <w:r>
              <w:rPr>
                <w:rFonts w:ascii="times new roman" w:hAnsi="times new roman"/>
                <w:b/>
                <w:sz w:val="20"/>
              </w:rPr>
              <w:t>October 31, 2010</w:t>
            </w:r>
          </w:p>
        </w:tc>
        <w:tc>
          <w:tcPr>
            <w:tcW w:w="150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(a) Total </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Number of </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Shares </w:t>
            </w:r>
          </w:p>
          <w:p>
            <w:pPr>
              <w:pStyle w:val="TableContents"/>
              <w:spacing w:before="0" w:after="0"/>
              <w:ind w:left="0" w:right="0" w:hanging="0"/>
              <w:jc w:val="center"/>
              <w:rPr>
                <w:rFonts w:ascii="times new roman" w:hAnsi="times new roman"/>
                <w:b/>
                <w:sz w:val="20"/>
              </w:rPr>
            </w:pPr>
            <w:r>
              <w:rPr>
                <w:rFonts w:ascii="times new roman" w:hAnsi="times new roman"/>
                <w:b/>
                <w:sz w:val="20"/>
              </w:rPr>
              <w:t>Purchased</w:t>
            </w:r>
          </w:p>
        </w:tc>
        <w:tc>
          <w:tcPr>
            <w:tcW w:w="150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(b) </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Average </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 Paid</w:t>
            </w:r>
          </w:p>
          <w:p>
            <w:pPr>
              <w:pStyle w:val="TableContents"/>
              <w:spacing w:before="0" w:after="0"/>
              <w:ind w:left="0" w:right="0" w:hanging="0"/>
              <w:jc w:val="center"/>
              <w:rPr/>
            </w:pPr>
            <w:r>
              <w:rPr/>
              <w:t> </w:t>
            </w:r>
            <w:r>
              <w:rPr>
                <w:rFonts w:ascii="times new roman" w:hAnsi="times new roman"/>
                <w:b/>
                <w:sz w:val="20"/>
              </w:rPr>
              <w:t>per Share</w:t>
            </w:r>
          </w:p>
        </w:tc>
        <w:tc>
          <w:tcPr>
            <w:tcW w:w="225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 Total Number</w:t>
            </w:r>
          </w:p>
          <w:p>
            <w:pPr>
              <w:pStyle w:val="TableContents"/>
              <w:spacing w:before="0" w:after="0"/>
              <w:ind w:left="0" w:right="0" w:hanging="0"/>
              <w:jc w:val="center"/>
              <w:rPr/>
            </w:pPr>
            <w:r>
              <w:rPr/>
              <w:t> </w:t>
            </w:r>
            <w:r>
              <w:rPr>
                <w:rFonts w:ascii="times new roman" w:hAnsi="times new roman"/>
                <w:b/>
                <w:sz w:val="20"/>
              </w:rPr>
              <w:t xml:space="preserve">of Shares </w:t>
            </w:r>
          </w:p>
          <w:p>
            <w:pPr>
              <w:pStyle w:val="TableContents"/>
              <w:spacing w:before="0" w:after="0"/>
              <w:ind w:left="0" w:right="0" w:hanging="0"/>
              <w:jc w:val="center"/>
              <w:rPr>
                <w:rFonts w:ascii="times new roman" w:hAnsi="times new roman"/>
                <w:b/>
                <w:sz w:val="20"/>
              </w:rPr>
            </w:pPr>
            <w:r>
              <w:rPr>
                <w:rFonts w:ascii="times new roman" w:hAnsi="times new roman"/>
                <w:b/>
                <w:sz w:val="20"/>
              </w:rPr>
              <w:t>Purchased as Part</w:t>
            </w:r>
          </w:p>
          <w:p>
            <w:pPr>
              <w:pStyle w:val="TableContents"/>
              <w:spacing w:before="0" w:after="0"/>
              <w:ind w:left="0" w:right="0" w:hanging="0"/>
              <w:jc w:val="center"/>
              <w:rPr/>
            </w:pPr>
            <w:r>
              <w:rPr/>
              <w:t> </w:t>
            </w:r>
            <w:r>
              <w:rPr>
                <w:rFonts w:ascii="times new roman" w:hAnsi="times new roman"/>
                <w:b/>
                <w:sz w:val="20"/>
              </w:rPr>
              <w:t xml:space="preserve">of Publicly </w:t>
            </w:r>
          </w:p>
          <w:p>
            <w:pPr>
              <w:pStyle w:val="TableContents"/>
              <w:spacing w:before="0" w:after="0"/>
              <w:ind w:left="0" w:right="0" w:hanging="0"/>
              <w:jc w:val="center"/>
              <w:rPr>
                <w:rFonts w:ascii="times new roman" w:hAnsi="times new roman"/>
                <w:b/>
                <w:sz w:val="20"/>
              </w:rPr>
            </w:pPr>
            <w:r>
              <w:rPr>
                <w:rFonts w:ascii="times new roman" w:hAnsi="times new roman"/>
                <w:b/>
                <w:sz w:val="20"/>
              </w:rPr>
              <w:t>Announced Plans</w:t>
            </w:r>
          </w:p>
          <w:p>
            <w:pPr>
              <w:pStyle w:val="TableContents"/>
              <w:spacing w:before="0" w:after="0"/>
              <w:ind w:left="0" w:right="0" w:hanging="0"/>
              <w:jc w:val="center"/>
              <w:rPr/>
            </w:pPr>
            <w:r>
              <w:rPr/>
              <w:t> </w:t>
            </w:r>
            <w:r>
              <w:rPr>
                <w:rFonts w:ascii="times new roman" w:hAnsi="times new roman"/>
                <w:b/>
                <w:sz w:val="20"/>
              </w:rPr>
              <w:t>or Programs</w:t>
            </w:r>
          </w:p>
        </w:tc>
        <w:tc>
          <w:tcPr>
            <w:tcW w:w="240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(d) Maximum </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Number of Shares </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that may yet be </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Purchased  Under </w:t>
            </w:r>
          </w:p>
          <w:p>
            <w:pPr>
              <w:pStyle w:val="TableContents"/>
              <w:spacing w:before="0" w:after="0"/>
              <w:ind w:left="0" w:right="0" w:hanging="0"/>
              <w:jc w:val="center"/>
              <w:rPr>
                <w:rFonts w:ascii="times new roman" w:hAnsi="times new roman"/>
                <w:b/>
                <w:sz w:val="20"/>
              </w:rPr>
            </w:pPr>
            <w:r>
              <w:rPr>
                <w:rFonts w:ascii="times new roman" w:hAnsi="times new roman"/>
                <w:b/>
                <w:sz w:val="20"/>
              </w:rPr>
              <w:t>Plans or Programs2</w:t>
            </w:r>
          </w:p>
        </w:tc>
      </w:tr>
      <w:tr>
        <w:trPr/>
        <w:tc>
          <w:tcPr>
            <w:tcW w:w="2551" w:type="dxa"/>
            <w:tcBorders/>
            <w:shd w:fill="auto" w:val="clear"/>
            <w:vAlign w:val="bottom"/>
          </w:tcPr>
          <w:p>
            <w:pPr>
              <w:pStyle w:val="TableContents"/>
              <w:spacing w:before="0" w:after="283"/>
              <w:jc w:val="left"/>
              <w:rPr/>
            </w:pPr>
            <w:r>
              <w:rPr/>
              <w:t xml:space="preserve">  </w:t>
            </w:r>
          </w:p>
        </w:tc>
        <w:tc>
          <w:tcPr>
            <w:tcW w:w="1500" w:type="dxa"/>
            <w:tcBorders/>
            <w:shd w:fill="auto" w:val="clear"/>
            <w:vAlign w:val="bottom"/>
          </w:tcPr>
          <w:p>
            <w:pPr>
              <w:pStyle w:val="TableContents"/>
              <w:spacing w:before="0" w:after="283"/>
              <w:jc w:val="left"/>
              <w:rPr/>
            </w:pPr>
            <w:r>
              <w:rPr/>
              <w:t xml:space="preserve">  </w:t>
            </w:r>
          </w:p>
        </w:tc>
        <w:tc>
          <w:tcPr>
            <w:tcW w:w="1501" w:type="dxa"/>
            <w:tcBorders/>
            <w:shd w:fill="auto" w:val="clear"/>
            <w:vAlign w:val="bottom"/>
          </w:tcPr>
          <w:p>
            <w:pPr>
              <w:pStyle w:val="TableContents"/>
              <w:spacing w:before="0" w:after="283"/>
              <w:jc w:val="left"/>
              <w:rPr/>
            </w:pPr>
            <w:r>
              <w:rPr/>
              <w:t xml:space="preserve">  </w:t>
            </w:r>
          </w:p>
        </w:tc>
        <w:tc>
          <w:tcPr>
            <w:tcW w:w="2252" w:type="dxa"/>
            <w:tcBorders/>
            <w:shd w:fill="auto" w:val="clear"/>
            <w:vAlign w:val="bottom"/>
          </w:tcPr>
          <w:p>
            <w:pPr>
              <w:pStyle w:val="TableContents"/>
              <w:spacing w:before="0" w:after="283"/>
              <w:jc w:val="left"/>
              <w:rPr/>
            </w:pPr>
            <w:r>
              <w:rPr/>
              <w:t xml:space="preserve">  </w:t>
            </w:r>
          </w:p>
        </w:tc>
        <w:tc>
          <w:tcPr>
            <w:tcW w:w="2401" w:type="dxa"/>
            <w:tcBorders/>
            <w:shd w:fill="auto" w:val="clear"/>
            <w:vAlign w:val="bottom"/>
          </w:tcPr>
          <w:p>
            <w:pPr>
              <w:pStyle w:val="TableContents"/>
              <w:spacing w:before="0" w:after="283"/>
              <w:jc w:val="left"/>
              <w:rPr/>
            </w:pPr>
            <w:r>
              <w:rPr/>
              <w:t xml:space="preserve">  </w:t>
            </w:r>
          </w:p>
        </w:tc>
      </w:tr>
      <w:tr>
        <w:trPr/>
        <w:tc>
          <w:tcPr>
            <w:tcW w:w="255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1, 2010 to</w:t>
            </w:r>
          </w:p>
        </w:tc>
        <w:tc>
          <w:tcPr>
            <w:tcW w:w="1500" w:type="dxa"/>
            <w:tcBorders/>
            <w:shd w:fill="auto" w:val="clear"/>
            <w:vAlign w:val="bottom"/>
          </w:tcPr>
          <w:p>
            <w:pPr>
              <w:pStyle w:val="TableContents"/>
              <w:spacing w:before="0" w:after="283"/>
              <w:jc w:val="left"/>
              <w:rPr/>
            </w:pPr>
            <w:r>
              <w:rPr/>
              <w:t xml:space="preserve">  </w:t>
            </w:r>
          </w:p>
        </w:tc>
        <w:tc>
          <w:tcPr>
            <w:tcW w:w="1501" w:type="dxa"/>
            <w:tcBorders/>
            <w:shd w:fill="auto" w:val="clear"/>
            <w:vAlign w:val="bottom"/>
          </w:tcPr>
          <w:p>
            <w:pPr>
              <w:pStyle w:val="TableContents"/>
              <w:spacing w:before="0" w:after="283"/>
              <w:jc w:val="left"/>
              <w:rPr/>
            </w:pPr>
            <w:r>
              <w:rPr/>
              <w:t xml:space="preserve">  </w:t>
            </w:r>
          </w:p>
        </w:tc>
        <w:tc>
          <w:tcPr>
            <w:tcW w:w="2252" w:type="dxa"/>
            <w:tcBorders/>
            <w:shd w:fill="auto" w:val="clear"/>
            <w:vAlign w:val="bottom"/>
          </w:tcPr>
          <w:p>
            <w:pPr>
              <w:pStyle w:val="TableContents"/>
              <w:spacing w:before="0" w:after="283"/>
              <w:jc w:val="left"/>
              <w:rPr/>
            </w:pPr>
            <w:r>
              <w:rPr/>
              <w:t xml:space="preserve">  </w:t>
            </w:r>
          </w:p>
        </w:tc>
        <w:tc>
          <w:tcPr>
            <w:tcW w:w="2401" w:type="dxa"/>
            <w:tcBorders/>
            <w:shd w:fill="auto" w:val="clear"/>
            <w:vAlign w:val="bottom"/>
          </w:tcPr>
          <w:p>
            <w:pPr>
              <w:pStyle w:val="TableContents"/>
              <w:spacing w:before="0" w:after="283"/>
              <w:jc w:val="left"/>
              <w:rPr/>
            </w:pPr>
            <w:r>
              <w:rPr/>
              <w:t xml:space="preserve">  </w:t>
            </w:r>
          </w:p>
        </w:tc>
      </w:tr>
      <w:tr>
        <w:trPr/>
        <w:tc>
          <w:tcPr>
            <w:tcW w:w="25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31, 2010</w:t>
            </w:r>
          </w:p>
        </w:tc>
        <w:tc>
          <w:tcPr>
            <w:tcW w:w="150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5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225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24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234,000</w:t>
            </w:r>
          </w:p>
        </w:tc>
      </w:tr>
      <w:tr>
        <w:trPr/>
        <w:tc>
          <w:tcPr>
            <w:tcW w:w="25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252"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401"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283"/>
              <w:jc w:val="left"/>
              <w:rPr/>
            </w:pPr>
            <w:r>
              <w:rPr/>
              <w:t xml:space="preserve">  </w:t>
            </w:r>
          </w:p>
        </w:tc>
        <w:tc>
          <w:tcPr>
            <w:tcW w:w="1500" w:type="dxa"/>
            <w:tcBorders/>
            <w:shd w:fill="CCEEFF" w:val="clear"/>
            <w:vAlign w:val="bottom"/>
          </w:tcPr>
          <w:p>
            <w:pPr>
              <w:pStyle w:val="TableContents"/>
              <w:spacing w:before="0" w:after="283"/>
              <w:jc w:val="left"/>
              <w:rPr/>
            </w:pPr>
            <w:r>
              <w:rPr/>
              <w:t xml:space="preserve">  </w:t>
            </w:r>
          </w:p>
        </w:tc>
        <w:tc>
          <w:tcPr>
            <w:tcW w:w="1501" w:type="dxa"/>
            <w:tcBorders/>
            <w:shd w:fill="CCEEFF" w:val="clear"/>
            <w:vAlign w:val="bottom"/>
          </w:tcPr>
          <w:p>
            <w:pPr>
              <w:pStyle w:val="TableContents"/>
              <w:spacing w:before="0" w:after="283"/>
              <w:jc w:val="left"/>
              <w:rPr/>
            </w:pPr>
            <w:r>
              <w:rPr/>
              <w:t xml:space="preserve">  </w:t>
            </w:r>
          </w:p>
        </w:tc>
        <w:tc>
          <w:tcPr>
            <w:tcW w:w="2252" w:type="dxa"/>
            <w:tcBorders/>
            <w:shd w:fill="CCEEFF" w:val="clear"/>
            <w:vAlign w:val="bottom"/>
          </w:tcPr>
          <w:p>
            <w:pPr>
              <w:pStyle w:val="TableContents"/>
              <w:spacing w:before="0" w:after="283"/>
              <w:jc w:val="left"/>
              <w:rPr/>
            </w:pPr>
            <w:r>
              <w:rPr/>
              <w:t xml:space="preserve">  </w:t>
            </w:r>
          </w:p>
        </w:tc>
        <w:tc>
          <w:tcPr>
            <w:tcW w:w="2401" w:type="dxa"/>
            <w:tcBorders/>
            <w:shd w:fill="CCEEFF" w:val="clear"/>
            <w:vAlign w:val="bottom"/>
          </w:tcPr>
          <w:p>
            <w:pPr>
              <w:pStyle w:val="TableContents"/>
              <w:spacing w:before="0" w:after="283"/>
              <w:rPr/>
            </w:pPr>
            <w:r>
              <w:rPr/>
              <w:t xml:space="preserve">  </w:t>
            </w:r>
          </w:p>
        </w:tc>
      </w:tr>
      <w:tr>
        <w:trPr/>
        <w:tc>
          <w:tcPr>
            <w:tcW w:w="25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September 1, 2010 to</w:t>
            </w:r>
          </w:p>
        </w:tc>
        <w:tc>
          <w:tcPr>
            <w:tcW w:w="1500" w:type="dxa"/>
            <w:tcBorders/>
            <w:shd w:fill="FFFFFF" w:val="clear"/>
            <w:vAlign w:val="bottom"/>
          </w:tcPr>
          <w:p>
            <w:pPr>
              <w:pStyle w:val="TableContents"/>
              <w:spacing w:before="0" w:after="283"/>
              <w:jc w:val="left"/>
              <w:rPr/>
            </w:pPr>
            <w:r>
              <w:rPr/>
              <w:t xml:space="preserve">  </w:t>
            </w:r>
          </w:p>
        </w:tc>
        <w:tc>
          <w:tcPr>
            <w:tcW w:w="1501" w:type="dxa"/>
            <w:tcBorders/>
            <w:shd w:fill="FFFFFF" w:val="clear"/>
            <w:vAlign w:val="bottom"/>
          </w:tcPr>
          <w:p>
            <w:pPr>
              <w:pStyle w:val="TableContents"/>
              <w:spacing w:before="0" w:after="283"/>
              <w:jc w:val="left"/>
              <w:rPr/>
            </w:pPr>
            <w:r>
              <w:rPr/>
              <w:t xml:space="preserve">  </w:t>
            </w:r>
          </w:p>
        </w:tc>
        <w:tc>
          <w:tcPr>
            <w:tcW w:w="2252" w:type="dxa"/>
            <w:tcBorders/>
            <w:shd w:fill="FFFFFF" w:val="clear"/>
            <w:vAlign w:val="bottom"/>
          </w:tcPr>
          <w:p>
            <w:pPr>
              <w:pStyle w:val="TableContents"/>
              <w:spacing w:before="0" w:after="283"/>
              <w:jc w:val="left"/>
              <w:rPr/>
            </w:pPr>
            <w:r>
              <w:rPr/>
              <w:t xml:space="preserve">  </w:t>
            </w:r>
          </w:p>
        </w:tc>
        <w:tc>
          <w:tcPr>
            <w:tcW w:w="2401" w:type="dxa"/>
            <w:tcBorders/>
            <w:shd w:fill="FFFFFF" w:val="cle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September 30, 2010</w:t>
            </w:r>
          </w:p>
        </w:tc>
        <w:tc>
          <w:tcPr>
            <w:tcW w:w="150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5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225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24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234,000</w:t>
            </w:r>
          </w:p>
        </w:tc>
      </w:tr>
      <w:tr>
        <w:trPr/>
        <w:tc>
          <w:tcPr>
            <w:tcW w:w="25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252"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401"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283"/>
              <w:jc w:val="left"/>
              <w:rPr/>
            </w:pPr>
            <w:r>
              <w:rPr/>
              <w:t xml:space="preserve">  </w:t>
            </w:r>
          </w:p>
        </w:tc>
        <w:tc>
          <w:tcPr>
            <w:tcW w:w="1500" w:type="dxa"/>
            <w:tcBorders/>
            <w:shd w:fill="CCEEFF" w:val="clear"/>
            <w:vAlign w:val="bottom"/>
          </w:tcPr>
          <w:p>
            <w:pPr>
              <w:pStyle w:val="TableContents"/>
              <w:spacing w:before="0" w:after="283"/>
              <w:jc w:val="left"/>
              <w:rPr/>
            </w:pPr>
            <w:r>
              <w:rPr/>
              <w:t xml:space="preserve">  </w:t>
            </w:r>
          </w:p>
        </w:tc>
        <w:tc>
          <w:tcPr>
            <w:tcW w:w="1501" w:type="dxa"/>
            <w:tcBorders/>
            <w:shd w:fill="CCEEFF" w:val="clear"/>
            <w:vAlign w:val="bottom"/>
          </w:tcPr>
          <w:p>
            <w:pPr>
              <w:pStyle w:val="TableContents"/>
              <w:spacing w:before="0" w:after="283"/>
              <w:jc w:val="left"/>
              <w:rPr/>
            </w:pPr>
            <w:r>
              <w:rPr/>
              <w:t xml:space="preserve">  </w:t>
            </w:r>
          </w:p>
        </w:tc>
        <w:tc>
          <w:tcPr>
            <w:tcW w:w="2252" w:type="dxa"/>
            <w:tcBorders/>
            <w:shd w:fill="CCEEFF" w:val="clear"/>
            <w:vAlign w:val="bottom"/>
          </w:tcPr>
          <w:p>
            <w:pPr>
              <w:pStyle w:val="TableContents"/>
              <w:spacing w:before="0" w:after="283"/>
              <w:jc w:val="left"/>
              <w:rPr/>
            </w:pPr>
            <w:r>
              <w:rPr/>
              <w:t xml:space="preserve">  </w:t>
            </w:r>
          </w:p>
        </w:tc>
        <w:tc>
          <w:tcPr>
            <w:tcW w:w="2401" w:type="dxa"/>
            <w:tcBorders/>
            <w:shd w:fill="CCEEFF" w:val="clear"/>
            <w:vAlign w:val="bottom"/>
          </w:tcPr>
          <w:p>
            <w:pPr>
              <w:pStyle w:val="TableContents"/>
              <w:spacing w:before="0" w:after="283"/>
              <w:rPr/>
            </w:pPr>
            <w:r>
              <w:rPr/>
              <w:t xml:space="preserve">  </w:t>
            </w:r>
          </w:p>
        </w:tc>
      </w:tr>
      <w:tr>
        <w:trPr/>
        <w:tc>
          <w:tcPr>
            <w:tcW w:w="25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October 1, 2010 to</w:t>
            </w:r>
          </w:p>
        </w:tc>
        <w:tc>
          <w:tcPr>
            <w:tcW w:w="1500" w:type="dxa"/>
            <w:tcBorders/>
            <w:shd w:fill="FFFFFF" w:val="clear"/>
            <w:vAlign w:val="bottom"/>
          </w:tcPr>
          <w:p>
            <w:pPr>
              <w:pStyle w:val="TableContents"/>
              <w:spacing w:before="0" w:after="283"/>
              <w:jc w:val="left"/>
              <w:rPr/>
            </w:pPr>
            <w:r>
              <w:rPr/>
              <w:t xml:space="preserve">  </w:t>
            </w:r>
          </w:p>
        </w:tc>
        <w:tc>
          <w:tcPr>
            <w:tcW w:w="1501" w:type="dxa"/>
            <w:tcBorders/>
            <w:shd w:fill="FFFFFF" w:val="clear"/>
            <w:vAlign w:val="bottom"/>
          </w:tcPr>
          <w:p>
            <w:pPr>
              <w:pStyle w:val="TableContents"/>
              <w:spacing w:before="0" w:after="283"/>
              <w:jc w:val="left"/>
              <w:rPr/>
            </w:pPr>
            <w:r>
              <w:rPr/>
              <w:t xml:space="preserve">  </w:t>
            </w:r>
          </w:p>
        </w:tc>
        <w:tc>
          <w:tcPr>
            <w:tcW w:w="2252" w:type="dxa"/>
            <w:tcBorders/>
            <w:shd w:fill="FFFFFF" w:val="clear"/>
            <w:vAlign w:val="bottom"/>
          </w:tcPr>
          <w:p>
            <w:pPr>
              <w:pStyle w:val="TableContents"/>
              <w:spacing w:before="0" w:after="283"/>
              <w:jc w:val="left"/>
              <w:rPr/>
            </w:pPr>
            <w:r>
              <w:rPr/>
              <w:t xml:space="preserve">  </w:t>
            </w:r>
          </w:p>
        </w:tc>
        <w:tc>
          <w:tcPr>
            <w:tcW w:w="2401" w:type="dxa"/>
            <w:tcBorders/>
            <w:shd w:fill="FFFFFF" w:val="cle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October 31, 2010</w:t>
            </w:r>
          </w:p>
        </w:tc>
        <w:tc>
          <w:tcPr>
            <w:tcW w:w="150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24,057</w:t>
            </w:r>
          </w:p>
        </w:tc>
        <w:tc>
          <w:tcPr>
            <w:tcW w:w="15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$21.23</w:t>
            </w:r>
          </w:p>
        </w:tc>
        <w:tc>
          <w:tcPr>
            <w:tcW w:w="225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24,057</w:t>
            </w:r>
          </w:p>
        </w:tc>
        <w:tc>
          <w:tcPr>
            <w:tcW w:w="24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209,943</w:t>
            </w:r>
          </w:p>
        </w:tc>
      </w:tr>
      <w:tr>
        <w:trPr/>
        <w:tc>
          <w:tcPr>
            <w:tcW w:w="25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252"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40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2010 filed with the SEC.</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On October 10, 2005, our Board of Directors authorized the repurchase of up to 500,000 shares of Common Stock, with repurchases to be made from time to time in the discretion of our management and in accordance with applicable laws, rules and regulations.  On March 11, 2010, our Board of Directors authorized the repurchase of an additional 250,000 shares of Common Stock.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 and no shares of Class A Common Stock are curre ntly outstanding.</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01" w:name="PGBRK21"/>
      <w:bookmarkStart w:id="402" w:name="PGBRK21"/>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03" w:name="FTR21"/>
      <w:bookmarkStart w:id="404" w:name="FTR21"/>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5" w:name="GLFTR21"/>
      <w:bookmarkEnd w:id="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6" w:name="PN21"/>
      <w:bookmarkEnd w:id="406"/>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07" w:name="HDR21"/>
      <w:bookmarkStart w:id="408" w:name="HDR21"/>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9" w:name="GLHDR21"/>
      <w:bookmarkEnd w:id="4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ITEM 5.  OTHER INFORMATION</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mining operations are subject to regulation by the Mine Safet</w:t>
      </w:r>
      <w:bookmarkStart w:id="410" w:name="24"/>
      <w:bookmarkEnd w:id="410"/>
      <w:r>
        <w:rPr>
          <w:rFonts w:ascii="Times New Roman" w:hAnsi="Times New Roman"/>
          <w:sz w:val="20"/>
        </w:rPr>
        <w:t>y and Health Administration (“MSHA”) under authority of the Federal Mine Safety and Health Act of 1977, as amended (the “Mine Act”).  The following table summarizes MSHA’s enforcement activity at our facilities during the three months ended October 31, 2010.  Section references in the table refer to sections of the Mine Act.</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2620"/>
        <w:gridCol w:w="1379"/>
        <w:gridCol w:w="965"/>
        <w:gridCol w:w="1379"/>
        <w:gridCol w:w="1241"/>
        <w:gridCol w:w="1242"/>
        <w:gridCol w:w="1379"/>
      </w:tblGrid>
      <w:tr>
        <w:trPr/>
        <w:tc>
          <w:tcPr>
            <w:tcW w:w="2620" w:type="dxa"/>
            <w:tcBorders/>
            <w:shd w:fill="auto" w:val="clear"/>
            <w:vAlign w:val="center"/>
          </w:tcPr>
          <w:p>
            <w:pPr>
              <w:pStyle w:val="TableContents"/>
              <w:spacing w:before="0" w:after="283"/>
              <w:rPr/>
            </w:pPr>
            <w:r>
              <w:rPr/>
              <w:t xml:space="preserve">  </w:t>
            </w:r>
          </w:p>
        </w:tc>
        <w:tc>
          <w:tcPr>
            <w:tcW w:w="1379" w:type="dxa"/>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w:t>
            </w:r>
            <w:r>
              <w:rPr>
                <w:rFonts w:ascii="times new roman" w:hAnsi="times new roman"/>
                <w:sz w:val="20"/>
              </w:rPr>
              <w:t xml:space="preserve">Significant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and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Substantial”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Violations </w:t>
            </w:r>
          </w:p>
          <w:p>
            <w:pPr>
              <w:pStyle w:val="TableContents"/>
              <w:spacing w:before="0" w:after="0"/>
              <w:ind w:left="0" w:right="0" w:hanging="0"/>
              <w:jc w:val="center"/>
              <w:rPr>
                <w:rFonts w:ascii="times new roman" w:hAnsi="times new roman"/>
                <w:sz w:val="20"/>
              </w:rPr>
            </w:pPr>
            <w:r>
              <w:rPr>
                <w:rFonts w:ascii="times new roman" w:hAnsi="times new roman"/>
                <w:sz w:val="20"/>
              </w:rPr>
              <w:t>Under Section 104</w:t>
            </w:r>
          </w:p>
        </w:tc>
        <w:tc>
          <w:tcPr>
            <w:tcW w:w="96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Orders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Issued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Under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Section </w:t>
            </w:r>
          </w:p>
          <w:p>
            <w:pPr>
              <w:pStyle w:val="TableContents"/>
              <w:spacing w:before="0" w:after="0"/>
              <w:ind w:left="0" w:right="0" w:hanging="0"/>
              <w:jc w:val="center"/>
              <w:rPr>
                <w:rFonts w:ascii="times new roman" w:hAnsi="times new roman"/>
                <w:sz w:val="20"/>
              </w:rPr>
            </w:pPr>
            <w:r>
              <w:rPr>
                <w:rFonts w:ascii="times new roman" w:hAnsi="times new roman"/>
                <w:sz w:val="20"/>
              </w:rPr>
              <w:t>104(b)</w:t>
            </w:r>
          </w:p>
        </w:tc>
        <w:tc>
          <w:tcPr>
            <w:tcW w:w="137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Citations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and Orders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Issued </w:t>
            </w:r>
          </w:p>
          <w:p>
            <w:pPr>
              <w:pStyle w:val="TableContents"/>
              <w:spacing w:before="0" w:after="0"/>
              <w:ind w:left="0" w:right="0" w:hanging="0"/>
              <w:jc w:val="center"/>
              <w:rPr>
                <w:rFonts w:ascii="times new roman" w:hAnsi="times new roman"/>
                <w:sz w:val="20"/>
              </w:rPr>
            </w:pPr>
            <w:r>
              <w:rPr>
                <w:rFonts w:ascii="times new roman" w:hAnsi="times new roman"/>
                <w:sz w:val="20"/>
              </w:rPr>
              <w:t>Under</w:t>
            </w:r>
          </w:p>
          <w:p>
            <w:pPr>
              <w:pStyle w:val="TableContents"/>
              <w:spacing w:before="0" w:after="0"/>
              <w:ind w:left="0" w:right="0" w:hanging="0"/>
              <w:jc w:val="center"/>
              <w:rPr/>
            </w:pPr>
            <w:r>
              <w:rPr/>
              <w:t> </w:t>
            </w:r>
            <w:r>
              <w:rPr>
                <w:rFonts w:ascii="times new roman" w:hAnsi="times new roman"/>
                <w:sz w:val="20"/>
              </w:rPr>
              <w:t xml:space="preserve">Section </w:t>
            </w:r>
          </w:p>
          <w:p>
            <w:pPr>
              <w:pStyle w:val="TableContents"/>
              <w:spacing w:before="0" w:after="0"/>
              <w:ind w:left="0" w:right="0" w:hanging="0"/>
              <w:jc w:val="center"/>
              <w:rPr>
                <w:rFonts w:ascii="times new roman" w:hAnsi="times new roman"/>
                <w:sz w:val="20"/>
              </w:rPr>
            </w:pPr>
            <w:r>
              <w:rPr>
                <w:rFonts w:ascii="times new roman" w:hAnsi="times new roman"/>
                <w:sz w:val="20"/>
              </w:rPr>
              <w:t>104(d)</w:t>
            </w:r>
          </w:p>
        </w:tc>
        <w:tc>
          <w:tcPr>
            <w:tcW w:w="124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Flagrant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Violations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Under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Section </w:t>
            </w:r>
          </w:p>
          <w:p>
            <w:pPr>
              <w:pStyle w:val="TableContents"/>
              <w:spacing w:before="0" w:after="0"/>
              <w:ind w:left="0" w:right="0" w:hanging="0"/>
              <w:jc w:val="center"/>
              <w:rPr>
                <w:rFonts w:ascii="times new roman" w:hAnsi="times new roman"/>
                <w:sz w:val="20"/>
              </w:rPr>
            </w:pPr>
            <w:r>
              <w:rPr>
                <w:rFonts w:ascii="times new roman" w:hAnsi="times new roman"/>
                <w:sz w:val="20"/>
              </w:rPr>
              <w:t>110(b)(2)</w:t>
            </w:r>
          </w:p>
        </w:tc>
        <w:tc>
          <w:tcPr>
            <w:tcW w:w="124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Imminent </w:t>
            </w:r>
          </w:p>
          <w:p>
            <w:pPr>
              <w:pStyle w:val="TableContents"/>
              <w:spacing w:before="0" w:after="0"/>
              <w:ind w:left="0" w:right="0" w:hanging="0"/>
              <w:jc w:val="center"/>
              <w:rPr>
                <w:rFonts w:ascii="times new roman" w:hAnsi="times new roman"/>
                <w:sz w:val="20"/>
              </w:rPr>
            </w:pPr>
            <w:r>
              <w:rPr>
                <w:rFonts w:ascii="times new roman" w:hAnsi="times new roman"/>
                <w:sz w:val="20"/>
              </w:rPr>
              <w:t>Danger</w:t>
            </w:r>
          </w:p>
          <w:p>
            <w:pPr>
              <w:pStyle w:val="TableContents"/>
              <w:spacing w:before="0" w:after="0"/>
              <w:ind w:left="0" w:right="0" w:hanging="0"/>
              <w:jc w:val="center"/>
              <w:rPr/>
            </w:pPr>
            <w:r>
              <w:rPr/>
              <w:t> </w:t>
            </w:r>
            <w:r>
              <w:rPr>
                <w:rFonts w:ascii="times new roman" w:hAnsi="times new roman"/>
                <w:sz w:val="20"/>
              </w:rPr>
              <w:t xml:space="preserve">Orders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Under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Section </w:t>
            </w:r>
          </w:p>
          <w:p>
            <w:pPr>
              <w:pStyle w:val="TableContents"/>
              <w:spacing w:before="0" w:after="0"/>
              <w:ind w:left="0" w:right="0" w:hanging="0"/>
              <w:jc w:val="center"/>
              <w:rPr>
                <w:rFonts w:ascii="times new roman" w:hAnsi="times new roman"/>
                <w:sz w:val="20"/>
              </w:rPr>
            </w:pPr>
            <w:r>
              <w:rPr>
                <w:rFonts w:ascii="times new roman" w:hAnsi="times new roman"/>
                <w:sz w:val="20"/>
              </w:rPr>
              <w:t>107(a)</w:t>
            </w:r>
          </w:p>
        </w:tc>
        <w:tc>
          <w:tcPr>
            <w:tcW w:w="137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Proposed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MSHA </w:t>
            </w:r>
          </w:p>
          <w:p>
            <w:pPr>
              <w:pStyle w:val="TableContents"/>
              <w:spacing w:before="0" w:after="0"/>
              <w:ind w:left="0" w:right="0" w:hanging="0"/>
              <w:jc w:val="center"/>
              <w:rPr>
                <w:rFonts w:ascii="times new roman" w:hAnsi="times new roman"/>
                <w:sz w:val="20"/>
              </w:rPr>
            </w:pPr>
            <w:r>
              <w:rPr>
                <w:rFonts w:ascii="times new roman" w:hAnsi="times new roman"/>
                <w:sz w:val="20"/>
              </w:rPr>
              <w:t>Assessments</w:t>
            </w:r>
          </w:p>
        </w:tc>
      </w:tr>
      <w:tr>
        <w:trPr/>
        <w:tc>
          <w:tcPr>
            <w:tcW w:w="262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Ochlocknee, Georgia</w:t>
            </w:r>
          </w:p>
        </w:tc>
        <w:tc>
          <w:tcPr>
            <w:tcW w:w="1379" w:type="dxa"/>
            <w:tcBorders/>
            <w:shd w:fill="CCEEFF" w:val="clear"/>
            <w:vAlign w:val="center"/>
          </w:tcPr>
          <w:p>
            <w:pPr>
              <w:pStyle w:val="TableContents"/>
              <w:spacing w:before="0" w:after="0"/>
              <w:ind w:left="0" w:right="0" w:hanging="0"/>
              <w:jc w:val="center"/>
              <w:rPr/>
            </w:pPr>
            <w:r>
              <w:rPr/>
              <w:t>  </w:t>
            </w:r>
            <w:r>
              <w:rPr>
                <w:rFonts w:ascii="times new roman" w:hAnsi="times new roman"/>
                <w:sz w:val="20"/>
              </w:rPr>
              <w:t>8</w:t>
            </w:r>
          </w:p>
        </w:tc>
        <w:tc>
          <w:tcPr>
            <w:tcW w:w="96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CCEEFF" w:val="clear"/>
            <w:vAlign w:val="center"/>
          </w:tcPr>
          <w:p>
            <w:pPr>
              <w:pStyle w:val="TableContents"/>
              <w:spacing w:before="0" w:after="0"/>
              <w:ind w:left="0" w:right="0" w:hanging="0"/>
              <w:jc w:val="center"/>
              <w:rPr/>
            </w:pPr>
            <w:r>
              <w:rPr/>
              <w:t>  </w:t>
            </w:r>
            <w:r>
              <w:rPr>
                <w:rFonts w:ascii="times new roman" w:hAnsi="times new roman"/>
                <w:sz w:val="20"/>
              </w:rPr>
              <w:t>1</w:t>
            </w:r>
          </w:p>
        </w:tc>
        <w:tc>
          <w:tcPr>
            <w:tcW w:w="124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2,277</w:t>
            </w:r>
          </w:p>
        </w:tc>
      </w:tr>
      <w:tr>
        <w:trPr/>
        <w:tc>
          <w:tcPr>
            <w:tcW w:w="262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Ripley, Mississippi</w:t>
            </w:r>
          </w:p>
        </w:tc>
        <w:tc>
          <w:tcPr>
            <w:tcW w:w="1379"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5"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2"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FFFFFF" w:val="clear"/>
          </w:tcPr>
          <w:p>
            <w:pPr>
              <w:pStyle w:val="TableContents"/>
              <w:spacing w:before="0" w:after="0"/>
              <w:ind w:left="0" w:right="0" w:hanging="0"/>
              <w:jc w:val="right"/>
              <w:rPr/>
            </w:pPr>
            <w:r>
              <w:rPr/>
              <w:t xml:space="preserve">  </w:t>
            </w:r>
            <w:r>
              <w:rPr>
                <w:rFonts w:ascii="times new roman" w:hAnsi="times new roman"/>
                <w:sz w:val="20"/>
              </w:rPr>
              <w:t>$             --</w:t>
            </w:r>
          </w:p>
        </w:tc>
      </w:tr>
      <w:tr>
        <w:trPr/>
        <w:tc>
          <w:tcPr>
            <w:tcW w:w="262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Mounds, Illinois</w:t>
            </w:r>
          </w:p>
        </w:tc>
        <w:tc>
          <w:tcPr>
            <w:tcW w:w="1379" w:type="dxa"/>
            <w:tcBorders/>
            <w:shd w:fill="CCEEFF" w:val="clear"/>
            <w:vAlign w:val="center"/>
          </w:tcPr>
          <w:p>
            <w:pPr>
              <w:pStyle w:val="TableContents"/>
              <w:spacing w:before="0" w:after="0"/>
              <w:ind w:left="0" w:right="0" w:hanging="0"/>
              <w:jc w:val="center"/>
              <w:rPr/>
            </w:pPr>
            <w:r>
              <w:rPr/>
              <w:t>  </w:t>
            </w:r>
            <w:r>
              <w:rPr>
                <w:rFonts w:ascii="times new roman" w:hAnsi="times new roman"/>
                <w:sz w:val="20"/>
              </w:rPr>
              <w:t>1</w:t>
            </w:r>
          </w:p>
        </w:tc>
        <w:tc>
          <w:tcPr>
            <w:tcW w:w="96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290</w:t>
            </w:r>
          </w:p>
        </w:tc>
      </w:tr>
      <w:tr>
        <w:trPr/>
        <w:tc>
          <w:tcPr>
            <w:tcW w:w="262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Blue Mountain, Mississippi</w:t>
            </w:r>
          </w:p>
        </w:tc>
        <w:tc>
          <w:tcPr>
            <w:tcW w:w="1379"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5"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2"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262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Taft, California</w:t>
            </w:r>
          </w:p>
        </w:tc>
        <w:tc>
          <w:tcPr>
            <w:tcW w:w="1379"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4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bl>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 fatality occurred following an accident at our Georgia plant involving a non-Oil-Dri employee during the three months ended October 31, 2010.  At October 31, 2010, we were contesting 231 citations, representing $110,665 in proposed MSHA assessments in the aggregate, before the Federal Mine Safety and Health Review Commission.</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6.  EXHIBITS</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881"/>
        <w:gridCol w:w="4536"/>
        <w:gridCol w:w="252"/>
        <w:gridCol w:w="4536"/>
      </w:tblGrid>
      <w:tr>
        <w:trPr/>
        <w:tc>
          <w:tcPr>
            <w:tcW w:w="88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4536"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Description</w:t>
            </w:r>
          </w:p>
        </w:tc>
        <w:tc>
          <w:tcPr>
            <w:tcW w:w="252" w:type="dxa"/>
            <w:tcBorders/>
            <w:shd w:fill="auto" w:val="clear"/>
          </w:tcPr>
          <w:p>
            <w:pPr>
              <w:pStyle w:val="TableContents"/>
              <w:spacing w:before="0" w:after="283"/>
              <w:rPr/>
            </w:pPr>
            <w:r>
              <w:rPr/>
              <w:t xml:space="preserve">  </w:t>
            </w:r>
          </w:p>
        </w:tc>
        <w:tc>
          <w:tcPr>
            <w:tcW w:w="4536"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SEC Document Reference</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10.1</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Fourth Amendment to Agreement, dated as of October 14, 2010, between Oil-Dri Corporation of America and Richard M. Jaffee.*</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Incorporated by reference to Exhibit 10.1to Oil-Dri’s (File No. 001-12622) Current Report on Form 8-K filed on October 14, 2010.</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10.2</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Incorporated by reference to Exhibit 10.1 to Oil-Dri’s (File No. 001-12622) Current Report on Form 8-K filed on November 16, 2010.</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11.htm">
              <w:r>
                <w:rPr>
                  <w:rStyle w:val="InternetLink"/>
                  <w:rFonts w:ascii="times new roman" w:hAnsi="times new roman"/>
                  <w:sz w:val="20"/>
                </w:rPr>
                <w:t>11</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Statement re: Computation of Earnings per Share.</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31.htm">
              <w:r>
                <w:rPr>
                  <w:rStyle w:val="InternetLink"/>
                  <w:rFonts w:ascii="times new roman" w:hAnsi="times new roman"/>
                  <w:sz w:val="20"/>
                </w:rPr>
                <w:t>31</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Rule 13a – 14(a).</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32.htm">
              <w:r>
                <w:rPr>
                  <w:rStyle w:val="InternetLink"/>
                  <w:rFonts w:ascii="times new roman" w:hAnsi="times new roman"/>
                  <w:sz w:val="20"/>
                </w:rPr>
                <w:t>32</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Furnished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324" w:type="dxa"/>
            <w:gridSpan w:val="3"/>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Management contract or compensatory plan or arrangement.</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11" w:name="PGBRK22"/>
      <w:bookmarkStart w:id="412" w:name="PGBRK22"/>
      <w:bookmarkEnd w:id="4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13" w:name="FTR22"/>
      <w:bookmarkStart w:id="414" w:name="FTR22"/>
      <w:bookmarkEnd w:id="4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5" w:name="GLFTR22"/>
      <w:bookmarkEnd w:id="4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6" w:name="PN22"/>
      <w:bookmarkEnd w:id="41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17" w:name="HDR22"/>
      <w:bookmarkStart w:id="418" w:name="HDR22"/>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9" w:name="GLHDR22"/>
      <w:bookmarkEnd w:id="4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br/>
        <w:t> </w:t>
      </w:r>
    </w:p>
    <w:p>
      <w:pPr>
        <w:pStyle w:val="TextBody"/>
        <w:spacing w:before="0" w:after="0"/>
        <w:ind w:left="360" w:right="0" w:hanging="0"/>
        <w:jc w:val="left"/>
        <w:rPr>
          <w:rFonts w:ascii="Times New Roman" w:hAnsi="Times New Roman"/>
          <w:sz w:val="20"/>
          <w:u w:val="single"/>
        </w:rPr>
      </w:pPr>
      <w:r>
        <w:rPr>
          <w:rFonts w:ascii="Times New Roman" w:hAnsi="Times New Roman"/>
          <w:sz w:val="20"/>
          <w:u w:val="single"/>
        </w:rPr>
        <w:t>SIGNAT</w:t>
      </w:r>
      <w:bookmarkStart w:id="420" w:name="25"/>
      <w:bookmarkEnd w:id="420"/>
      <w:r>
        <w:rPr>
          <w:rFonts w:ascii="Times New Roman" w:hAnsi="Times New Roman"/>
          <w:sz w:val="20"/>
          <w:u w:val="single"/>
        </w:rPr>
        <w:t>URES</w:t>
      </w:r>
    </w:p>
    <w:p>
      <w:pPr>
        <w:pStyle w:val="TextBody"/>
        <w:spacing w:before="0" w:after="0"/>
        <w:ind w:left="0" w:right="0" w:hanging="0"/>
        <w:jc w:val="both"/>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OIL-DRI CORPORATION OF AMERICA</w:t>
      </w:r>
    </w:p>
    <w:p>
      <w:pPr>
        <w:pStyle w:val="TextBody"/>
        <w:spacing w:before="0" w:after="0"/>
        <w:ind w:left="360" w:right="0" w:firstLine="360"/>
        <w:jc w:val="left"/>
        <w:rPr>
          <w:rFonts w:ascii="Times New Roman" w:hAnsi="Times New Roman"/>
          <w:sz w:val="20"/>
        </w:rPr>
      </w:pPr>
      <w:r>
        <w:rPr>
          <w:rFonts w:ascii="Times New Roman" w:hAnsi="Times New Roman"/>
          <w:sz w:val="20"/>
        </w:rPr>
        <w:t>(Registrant)</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360" w:right="0" w:hanging="0"/>
        <w:jc w:val="left"/>
        <w:rPr>
          <w:rFonts w:ascii="Times New Roman" w:hAnsi="Times New Roman"/>
          <w:sz w:val="20"/>
        </w:rPr>
      </w:pPr>
      <w:r>
        <w:rPr>
          <w:rFonts w:ascii="Times New Roman" w:hAnsi="Times New Roman"/>
          <w:sz w:val="20"/>
          <w:u w:val="single"/>
        </w:rPr>
        <w:t xml:space="preserve">BY /s/ Andrew N. Peterson                                       </w:t>
      </w:r>
      <w:r>
        <w:rPr>
          <w:rFonts w:ascii="Times New Roman" w:hAnsi="Times New Roman"/>
          <w:sz w:val="20"/>
        </w:rPr>
        <w:t>                                                          </w:t>
      </w:r>
    </w:p>
    <w:p>
      <w:pPr>
        <w:pStyle w:val="TextBody"/>
        <w:spacing w:before="0" w:after="0"/>
        <w:ind w:left="360" w:right="0" w:firstLine="360"/>
        <w:jc w:val="left"/>
        <w:rPr>
          <w:rFonts w:ascii="Times New Roman" w:hAnsi="Times New Roman"/>
          <w:sz w:val="20"/>
        </w:rPr>
      </w:pPr>
      <w:r>
        <w:rPr>
          <w:rFonts w:ascii="Times New Roman" w:hAnsi="Times New Roman"/>
          <w:sz w:val="20"/>
        </w:rPr>
        <w:t>Andrew N. Peterson</w:t>
      </w:r>
    </w:p>
    <w:p>
      <w:pPr>
        <w:pStyle w:val="TextBody"/>
        <w:spacing w:before="0" w:after="0"/>
        <w:ind w:left="360" w:right="0" w:firstLine="360"/>
        <w:jc w:val="left"/>
        <w:rPr>
          <w:rFonts w:ascii="Times New Roman" w:hAnsi="Times New Roman"/>
          <w:sz w:val="20"/>
        </w:rPr>
      </w:pPr>
      <w:r>
        <w:rPr>
          <w:rFonts w:ascii="Times New Roman" w:hAnsi="Times New Roman"/>
          <w:sz w:val="20"/>
        </w:rPr>
        <w:t>Vice President and Chief Financial Officer</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360" w:right="0" w:hanging="0"/>
        <w:jc w:val="left"/>
        <w:rPr>
          <w:rFonts w:ascii="Times New Roman" w:hAnsi="Times New Roman"/>
          <w:sz w:val="20"/>
        </w:rPr>
      </w:pPr>
      <w:r>
        <w:rPr>
          <w:rFonts w:ascii="Times New Roman" w:hAnsi="Times New Roman"/>
          <w:sz w:val="20"/>
          <w:u w:val="single"/>
        </w:rPr>
        <w:t xml:space="preserve">BY /s/ Daniel S. Jaffee                                              </w:t>
      </w:r>
      <w:r>
        <w:rPr>
          <w:rFonts w:ascii="Times New Roman" w:hAnsi="Times New Roman"/>
          <w:sz w:val="20"/>
        </w:rPr>
        <w:t>                                                           </w:t>
      </w:r>
    </w:p>
    <w:p>
      <w:pPr>
        <w:pStyle w:val="TextBody"/>
        <w:spacing w:before="0" w:after="0"/>
        <w:ind w:left="360" w:right="0" w:firstLine="360"/>
        <w:jc w:val="left"/>
        <w:rPr>
          <w:rFonts w:ascii="Times New Roman" w:hAnsi="Times New Roman"/>
          <w:sz w:val="20"/>
        </w:rPr>
      </w:pPr>
      <w:r>
        <w:rPr>
          <w:rFonts w:ascii="Times New Roman" w:hAnsi="Times New Roman"/>
          <w:sz w:val="20"/>
        </w:rPr>
        <w:t>Daniel S. Jaffee</w:t>
      </w:r>
    </w:p>
    <w:p>
      <w:pPr>
        <w:pStyle w:val="TextBody"/>
        <w:spacing w:before="0" w:after="0"/>
        <w:ind w:left="360" w:right="0" w:firstLine="360"/>
        <w:jc w:val="left"/>
        <w:rPr>
          <w:rFonts w:ascii="Times New Roman" w:hAnsi="Times New Roman"/>
          <w:sz w:val="20"/>
        </w:rPr>
      </w:pPr>
      <w:r>
        <w:rPr>
          <w:rFonts w:ascii="Times New Roman" w:hAnsi="Times New Roman"/>
          <w:sz w:val="20"/>
        </w:rPr>
        <w:t>President and Chief Executive Officer</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Dated:  December 8, 2010</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21" w:name="PGBRK23"/>
      <w:bookmarkStart w:id="422" w:name="PGBRK23"/>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23" w:name="FTR23"/>
      <w:bookmarkStart w:id="424" w:name="FTR23"/>
      <w:bookmarkEnd w:id="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5" w:name="GLFTR23"/>
      <w:bookmarkEnd w:id="4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6" w:name="PN23"/>
      <w:bookmarkEnd w:id="426"/>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27" w:name="HDR23"/>
      <w:bookmarkStart w:id="428" w:name="HDR23"/>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9" w:name="GLHDR23"/>
      <w:bookmarkEnd w:id="4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EX</w:t>
      </w:r>
      <w:bookmarkStart w:id="430" w:name="26"/>
      <w:bookmarkEnd w:id="430"/>
      <w:r>
        <w:rPr>
          <w:rFonts w:ascii="Times New Roman" w:hAnsi="Times New Roman"/>
          <w:b/>
          <w:sz w:val="20"/>
        </w:rPr>
        <w:t>HIBITS</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870"/>
        <w:gridCol w:w="9335"/>
      </w:tblGrid>
      <w:tr>
        <w:trPr/>
        <w:tc>
          <w:tcPr>
            <w:tcW w:w="870"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9335"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Description</w:t>
            </w:r>
          </w:p>
        </w:tc>
      </w:tr>
      <w:tr>
        <w:trPr/>
        <w:tc>
          <w:tcPr>
            <w:tcW w:w="870" w:type="dxa"/>
            <w:tcBorders/>
            <w:shd w:fill="auto" w:val="clear"/>
          </w:tcPr>
          <w:p>
            <w:pPr>
              <w:pStyle w:val="TableContents"/>
              <w:spacing w:before="0" w:after="283"/>
              <w:rPr/>
            </w:pPr>
            <w:r>
              <w:rPr/>
              <w:t xml:space="preserve">  </w:t>
            </w:r>
          </w:p>
        </w:tc>
        <w:tc>
          <w:tcPr>
            <w:tcW w:w="9335" w:type="dxa"/>
            <w:tcBorders/>
            <w:shd w:fill="auto" w:val="clear"/>
          </w:tcPr>
          <w:p>
            <w:pPr>
              <w:pStyle w:val="TableContents"/>
              <w:spacing w:before="0" w:after="283"/>
              <w:rPr/>
            </w:pPr>
            <w:r>
              <w:rPr/>
              <w:t xml:space="preserve">  </w:t>
            </w:r>
          </w:p>
        </w:tc>
      </w:tr>
      <w:tr>
        <w:trPr/>
        <w:tc>
          <w:tcPr>
            <w:tcW w:w="87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10.11</w:t>
            </w:r>
          </w:p>
        </w:tc>
        <w:tc>
          <w:tcPr>
            <w:tcW w:w="93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Fourth Amendment to Agreement, dated as of October 14, 2010, between Oil-Dri Corporation of America and Richard M. Jaffee.*</w:t>
            </w:r>
          </w:p>
        </w:tc>
      </w:tr>
      <w:tr>
        <w:trPr/>
        <w:tc>
          <w:tcPr>
            <w:tcW w:w="870" w:type="dxa"/>
            <w:tcBorders/>
            <w:shd w:fill="auto" w:val="clear"/>
          </w:tcPr>
          <w:p>
            <w:pPr>
              <w:pStyle w:val="TableContents"/>
              <w:spacing w:before="0" w:after="283"/>
              <w:rPr/>
            </w:pPr>
            <w:r>
              <w:rPr/>
              <w:t xml:space="preserve">  </w:t>
            </w:r>
          </w:p>
        </w:tc>
        <w:tc>
          <w:tcPr>
            <w:tcW w:w="9335" w:type="dxa"/>
            <w:tcBorders/>
            <w:shd w:fill="auto" w:val="clear"/>
          </w:tcPr>
          <w:p>
            <w:pPr>
              <w:pStyle w:val="TableContents"/>
              <w:spacing w:before="0" w:after="283"/>
              <w:rPr/>
            </w:pPr>
            <w:r>
              <w:rPr/>
              <w:t xml:space="preserve">  </w:t>
            </w:r>
          </w:p>
        </w:tc>
      </w:tr>
      <w:tr>
        <w:trPr/>
        <w:tc>
          <w:tcPr>
            <w:tcW w:w="87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10.22</w:t>
            </w:r>
          </w:p>
        </w:tc>
        <w:tc>
          <w:tcPr>
            <w:tcW w:w="93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tc>
      </w:tr>
      <w:tr>
        <w:trPr/>
        <w:tc>
          <w:tcPr>
            <w:tcW w:w="870" w:type="dxa"/>
            <w:tcBorders/>
            <w:shd w:fill="auto" w:val="clear"/>
          </w:tcPr>
          <w:p>
            <w:pPr>
              <w:pStyle w:val="TableContents"/>
              <w:spacing w:before="0" w:after="283"/>
              <w:rPr/>
            </w:pPr>
            <w:r>
              <w:rPr/>
              <w:t xml:space="preserve">  </w:t>
            </w:r>
          </w:p>
        </w:tc>
        <w:tc>
          <w:tcPr>
            <w:tcW w:w="9335" w:type="dxa"/>
            <w:tcBorders/>
            <w:shd w:fill="auto" w:val="clear"/>
          </w:tcPr>
          <w:p>
            <w:pPr>
              <w:pStyle w:val="TableContents"/>
              <w:spacing w:before="0" w:after="283"/>
              <w:rPr/>
            </w:pPr>
            <w:r>
              <w:rPr/>
              <w:t xml:space="preserve">  </w:t>
            </w:r>
          </w:p>
        </w:tc>
      </w:tr>
      <w:tr>
        <w:trPr/>
        <w:tc>
          <w:tcPr>
            <w:tcW w:w="870" w:type="dxa"/>
            <w:tcBorders/>
            <w:shd w:fill="auto" w:val="clear"/>
          </w:tcPr>
          <w:p>
            <w:pPr>
              <w:pStyle w:val="TableContents"/>
              <w:spacing w:before="0" w:after="0"/>
              <w:ind w:left="0" w:right="0" w:hanging="0"/>
              <w:jc w:val="center"/>
              <w:rPr/>
            </w:pPr>
            <w:hyperlink w:anchor="exh11.htm">
              <w:r>
                <w:rPr>
                  <w:rStyle w:val="InternetLink"/>
                  <w:rFonts w:ascii="times new roman" w:hAnsi="times new roman"/>
                  <w:sz w:val="20"/>
                </w:rPr>
                <w:t>11</w:t>
              </w:r>
            </w:hyperlink>
          </w:p>
        </w:tc>
        <w:tc>
          <w:tcPr>
            <w:tcW w:w="93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Statement re: Computation of Earnings per Share.</w:t>
            </w:r>
          </w:p>
        </w:tc>
      </w:tr>
      <w:tr>
        <w:trPr/>
        <w:tc>
          <w:tcPr>
            <w:tcW w:w="870" w:type="dxa"/>
            <w:tcBorders/>
            <w:shd w:fill="auto" w:val="clear"/>
          </w:tcPr>
          <w:p>
            <w:pPr>
              <w:pStyle w:val="TableContents"/>
              <w:spacing w:before="0" w:after="283"/>
              <w:rPr/>
            </w:pPr>
            <w:r>
              <w:rPr/>
              <w:t xml:space="preserve">  </w:t>
            </w:r>
          </w:p>
        </w:tc>
        <w:tc>
          <w:tcPr>
            <w:tcW w:w="9335" w:type="dxa"/>
            <w:tcBorders/>
            <w:shd w:fill="auto" w:val="clear"/>
          </w:tcPr>
          <w:p>
            <w:pPr>
              <w:pStyle w:val="TableContents"/>
              <w:spacing w:before="0" w:after="283"/>
              <w:rPr/>
            </w:pPr>
            <w:r>
              <w:rPr/>
              <w:t xml:space="preserve">  </w:t>
            </w:r>
          </w:p>
        </w:tc>
      </w:tr>
      <w:tr>
        <w:trPr/>
        <w:tc>
          <w:tcPr>
            <w:tcW w:w="870" w:type="dxa"/>
            <w:tcBorders/>
            <w:shd w:fill="auto" w:val="clear"/>
          </w:tcPr>
          <w:p>
            <w:pPr>
              <w:pStyle w:val="TableContents"/>
              <w:spacing w:before="0" w:after="0"/>
              <w:ind w:left="0" w:right="0" w:hanging="0"/>
              <w:jc w:val="center"/>
              <w:rPr/>
            </w:pPr>
            <w:hyperlink w:anchor="exh31.htm">
              <w:r>
                <w:rPr>
                  <w:rStyle w:val="InternetLink"/>
                  <w:rFonts w:ascii="times new roman" w:hAnsi="times new roman"/>
                  <w:sz w:val="20"/>
                </w:rPr>
                <w:t>31</w:t>
              </w:r>
            </w:hyperlink>
          </w:p>
        </w:tc>
        <w:tc>
          <w:tcPr>
            <w:tcW w:w="93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Rule 13a – 14(a).</w:t>
            </w:r>
          </w:p>
        </w:tc>
      </w:tr>
      <w:tr>
        <w:trPr/>
        <w:tc>
          <w:tcPr>
            <w:tcW w:w="870" w:type="dxa"/>
            <w:tcBorders/>
            <w:shd w:fill="auto" w:val="clear"/>
          </w:tcPr>
          <w:p>
            <w:pPr>
              <w:pStyle w:val="TableContents"/>
              <w:spacing w:before="0" w:after="283"/>
              <w:rPr/>
            </w:pPr>
            <w:r>
              <w:rPr/>
              <w:t xml:space="preserve">  </w:t>
            </w:r>
          </w:p>
        </w:tc>
        <w:tc>
          <w:tcPr>
            <w:tcW w:w="9335" w:type="dxa"/>
            <w:tcBorders/>
            <w:shd w:fill="auto" w:val="clear"/>
          </w:tcPr>
          <w:p>
            <w:pPr>
              <w:pStyle w:val="TableContents"/>
              <w:spacing w:before="0" w:after="283"/>
              <w:rPr/>
            </w:pPr>
            <w:r>
              <w:rPr/>
              <w:t xml:space="preserve">  </w:t>
            </w:r>
          </w:p>
        </w:tc>
      </w:tr>
      <w:tr>
        <w:trPr/>
        <w:tc>
          <w:tcPr>
            <w:tcW w:w="870" w:type="dxa"/>
            <w:tcBorders/>
            <w:shd w:fill="auto" w:val="clear"/>
          </w:tcPr>
          <w:p>
            <w:pPr>
              <w:pStyle w:val="TableContents"/>
              <w:spacing w:before="0" w:after="0"/>
              <w:ind w:left="0" w:right="0" w:hanging="0"/>
              <w:jc w:val="center"/>
              <w:rPr/>
            </w:pPr>
            <w:hyperlink w:anchor="exh32.htm">
              <w:r>
                <w:rPr>
                  <w:rStyle w:val="InternetLink"/>
                  <w:rFonts w:ascii="times new roman" w:hAnsi="times new roman"/>
                  <w:sz w:val="20"/>
                </w:rPr>
                <w:t>32</w:t>
              </w:r>
            </w:hyperlink>
          </w:p>
        </w:tc>
        <w:tc>
          <w:tcPr>
            <w:tcW w:w="93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Management contract or compensatory plan or arrangement.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Incorporated by reference to Exhibit 10.1 to Oil-Dri’s (File No. 001-12622) Current Report on Form 8-K filed on October 14, 2010.</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Incorporated by reference to Exhibit 10.1 to Oil-Dri’s (File No. 001-12622) Current Report on Form 8-K filed on November 16, 2010.</w:t>
      </w:r>
    </w:p>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31" w:name="hangingindent"/>
      <w:bookmarkStart w:id="432" w:name="hangingindent"/>
      <w:bookmarkEnd w:id="432"/>
    </w:p>
    <w:tbl>
      <w:tblPr>
        <w:tblW w:w="5000" w:type="pct"/>
        <w:jc w:val="center"/>
        <w:tblInd w:w="0" w:type="dxa"/>
        <w:tblCellMar>
          <w:top w:w="0" w:type="dxa"/>
          <w:left w:w="0" w:type="dxa"/>
          <w:bottom w:w="0" w:type="dxa"/>
          <w:right w:w="0" w:type="dxa"/>
        </w:tblCellMar>
      </w:tblPr>
      <w:tblGrid>
        <w:gridCol w:w="432"/>
        <w:gridCol w:w="9773"/>
      </w:tblGrid>
      <w:tr>
        <w:trPr/>
        <w:tc>
          <w:tcPr>
            <w:tcW w:w="4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Note:</w:t>
            </w:r>
          </w:p>
        </w:tc>
        <w:tc>
          <w:tcPr>
            <w:tcW w:w="97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 by telephone (312) 321-1515 or by e-mail to info@oildri.com.</w:t>
            </w:r>
          </w:p>
        </w:tc>
      </w:tr>
    </w:tbl>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t>26</w:t>
      </w:r>
    </w:p>
    <w:p>
      <w:pPr>
        <w:pStyle w:val="TextBody"/>
        <w:spacing w:before="0" w:after="0"/>
        <w:ind w:left="0" w:right="0" w:hanging="0"/>
        <w:jc w:val="both"/>
        <w:rPr/>
      </w:pPr>
      <w:r>
        <w:rPr/>
        <w:t> </w:t>
      </w:r>
    </w:p>
    <w:p>
      <w:pPr>
        <w:pStyle w:val="HorizontalLine"/>
        <w:pBdr>
          <w:bottom w:val="single" w:sz="6" w:space="0" w:color="808080"/>
        </w:pBdr>
        <w:jc w:val="both"/>
        <w:rPr/>
      </w:pPr>
      <w:r>
        <w:rPr/>
      </w:r>
    </w:p>
    <w:p>
      <w:pPr>
        <w:pStyle w:val="HorizontalLine"/>
        <w:pBdr>
          <w:bottom w:val="single" w:sz="24" w:space="0" w:color="808080"/>
        </w:pBdr>
        <w:jc w:val="both"/>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ind w:left="0" w:right="0" w:hanging="0"/>
        <w:jc w:val="both"/>
        <w:rPr/>
      </w:pPr>
      <w:r>
        <w:rPr/>
        <w:t> </w:t>
      </w:r>
      <w:r>
        <w:br w:type="page"/>
      </w:r>
    </w:p>
    <w:p>
      <w:pPr>
        <w:pStyle w:val="TextBody"/>
        <w:spacing w:before="0" w:after="0"/>
        <w:rPr/>
      </w:pPr>
      <w:bookmarkStart w:id="433" w:name="exh11.htm"/>
      <w:bookmarkStart w:id="434" w:name="ksexh11"/>
      <w:bookmarkEnd w:id="433"/>
      <w:bookmarkEnd w:id="434"/>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Exhibit 11: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OIL-DRI CORPORATION OF AMERICA AND SUBSIDIARIES</w:t>
      </w:r>
    </w:p>
    <w:p>
      <w:pPr>
        <w:pStyle w:val="TextBody"/>
        <w:spacing w:before="0" w:after="0"/>
        <w:ind w:left="0" w:right="0" w:hanging="0"/>
        <w:jc w:val="center"/>
        <w:rPr>
          <w:rFonts w:ascii="Times New Roman" w:hAnsi="Times New Roman"/>
          <w:b/>
          <w:sz w:val="20"/>
        </w:rPr>
      </w:pPr>
      <w:r>
        <w:rPr>
          <w:rFonts w:ascii="Times New Roman" w:hAnsi="Times New Roman"/>
          <w:b/>
          <w:sz w:val="20"/>
        </w:rPr>
        <w:t>Computation of Earnings Per Share</w:t>
      </w:r>
    </w:p>
    <w:p>
      <w:pPr>
        <w:pStyle w:val="TextBody"/>
        <w:spacing w:before="0" w:after="0"/>
        <w:ind w:left="0" w:right="0" w:hanging="0"/>
        <w:jc w:val="center"/>
        <w:rPr>
          <w:rFonts w:ascii="Times New Roman" w:hAnsi="Times New Roman"/>
          <w:b/>
          <w:sz w:val="20"/>
        </w:rPr>
      </w:pPr>
      <w:r>
        <w:rPr>
          <w:rFonts w:ascii="Times New Roman" w:hAnsi="Times New Roman"/>
          <w:b/>
          <w:sz w:val="20"/>
        </w:rPr>
        <w:t>(in thousands except for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36"/>
        <w:gridCol w:w="110"/>
        <w:gridCol w:w="127"/>
        <w:gridCol w:w="978"/>
        <w:gridCol w:w="115"/>
        <w:gridCol w:w="110"/>
        <w:gridCol w:w="127"/>
        <w:gridCol w:w="978"/>
        <w:gridCol w:w="124"/>
      </w:tblGrid>
      <w:tr>
        <w:trPr/>
        <w:tc>
          <w:tcPr>
            <w:tcW w:w="753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35"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October 31,</w:t>
            </w:r>
          </w:p>
        </w:tc>
        <w:tc>
          <w:tcPr>
            <w:tcW w:w="124" w:type="dxa"/>
            <w:tcBorders/>
            <w:shd w:fill="auto" w:val="clear"/>
            <w:vAlign w:val="bottom"/>
          </w:tcPr>
          <w:p>
            <w:pPr>
              <w:pStyle w:val="TableContents"/>
              <w:spacing w:before="0" w:after="283"/>
              <w:jc w:val="left"/>
              <w:rPr/>
            </w:pPr>
            <w:r>
              <w:rPr/>
              <w:t> </w:t>
            </w:r>
          </w:p>
        </w:tc>
      </w:tr>
      <w:tr>
        <w:trPr/>
        <w:tc>
          <w:tcPr>
            <w:tcW w:w="753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4" w:type="dxa"/>
            <w:tcBorders/>
            <w:shd w:fill="auto" w:val="clear"/>
            <w:vAlign w:val="bottom"/>
          </w:tcPr>
          <w:p>
            <w:pPr>
              <w:pStyle w:val="TableContents"/>
              <w:spacing w:before="0" w:after="283"/>
              <w:jc w:val="left"/>
              <w:rPr/>
            </w:pPr>
            <w:r>
              <w:rPr/>
              <w:t> </w:t>
            </w:r>
          </w:p>
        </w:tc>
      </w:tr>
      <w:tr>
        <w:trPr/>
        <w:tc>
          <w:tcPr>
            <w:tcW w:w="7536" w:type="dxa"/>
            <w:tcBorders/>
            <w:shd w:fill="CCEEFF" w:val="clear"/>
            <w:vAlign w:val="bottom"/>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Net income available to stockholders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8"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2,519</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2,194</w:t>
            </w:r>
          </w:p>
        </w:tc>
        <w:tc>
          <w:tcPr>
            <w:tcW w:w="124" w:type="dxa"/>
            <w:tcBorders/>
            <w:shd w:fill="CCEEFF" w:val="clear"/>
            <w:vAlign w:val="bottom"/>
          </w:tcPr>
          <w:p>
            <w:pPr>
              <w:pStyle w:val="TableContents"/>
              <w:spacing w:before="0" w:after="283"/>
              <w:jc w:val="left"/>
              <w:rPr/>
            </w:pPr>
            <w:r>
              <w:rPr/>
              <w:t> </w:t>
            </w:r>
          </w:p>
        </w:tc>
      </w:tr>
      <w:tr>
        <w:trPr/>
        <w:tc>
          <w:tcPr>
            <w:tcW w:w="753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Less:  Distributed and undistributed earnings allocated  to nonvested stock</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w:t>
            </w:r>
          </w:p>
        </w:tc>
        <w:tc>
          <w:tcPr>
            <w:tcW w:w="11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3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Earnings available to common shareholders</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2,502</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2,185</w:t>
            </w:r>
          </w:p>
        </w:tc>
        <w:tc>
          <w:tcPr>
            <w:tcW w:w="124" w:type="dxa"/>
            <w:tcBorders/>
            <w:shd w:fill="CCEEFF" w:val="clear"/>
            <w:vAlign w:val="bottom"/>
          </w:tcPr>
          <w:p>
            <w:pPr>
              <w:pStyle w:val="TableContents"/>
              <w:spacing w:before="0" w:after="283"/>
              <w:jc w:val="left"/>
              <w:rPr/>
            </w:pPr>
            <w:r>
              <w:rPr/>
              <w:t> </w:t>
            </w:r>
          </w:p>
        </w:tc>
      </w:tr>
      <w:tr>
        <w:trPr/>
        <w:tc>
          <w:tcPr>
            <w:tcW w:w="7536" w:type="dxa"/>
            <w:tcBorders/>
            <w:shd w:fill="FFFFFF" w:val="clear"/>
            <w:vAlign w:val="bottom"/>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Shares Calculation</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53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 Basic Common</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78"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5,086</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5,193</w:t>
            </w:r>
          </w:p>
        </w:tc>
        <w:tc>
          <w:tcPr>
            <w:tcW w:w="124" w:type="dxa"/>
            <w:tcBorders/>
            <w:shd w:fill="CCEEFF" w:val="clear"/>
            <w:vAlign w:val="bottom"/>
          </w:tcPr>
          <w:p>
            <w:pPr>
              <w:pStyle w:val="TableContents"/>
              <w:spacing w:before="0" w:after="283"/>
              <w:jc w:val="left"/>
              <w:rPr/>
            </w:pPr>
            <w:r>
              <w:rPr/>
              <w:t> </w:t>
            </w:r>
          </w:p>
        </w:tc>
      </w:tr>
      <w:tr>
        <w:trPr/>
        <w:tc>
          <w:tcPr>
            <w:tcW w:w="753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Average shares outstanding – Basic Class B Common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1,897</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1,880</w:t>
            </w:r>
          </w:p>
        </w:tc>
        <w:tc>
          <w:tcPr>
            <w:tcW w:w="124" w:type="dxa"/>
            <w:tcBorders/>
            <w:shd w:fill="FFFFFF" w:val="clear"/>
            <w:vAlign w:val="bottom"/>
          </w:tcPr>
          <w:p>
            <w:pPr>
              <w:pStyle w:val="TableContents"/>
              <w:spacing w:before="0" w:after="283"/>
              <w:jc w:val="left"/>
              <w:rPr/>
            </w:pPr>
            <w:r>
              <w:rPr/>
              <w:t> </w:t>
            </w:r>
          </w:p>
        </w:tc>
      </w:tr>
      <w:tr>
        <w:trPr/>
        <w:tc>
          <w:tcPr>
            <w:tcW w:w="753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Potential Common Stock relating to stock options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140</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4" w:type="dxa"/>
            <w:tcBorders/>
            <w:shd w:fill="CCEEFF" w:val="clear"/>
            <w:vAlign w:val="bottom"/>
          </w:tcPr>
          <w:p>
            <w:pPr>
              <w:pStyle w:val="TableContents"/>
              <w:spacing w:before="0" w:after="283"/>
              <w:jc w:val="left"/>
              <w:rPr/>
            </w:pPr>
            <w:r>
              <w:rPr/>
              <w:t> </w:t>
            </w:r>
          </w:p>
        </w:tc>
      </w:tr>
      <w:tr>
        <w:trPr/>
        <w:tc>
          <w:tcPr>
            <w:tcW w:w="753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 Assuming dilution</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7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7,123</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7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7,248</w:t>
            </w:r>
          </w:p>
        </w:tc>
        <w:tc>
          <w:tcPr>
            <w:tcW w:w="124" w:type="dxa"/>
            <w:tcBorders/>
            <w:shd w:fill="FFFFFF" w:val="clear"/>
            <w:vAlign w:val="bottom"/>
          </w:tcPr>
          <w:p>
            <w:pPr>
              <w:pStyle w:val="TableContents"/>
              <w:spacing w:before="0" w:after="283"/>
              <w:jc w:val="left"/>
              <w:rPr/>
            </w:pPr>
            <w:r>
              <w:rPr/>
              <w:t> </w:t>
            </w:r>
          </w:p>
        </w:tc>
      </w:tr>
      <w:tr>
        <w:trPr/>
        <w:tc>
          <w:tcPr>
            <w:tcW w:w="753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w:t>
            </w:r>
          </w:p>
          <w:p>
            <w:pPr>
              <w:pStyle w:val="TableContents"/>
              <w:spacing w:before="0" w:after="0"/>
              <w:ind w:left="0" w:right="0" w:hanging="0"/>
              <w:jc w:val="both"/>
              <w:rPr/>
            </w:pPr>
            <w:r>
              <w:rPr/>
              <w:t>   </w:t>
            </w:r>
            <w:r>
              <w:rPr>
                <w:rFonts w:ascii="times new roman" w:hAnsi="times new roman"/>
                <w:sz w:val="20"/>
              </w:rPr>
              <w:t>Basic Common</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0.38</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124" w:type="dxa"/>
            <w:tcBorders/>
            <w:shd w:fill="CCEEFF" w:val="clear"/>
            <w:vAlign w:val="bottom"/>
          </w:tcPr>
          <w:p>
            <w:pPr>
              <w:pStyle w:val="TableContents"/>
              <w:spacing w:before="0" w:after="283"/>
              <w:jc w:val="left"/>
              <w:rPr/>
            </w:pPr>
            <w:r>
              <w:rPr/>
              <w:t> </w:t>
            </w:r>
          </w:p>
        </w:tc>
      </w:tr>
      <w:tr>
        <w:trPr/>
        <w:tc>
          <w:tcPr>
            <w:tcW w:w="753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w:t>
            </w:r>
          </w:p>
          <w:p>
            <w:pPr>
              <w:pStyle w:val="TableContents"/>
              <w:spacing w:before="0" w:after="0"/>
              <w:ind w:left="0" w:right="0" w:hanging="0"/>
              <w:jc w:val="both"/>
              <w:rPr/>
            </w:pPr>
            <w:r>
              <w:rPr/>
              <w:t>   </w:t>
            </w:r>
            <w:r>
              <w:rPr>
                <w:rFonts w:ascii="times new roman" w:hAnsi="times new roman"/>
                <w:sz w:val="20"/>
              </w:rPr>
              <w:t>Basic Class B Common</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0.30</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124" w:type="dxa"/>
            <w:tcBorders/>
            <w:shd w:fill="FFFFFF" w:val="clear"/>
            <w:vAlign w:val="bottom"/>
          </w:tcPr>
          <w:p>
            <w:pPr>
              <w:pStyle w:val="TableContents"/>
              <w:spacing w:before="0" w:after="283"/>
              <w:jc w:val="left"/>
              <w:rPr/>
            </w:pPr>
            <w:r>
              <w:rPr/>
              <w:t> </w:t>
            </w:r>
          </w:p>
        </w:tc>
      </w:tr>
      <w:tr>
        <w:trPr/>
        <w:tc>
          <w:tcPr>
            <w:tcW w:w="753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w:t>
            </w:r>
          </w:p>
          <w:p>
            <w:pPr>
              <w:pStyle w:val="TableContents"/>
              <w:spacing w:before="0" w:after="0"/>
              <w:ind w:left="0" w:right="0" w:hanging="0"/>
              <w:jc w:val="both"/>
              <w:rPr/>
            </w:pPr>
            <w:r>
              <w:rPr/>
              <w:t>   </w:t>
            </w:r>
            <w:r>
              <w:rPr>
                <w:rFonts w:ascii="times new roman" w:hAnsi="times new roman"/>
                <w:sz w:val="20"/>
              </w:rPr>
              <w:t>Diluted</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0.35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b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435" w:name="exh31.htm"/>
      <w:bookmarkStart w:id="436" w:name="ksexh31"/>
      <w:bookmarkEnd w:id="435"/>
      <w:bookmarkEnd w:id="436"/>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Exhibit 31: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 PURSUANT TO RULE 13A -14(A) UNDER THE SECURITIES EXCHANGE ACT OF 1934, AS AMENDED</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 of 2002)</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         I, Daniel S. Jaffee, certify that:</w:t>
      </w:r>
    </w:p>
    <w:p>
      <w:pPr>
        <w:pStyle w:val="TextBody"/>
        <w:spacing w:before="0" w:after="0"/>
        <w:ind w:left="0" w:right="0" w:hanging="0"/>
        <w:rPr/>
      </w:pPr>
      <w:r>
        <w:rPr/>
      </w:r>
    </w:p>
    <w:p>
      <w:pPr>
        <w:pStyle w:val="Normal"/>
        <w:spacing w:before="0" w:after="0"/>
        <w:rPr>
          <w:sz w:val="4"/>
          <w:szCs w:val="4"/>
        </w:rPr>
      </w:pPr>
      <w:r>
        <w:rPr>
          <w:sz w:val="4"/>
          <w:szCs w:val="4"/>
        </w:rPr>
      </w:r>
      <w:bookmarkStart w:id="437" w:name="hangingindent1"/>
      <w:bookmarkStart w:id="438" w:name="hangingindent1"/>
      <w:bookmarkEnd w:id="438"/>
    </w:p>
    <w:tbl>
      <w:tblPr>
        <w:tblW w:w="5000" w:type="pct"/>
        <w:jc w:val="center"/>
        <w:tblInd w:w="0" w:type="dxa"/>
        <w:tblCellMar>
          <w:top w:w="0" w:type="dxa"/>
          <w:left w:w="0" w:type="dxa"/>
          <w:bottom w:w="0" w:type="dxa"/>
          <w:right w:w="0" w:type="dxa"/>
        </w:tblCellMar>
      </w:tblPr>
      <w:tblGrid>
        <w:gridCol w:w="141"/>
        <w:gridCol w:w="200"/>
        <w:gridCol w:w="9864"/>
      </w:tblGrid>
      <w:tr>
        <w:trPr/>
        <w:tc>
          <w:tcPr>
            <w:tcW w:w="141"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39" w:name="hangingindent2"/>
      <w:bookmarkStart w:id="440" w:name="hangingindent2"/>
      <w:bookmarkEnd w:id="440"/>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41" w:name="hangingindent3"/>
      <w:bookmarkStart w:id="442" w:name="hangingindent3"/>
      <w:bookmarkEnd w:id="442"/>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43" w:name="hangingindent4"/>
      <w:bookmarkStart w:id="444" w:name="hangingindent4"/>
      <w:bookmarkEnd w:id="444"/>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445" w:name="list1"/>
      <w:bookmarkStart w:id="446" w:name="list1"/>
      <w:bookmarkEnd w:id="446"/>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447" w:name="list2"/>
      <w:bookmarkStart w:id="448" w:name="list2"/>
      <w:bookmarkEnd w:id="448"/>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449" w:name="list3"/>
      <w:bookmarkStart w:id="450" w:name="list3"/>
      <w:bookmarkEnd w:id="450"/>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51" w:name="list4"/>
      <w:bookmarkStart w:id="452" w:name="list4"/>
      <w:bookmarkEnd w:id="452"/>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53" w:name="hangingindent5"/>
      <w:bookmarkStart w:id="454" w:name="hangingindent5"/>
      <w:bookmarkEnd w:id="454"/>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455" w:name="hangingindent6"/>
      <w:bookmarkStart w:id="456" w:name="hangingindent6"/>
      <w:bookmarkEnd w:id="456"/>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57" w:name="hangingindent7"/>
      <w:bookmarkStart w:id="458" w:name="hangingindent7"/>
      <w:bookmarkEnd w:id="458"/>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2"/>
        <w:gridCol w:w="103"/>
        <w:gridCol w:w="9680"/>
      </w:tblGrid>
      <w:tr>
        <w:trPr/>
        <w:tc>
          <w:tcPr>
            <w:tcW w:w="4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03" w:type="dxa"/>
            <w:tcBorders/>
            <w:shd w:fill="auto" w:val="clear"/>
          </w:tcPr>
          <w:p>
            <w:pPr>
              <w:pStyle w:val="TableContents"/>
              <w:spacing w:before="0" w:after="283"/>
              <w:rPr/>
            </w:pPr>
            <w:r>
              <w:rPr/>
              <w:t xml:space="preserve">  </w:t>
            </w:r>
          </w:p>
        </w:tc>
        <w:tc>
          <w:tcPr>
            <w:tcW w:w="968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 xml:space="preserve">December 8, 2010                                          </w:t>
            </w:r>
          </w:p>
        </w:tc>
      </w:tr>
      <w:tr>
        <w:trPr/>
        <w:tc>
          <w:tcPr>
            <w:tcW w:w="422"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103" w:type="dxa"/>
            <w:tcBorders/>
            <w:shd w:fill="auto" w:val="clear"/>
            <w:vAlign w:val="bottom"/>
          </w:tcPr>
          <w:p>
            <w:pPr>
              <w:pStyle w:val="TableContents"/>
              <w:spacing w:before="0" w:after="283"/>
              <w:rPr/>
            </w:pPr>
            <w:r>
              <w:rPr/>
              <w:t xml:space="preserve">  </w:t>
            </w:r>
          </w:p>
        </w:tc>
        <w:tc>
          <w:tcPr>
            <w:tcW w:w="9680" w:type="dxa"/>
            <w:tcBorders/>
            <w:shd w:fill="auto" w:val="clear"/>
            <w:vAlign w:val="bottom"/>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 xml:space="preserve">/s/ Daniel S. Jaffee                                        </w:t>
            </w:r>
          </w:p>
        </w:tc>
      </w:tr>
      <w:tr>
        <w:trPr/>
        <w:tc>
          <w:tcPr>
            <w:tcW w:w="422" w:type="dxa"/>
            <w:tcBorders/>
            <w:shd w:fill="auto" w:val="clear"/>
          </w:tcPr>
          <w:p>
            <w:pPr>
              <w:pStyle w:val="TableContents"/>
              <w:spacing w:before="0" w:after="283"/>
              <w:rPr/>
            </w:pPr>
            <w:r>
              <w:rPr/>
              <w:t xml:space="preserve">  </w:t>
            </w:r>
          </w:p>
        </w:tc>
        <w:tc>
          <w:tcPr>
            <w:tcW w:w="103" w:type="dxa"/>
            <w:tcBorders/>
            <w:shd w:fill="auto" w:val="clear"/>
          </w:tcPr>
          <w:p>
            <w:pPr>
              <w:pStyle w:val="TableContents"/>
              <w:spacing w:before="0" w:after="283"/>
              <w:rPr/>
            </w:pPr>
            <w:r>
              <w:rPr/>
              <w:t xml:space="preserve">  </w:t>
            </w:r>
          </w:p>
        </w:tc>
        <w:tc>
          <w:tcPr>
            <w:tcW w:w="96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Daniel S. Jaffee</w:t>
            </w:r>
          </w:p>
          <w:p>
            <w:pPr>
              <w:pStyle w:val="TableContents"/>
              <w:spacing w:before="0" w:after="0"/>
              <w:ind w:left="0" w:right="0" w:hanging="0"/>
              <w:jc w:val="both"/>
              <w:rPr>
                <w:rFonts w:ascii="times new roman" w:hAnsi="times new roman"/>
                <w:sz w:val="20"/>
              </w:rPr>
            </w:pPr>
            <w:r>
              <w:rPr>
                <w:rFonts w:ascii="times new roman" w:hAnsi="times new roman"/>
                <w:sz w:val="20"/>
              </w:rPr>
              <w:t>President and Chief Executive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9" w:name="PGBRK24"/>
      <w:bookmarkStart w:id="460" w:name="PGBRK24"/>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 w:name="FTR24"/>
      <w:bookmarkStart w:id="462" w:name="FTR24"/>
      <w:bookmarkEnd w:id="4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3" w:name="GLFTR24"/>
      <w:bookmarkEnd w:id="4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4" w:name="PN24"/>
      <w:bookmarkEnd w:id="464"/>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5" w:name="HDR24"/>
      <w:bookmarkStart w:id="466" w:name="HDR24"/>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7" w:name="GLHDR24"/>
      <w:bookmarkEnd w:id="4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Exhibit 31 (continued):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Financial Officer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 of 2002)</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         I, Andrew N. Peterson, certify that:</w:t>
      </w:r>
    </w:p>
    <w:p>
      <w:pPr>
        <w:pStyle w:val="TextBody"/>
        <w:spacing w:before="0" w:after="0"/>
        <w:ind w:left="0" w:right="0" w:hanging="0"/>
        <w:rPr/>
      </w:pPr>
      <w:r>
        <w:rPr/>
      </w:r>
    </w:p>
    <w:p>
      <w:pPr>
        <w:pStyle w:val="Normal"/>
        <w:spacing w:before="0" w:after="0"/>
        <w:rPr>
          <w:sz w:val="4"/>
          <w:szCs w:val="4"/>
        </w:rPr>
      </w:pPr>
      <w:r>
        <w:rPr>
          <w:sz w:val="4"/>
          <w:szCs w:val="4"/>
        </w:rPr>
      </w:r>
      <w:bookmarkStart w:id="468" w:name="hangingindent8"/>
      <w:bookmarkStart w:id="469" w:name="hangingindent8"/>
      <w:bookmarkEnd w:id="469"/>
    </w:p>
    <w:tbl>
      <w:tblPr>
        <w:tblW w:w="5000" w:type="pct"/>
        <w:jc w:val="center"/>
        <w:tblInd w:w="0" w:type="dxa"/>
        <w:tblCellMar>
          <w:top w:w="0" w:type="dxa"/>
          <w:left w:w="0" w:type="dxa"/>
          <w:bottom w:w="0" w:type="dxa"/>
          <w:right w:w="0" w:type="dxa"/>
        </w:tblCellMar>
      </w:tblPr>
      <w:tblGrid>
        <w:gridCol w:w="141"/>
        <w:gridCol w:w="200"/>
        <w:gridCol w:w="9864"/>
      </w:tblGrid>
      <w:tr>
        <w:trPr/>
        <w:tc>
          <w:tcPr>
            <w:tcW w:w="141"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70" w:name="hangingindent9"/>
      <w:bookmarkStart w:id="471" w:name="hangingindent9"/>
      <w:bookmarkEnd w:id="471"/>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72" w:name="hangingindent10"/>
      <w:bookmarkStart w:id="473" w:name="hangingindent10"/>
      <w:bookmarkEnd w:id="473"/>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74" w:name="hangingindent11"/>
      <w:bookmarkStart w:id="475" w:name="hangingindent11"/>
      <w:bookmarkEnd w:id="475"/>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476" w:name="list5"/>
      <w:bookmarkStart w:id="477" w:name="list5"/>
      <w:bookmarkEnd w:id="477"/>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478" w:name="list6"/>
      <w:bookmarkStart w:id="479" w:name="list6"/>
      <w:bookmarkEnd w:id="479"/>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480" w:name="list7"/>
      <w:bookmarkStart w:id="481" w:name="list7"/>
      <w:bookmarkEnd w:id="481"/>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82" w:name="list8"/>
      <w:bookmarkStart w:id="483" w:name="list8"/>
      <w:bookmarkEnd w:id="483"/>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84" w:name="hangingindent12"/>
      <w:bookmarkStart w:id="485" w:name="hangingindent12"/>
      <w:bookmarkEnd w:id="485"/>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486" w:name="hangingindent13"/>
      <w:bookmarkStart w:id="487" w:name="hangingindent13"/>
      <w:bookmarkEnd w:id="487"/>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88" w:name="hangingindent14"/>
      <w:bookmarkStart w:id="489" w:name="hangingindent14"/>
      <w:bookmarkEnd w:id="489"/>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9"/>
        <w:gridCol w:w="101"/>
        <w:gridCol w:w="9695"/>
      </w:tblGrid>
      <w:tr>
        <w:trPr/>
        <w:tc>
          <w:tcPr>
            <w:tcW w:w="4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01" w:type="dxa"/>
            <w:tcBorders/>
            <w:shd w:fill="auto" w:val="clear"/>
          </w:tcPr>
          <w:p>
            <w:pPr>
              <w:pStyle w:val="TableContents"/>
              <w:spacing w:before="0" w:after="283"/>
              <w:rPr/>
            </w:pPr>
            <w:r>
              <w:rPr/>
              <w:t xml:space="preserve">  </w:t>
            </w:r>
          </w:p>
        </w:tc>
        <w:tc>
          <w:tcPr>
            <w:tcW w:w="9695"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 xml:space="preserve">December 8, 2010                                               </w:t>
            </w:r>
          </w:p>
        </w:tc>
      </w:tr>
      <w:tr>
        <w:trPr/>
        <w:tc>
          <w:tcPr>
            <w:tcW w:w="409"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101" w:type="dxa"/>
            <w:tcBorders/>
            <w:shd w:fill="auto" w:val="clear"/>
          </w:tcPr>
          <w:p>
            <w:pPr>
              <w:pStyle w:val="TableContents"/>
              <w:spacing w:before="0" w:after="283"/>
              <w:rPr/>
            </w:pPr>
            <w:r>
              <w:rPr/>
              <w:t xml:space="preserve">  </w:t>
            </w:r>
          </w:p>
        </w:tc>
        <w:tc>
          <w:tcPr>
            <w:tcW w:w="9695" w:type="dxa"/>
            <w:tcBorders/>
            <w:shd w:fill="auto" w:val="clear"/>
            <w:vAlign w:val="bottom"/>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 xml:space="preserve">/s/ Andrew N. Peterson                                    </w:t>
            </w:r>
          </w:p>
        </w:tc>
      </w:tr>
      <w:tr>
        <w:trPr/>
        <w:tc>
          <w:tcPr>
            <w:tcW w:w="409" w:type="dxa"/>
            <w:tcBorders/>
            <w:shd w:fill="auto" w:val="clear"/>
          </w:tcPr>
          <w:p>
            <w:pPr>
              <w:pStyle w:val="TableContents"/>
              <w:spacing w:before="0" w:after="283"/>
              <w:rPr/>
            </w:pPr>
            <w:r>
              <w:rPr/>
              <w:t xml:space="preserve">  </w:t>
            </w:r>
          </w:p>
        </w:tc>
        <w:tc>
          <w:tcPr>
            <w:tcW w:w="101" w:type="dxa"/>
            <w:tcBorders/>
            <w:shd w:fill="auto" w:val="clear"/>
          </w:tcPr>
          <w:p>
            <w:pPr>
              <w:pStyle w:val="TableContents"/>
              <w:spacing w:before="0" w:after="283"/>
              <w:rPr/>
            </w:pPr>
            <w:r>
              <w:rPr/>
              <w:t xml:space="preserve">  </w:t>
            </w:r>
          </w:p>
        </w:tc>
        <w:tc>
          <w:tcPr>
            <w:tcW w:w="96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Andrew N. Peterson</w:t>
            </w:r>
          </w:p>
          <w:p>
            <w:pPr>
              <w:pStyle w:val="TableContents"/>
              <w:spacing w:before="0" w:after="0"/>
              <w:ind w:left="0" w:right="0" w:hanging="0"/>
              <w:jc w:val="both"/>
              <w:rPr>
                <w:rFonts w:ascii="times new roman" w:hAnsi="times new roman"/>
                <w:sz w:val="20"/>
              </w:rPr>
            </w:pPr>
            <w:r>
              <w:rPr>
                <w:rFonts w:ascii="times new roman" w:hAnsi="times new roman"/>
                <w:sz w:val="20"/>
              </w:rPr>
              <w:t>Vice President and Chief Financial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t>2</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pStyle w:val="TextBody"/>
        <w:spacing w:before="0" w:after="0"/>
        <w:rPr/>
      </w:pPr>
      <w:r>
        <w:rPr/>
        <w:t> </w:t>
      </w:r>
    </w:p>
    <w:p>
      <w:pPr>
        <w:pStyle w:val="TextBody"/>
        <w:rPr/>
      </w:pPr>
      <w:r>
        <w:rPr/>
        <w:t> </w:t>
      </w:r>
      <w:r>
        <w:br w:type="page"/>
      </w:r>
    </w:p>
    <w:p>
      <w:pPr>
        <w:pStyle w:val="TextBody"/>
        <w:spacing w:before="0" w:after="0"/>
        <w:rPr/>
      </w:pPr>
      <w:bookmarkStart w:id="490" w:name="exh32.htm"/>
      <w:bookmarkStart w:id="491" w:name="ksexh32"/>
      <w:bookmarkEnd w:id="490"/>
      <w:bookmarkEnd w:id="491"/>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Exhibit 32: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 PURSUANT TO 18 U.S.C. SECTION 1350 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THE SARBANES-OXLEY ACT OF 2002 CERTIFICATION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October 31,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December 8,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Daniel S. Jaffee</w:t>
      </w:r>
    </w:p>
    <w:p>
      <w:pPr>
        <w:pStyle w:val="TextBody"/>
        <w:spacing w:before="0" w:after="0"/>
        <w:ind w:left="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Name: Daniel S. Jaffee</w:t>
      </w:r>
    </w:p>
    <w:p>
      <w:pPr>
        <w:pStyle w:val="TextBody"/>
        <w:spacing w:before="0" w:after="0"/>
        <w:ind w:left="0" w:right="0" w:hanging="0"/>
        <w:jc w:val="left"/>
        <w:rPr>
          <w:rFonts w:ascii="Times New Roman" w:hAnsi="Times New Roman"/>
          <w:sz w:val="20"/>
        </w:rPr>
      </w:pPr>
      <w:r>
        <w:rPr>
          <w:rFonts w:ascii="Times New Roman" w:hAnsi="Times New Roman"/>
          <w:sz w:val="20"/>
        </w:rPr>
        <w:t>Title: President and Chief Executive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October 31,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December 8,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Andrew N. Peterson</w:t>
      </w:r>
    </w:p>
    <w:p>
      <w:pPr>
        <w:pStyle w:val="TextBody"/>
        <w:spacing w:before="0" w:after="0"/>
        <w:ind w:left="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Name: Andrew N. Peterson</w:t>
      </w:r>
    </w:p>
    <w:p>
      <w:pPr>
        <w:pStyle w:val="TextBody"/>
        <w:spacing w:before="0" w:after="0"/>
        <w:ind w:left="0" w:right="0" w:hanging="0"/>
        <w:jc w:val="left"/>
        <w:rPr>
          <w:rFonts w:ascii="Times New Roman" w:hAnsi="Times New Roman"/>
          <w:sz w:val="20"/>
        </w:rPr>
      </w:pPr>
      <w:r>
        <w:rPr>
          <w:rFonts w:ascii="Times New Roman" w:hAnsi="Times New Roman"/>
          <w:sz w:val="20"/>
        </w:rPr>
        <w:t>Title: Vice President and Chief Financial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before="0" w:after="0"/>
        <w:ind w:left="0" w:right="0" w:hanging="0"/>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t>1</w:t>
      </w:r>
    </w:p>
    <w:p>
      <w:pPr>
        <w:pStyle w:val="TextBody"/>
        <w:spacing w:before="0" w:after="0"/>
        <w:jc w:val="left"/>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14020</Words>
  <CharactersWithSpaces>92591</CharactersWithSpaces>
  <Paragraphs>3665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