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ectPr>
          <w:pgSz w:w="11900" w:h="16838" w:orient="portrait"/>
          <w:cols w:equalWidth="0" w:num="1">
            <w:col w:w="11240"/>
          </w:cols>
          <w:pgMar w:left="320" w:top="995" w:right="339" w:bottom="1440" w:gutter="0" w:footer="0" w:header="0"/>
        </w:sectPr>
      </w:pPr>
    </w:p>
    <w:p>
      <w:pPr>
        <w:spacing w:after="0" w:line="34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March 11, 2025</w:t>
      </w:r>
    </w:p>
    <w:p>
      <w:pPr>
        <w:spacing w:after="0" w:line="211" w:lineRule="exact"/>
        <w:rPr>
          <w:sz w:val="24"/>
          <w:szCs w:val="24"/>
          <w:color w:val="auto"/>
        </w:rPr>
      </w:pPr>
    </w:p>
    <w:p>
      <w:pPr>
        <w:sectPr>
          <w:pgSz w:w="11900" w:h="16838" w:orient="portrait"/>
          <w:cols w:equalWidth="0" w:num="2">
            <w:col w:w="7380" w:space="720"/>
            <w:col w:w="3140"/>
          </w:cols>
          <w:pgMar w:left="320" w:top="995" w:right="339" w:bottom="1440" w:gutter="0" w:footer="0" w:header="0"/>
          <w:type w:val="continuous"/>
        </w:sectPr>
      </w:pP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the registrant as specified in its charter)</w:t>
      </w:r>
    </w:p>
    <w:p>
      <w:pPr>
        <w:sectPr>
          <w:pgSz w:w="11900" w:h="16838" w:orient="portrait"/>
          <w:cols w:equalWidth="0" w:num="1">
            <w:col w:w="11240"/>
          </w:cols>
          <w:pgMar w:left="320" w:top="995" w:right="339" w:bottom="1440" w:gutter="0" w:footer="0" w:header="0"/>
          <w:type w:val="continuous"/>
        </w:sectPr>
      </w:pPr>
    </w:p>
    <w:p>
      <w:pPr>
        <w:spacing w:after="0" w:line="37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001-12622</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36-2048898</w:t>
      </w:r>
    </w:p>
    <w:p>
      <w:pPr>
        <w:spacing w:after="0" w:line="31" w:lineRule="exact"/>
        <w:rPr>
          <w:sz w:val="24"/>
          <w:szCs w:val="24"/>
          <w:color w:val="auto"/>
        </w:rPr>
      </w:pPr>
    </w:p>
    <w:p>
      <w:pPr>
        <w:sectPr>
          <w:pgSz w:w="11900" w:h="16838" w:orient="portrait"/>
          <w:cols w:equalWidth="0" w:num="3">
            <w:col w:w="4480" w:space="720"/>
            <w:col w:w="2940" w:space="720"/>
            <w:col w:w="2380"/>
          </w:cols>
          <w:pgMar w:left="320" w:top="99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ectPr>
          <w:pgSz w:w="11900" w:h="16838" w:orient="portrait"/>
          <w:cols w:equalWidth="0" w:num="1">
            <w:col w:w="11240"/>
          </w:cols>
          <w:pgMar w:left="320" w:top="995" w:right="339" w:bottom="1440" w:gutter="0" w:footer="0" w:header="0"/>
          <w:type w:val="continuous"/>
        </w:sectPr>
      </w:pPr>
    </w:p>
    <w:p>
      <w:pPr>
        <w:spacing w:after="0" w:line="1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3" w:lineRule="exact"/>
        <w:rPr>
          <w:sz w:val="24"/>
          <w:szCs w:val="24"/>
          <w:color w:val="auto"/>
        </w:rPr>
      </w:pPr>
    </w:p>
    <w:p>
      <w:pPr>
        <w:sectPr>
          <w:pgSz w:w="11900" w:h="16838" w:orient="portrait"/>
          <w:cols w:equalWidth="0" w:num="3">
            <w:col w:w="3860" w:space="720"/>
            <w:col w:w="2660" w:space="720"/>
            <w:col w:w="3280"/>
          </w:cols>
          <w:pgMar w:left="320" w:top="995"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410 North Michigan Avenue, Suite 400</w:t>
      </w:r>
    </w:p>
    <w:p>
      <w:pPr>
        <w:spacing w:after="0" w:line="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60611-4213</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126" w:lineRule="exact"/>
        <w:rPr>
          <w:sz w:val="24"/>
          <w:szCs w:val="24"/>
          <w:color w:val="auto"/>
        </w:rPr>
      </w:pPr>
    </w:p>
    <w:p>
      <w:pPr>
        <w:sectPr>
          <w:pgSz w:w="11900" w:h="16838" w:orient="portrait"/>
          <w:cols w:equalWidth="0" w:num="2">
            <w:col w:w="8120" w:space="720"/>
            <w:col w:w="2400"/>
          </w:cols>
          <w:pgMar w:left="320" w:top="995"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2025, Oil-Dri Corporation of America (the “Company”) issued a press release announcing its results of operations for its second quarter ended January 31, 2025. A copy of the press release is attached as Exhibit 99.1, and the information contained therein is incorporated herein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338"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12, 2025, the Company issued a press release announcing that, at its regular meeting on March 12, 2025, the Board declared quarterly cash dividends of $0.155 per share of Common Stock, and $0.1165 per share of Class B Stock. The dividends will be payable on May 23, 2025 to stockholders of record at the close of business on May 9,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99.2, and the information contained therein is incorporated herein by reference.</w:t>
      </w:r>
    </w:p>
    <w:p>
      <w:pPr>
        <w:spacing w:after="0" w:line="370"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Press Release of the Company dated March 11, 2025</w:t>
            </w:r>
          </w:p>
        </w:tc>
        <w:tc>
          <w:tcPr>
            <w:tcW w:w="5040" w:type="dxa"/>
            <w:vAlign w:val="bottom"/>
            <w:gridSpan w:val="3"/>
          </w:tcPr>
          <w:p>
            <w:pPr>
              <w:spacing w:after="0"/>
              <w:rPr>
                <w:sz w:val="24"/>
                <w:szCs w:val="24"/>
                <w:color w:val="auto"/>
              </w:rPr>
            </w:pPr>
          </w:p>
        </w:tc>
      </w:tr>
      <w:tr>
        <w:trPr>
          <w:trHeight w:val="26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Dividends Press Release of the Company dated March 12, 2025</w:t>
            </w:r>
          </w:p>
        </w:tc>
        <w:tc>
          <w:tcPr>
            <w:tcW w:w="4940" w:type="dxa"/>
            <w:vAlign w:val="bottom"/>
            <w:gridSpan w:val="2"/>
          </w:tcPr>
          <w:p>
            <w:pPr>
              <w:spacing w:after="0"/>
              <w:rPr>
                <w:sz w:val="22"/>
                <w:szCs w:val="22"/>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Oil-Dri Announces Highest Second Quarter Results on Record</w:t>
      </w:r>
    </w:p>
    <w:p>
      <w:pPr>
        <w:spacing w:after="0" w:line="251"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22"/>
          <w:szCs w:val="22"/>
          <w:color w:val="auto"/>
        </w:rPr>
        <w:t>CHICAGO-(March 11, 2025) - Oil-Dri Corporation of America (NYSE: ODC), producer and marketer of sorbent mineral products, today announced results for its second quarter and first six-months of fiscal year 2025.</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1060" w:type="dxa"/>
            <w:vAlign w:val="bottom"/>
          </w:tcPr>
          <w:p>
            <w:pPr>
              <w:spacing w:after="0"/>
              <w:rPr>
                <w:sz w:val="20"/>
                <w:szCs w:val="20"/>
                <w:color w:val="auto"/>
              </w:rPr>
            </w:pPr>
          </w:p>
        </w:tc>
      </w:tr>
      <w:tr>
        <w:trPr>
          <w:trHeight w:val="23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Ended January 31,</w:t>
            </w: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rPr>
              <w:t>Ended January 31,</w:t>
            </w:r>
          </w:p>
        </w:tc>
        <w:tc>
          <w:tcPr>
            <w:tcW w:w="106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left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14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30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105,668</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11%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217,106</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15,165</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28,321</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12,382</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23,124</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19,233</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36,617</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 EPS - Common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0.85</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14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30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36,234</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75,395</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10,985</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22,108</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60" w:type="dxa"/>
            <w:vAlign w:val="bottom"/>
            <w:tcBorders>
              <w:right w:val="single" w:sz="8" w:color="auto"/>
            </w:tcBorders>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140" w:type="dxa"/>
            <w:vAlign w:val="bottom"/>
            <w:shd w:val="clear" w:color="auto" w:fill="000000"/>
          </w:tcPr>
          <w:p>
            <w:pPr>
              <w:spacing w:after="0"/>
              <w:rPr>
                <w:sz w:val="21"/>
                <w:szCs w:val="21"/>
                <w:color w:val="auto"/>
              </w:rPr>
            </w:pPr>
          </w:p>
        </w:tc>
        <w:tc>
          <w:tcPr>
            <w:tcW w:w="1300" w:type="dxa"/>
            <w:vAlign w:val="bottom"/>
            <w:shd w:val="clear" w:color="auto" w:fill="000000"/>
          </w:tcPr>
          <w:p>
            <w:pPr>
              <w:spacing w:after="0"/>
              <w:rPr>
                <w:sz w:val="21"/>
                <w:szCs w:val="21"/>
                <w:color w:val="auto"/>
              </w:rPr>
            </w:pPr>
          </w:p>
        </w:tc>
        <w:tc>
          <w:tcPr>
            <w:tcW w:w="1060" w:type="dxa"/>
            <w:vAlign w:val="bottom"/>
            <w:tcBorders>
              <w:right w:val="single" w:sz="8" w:color="auto"/>
            </w:tcBorders>
            <w:shd w:val="clear" w:color="auto" w:fill="000000"/>
          </w:tcPr>
          <w:p>
            <w:pPr>
              <w:spacing w:after="0"/>
              <w:rPr>
                <w:sz w:val="21"/>
                <w:szCs w:val="21"/>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69,434</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141,711</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8%</w:t>
            </w:r>
          </w:p>
        </w:tc>
      </w:tr>
      <w:tr>
        <w:trPr>
          <w:trHeight w:val="234"/>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11,877</w:t>
            </w:r>
          </w:p>
        </w:tc>
        <w:tc>
          <w:tcPr>
            <w:tcW w:w="10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(5)%</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23,208</w:t>
            </w:r>
          </w:p>
        </w:tc>
        <w:tc>
          <w:tcPr>
            <w:tcW w:w="10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Includes unallocated corporate expenses</w:t>
      </w:r>
    </w:p>
    <w:p>
      <w:pPr>
        <w:spacing w:after="0" w:line="11" w:lineRule="exact"/>
        <w:rPr>
          <w:sz w:val="20"/>
          <w:szCs w:val="20"/>
          <w:color w:val="auto"/>
        </w:rPr>
      </w:pPr>
    </w:p>
    <w:p>
      <w:pPr>
        <w:ind w:left="100" w:hanging="92"/>
        <w:spacing w:after="0"/>
        <w:tabs>
          <w:tab w:leader="none" w:pos="10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Please refer to Reconciliation of Non-GAAP Financial Measures below for a reconciliation of Non-GAAP items to the comparable GAAP measures.</w:t>
      </w:r>
    </w:p>
    <w:p>
      <w:pPr>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Prior year per share figures have be updated to reflect the stock-split</w:t>
      </w:r>
    </w:p>
    <w:p>
      <w:pPr>
        <w:spacing w:after="0" w:line="5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“I am pleased to announce we have achieved our highest second quarter net sales, gross profit and net income on record.</w:t>
      </w:r>
    </w:p>
    <w:p>
      <w:pPr>
        <w:spacing w:after="0" w:line="2"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2"/>
          <w:szCs w:val="22"/>
          <w:color w:val="auto"/>
        </w:rPr>
        <w:t>We effectively implemented our strategies to significantly grow our fluids purification and animal health businesses, as well as secure a position in the crystal cat litter market. A focus on optimizing product mix helped generate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quarter of year-over-year sales growth and the 12</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quarter of year-over-year gross profit improvement. Our strong operating results allowed us to invest heavily in our manufacturing infrastructure, pay down debt, and return value to shareholders through dividends. As we move forward into the second half of our fiscal year, we remain dedicated to driving sustainable growth while executing on our strategic vision with discipline and efficiency.”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2"/>
          <w:szCs w:val="22"/>
          <w:color w:val="auto"/>
        </w:rPr>
        <w:t>Consolidated net sales for the second quarter of fiscal 2025 reached $116.9 million, or an 11% gain over the same period in the prior year. This increase was the combination of 7% organic growth and a 4% boost from the acquisition of our subsidiary, Ultra Pet Company, Inc. Revenue gains were fueled by a favorable product mix and higher prices. Sales generated from crystal cat litter, fluids purification, and animal health products contributed to the Company’s overall topline growth.</w:t>
      </w:r>
    </w:p>
    <w:p>
      <w:pPr>
        <w:spacing w:after="0" w:line="20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2"/>
          <w:szCs w:val="22"/>
          <w:color w:val="auto"/>
        </w:rPr>
        <w:t>Consolidated gross profit of $34.4 million was achieved during the second quarter of fiscal year 2025, representing an 11% gain over the prior year. Gross margins were 29.5% in the second quarter of fiscal year 2025 compared to 29.3% in the same period in fiscal year 2024. This marks the tenth consecutive quarter of year-over-year gross margin expansion. Domestic cost of goods sold per ton increased by 11% compared to the last year, driven by higher material, freight, and packaging costs.</w:t>
      </w:r>
    </w:p>
    <w:p>
      <w:pPr>
        <w:spacing w:after="0" w:line="20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Selling, general and administrative expenses (“SG&amp;A”) were $17.0 million during the second quarter of fiscal 2025 compared to $15.8 million for the same period last year. This $1.2 million, or 8%, increase reflects higher planned compensation, advertising costs, and the Company’s strategic investment in data analytics. Expenses related to the integration of the Ultra Pet acquisition, as well as amortization of intangible assets, were also incurred.</w:t>
      </w:r>
    </w:p>
    <w:p>
      <w:pPr>
        <w:spacing w:after="0" w:line="22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In the second quarter of fiscal year 2025, consolidated operating income increased to $17.5 million, or by 15%, compared to the second quarter of fiscal year 2024. Improved product mix and higher prices offset increases in SG&amp;A expenses.</w:t>
      </w:r>
    </w:p>
    <w:p>
      <w:pPr>
        <w:spacing w:after="0" w:line="17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Total other expense, net was $1.2 million for the three months ended January 31, 2025, compared to $500,000 in the same period last year. This increase was mainly due to higher interest expense from the debt assumed for the Ultra Pet acquisition, foreign exchange losses, and lower interest income.</w:t>
      </w:r>
    </w:p>
    <w:p>
      <w:pPr>
        <w:sectPr>
          <w:pgSz w:w="11900" w:h="16838" w:orient="portrait"/>
          <w:cols w:equalWidth="0" w:num="1">
            <w:col w:w="11260"/>
          </w:cols>
          <w:pgMar w:left="320" w:top="1270" w:right="319" w:bottom="0" w:gutter="0" w:footer="0" w:header="0"/>
        </w:sectPr>
      </w:pPr>
    </w:p>
    <w:bookmarkStart w:id="4" w:name="page5"/>
    <w:bookmarkEnd w:id="4"/>
    <w:p>
      <w:pPr>
        <w:ind w:right="60"/>
        <w:spacing w:after="0" w:line="251" w:lineRule="auto"/>
        <w:rPr>
          <w:sz w:val="20"/>
          <w:szCs w:val="20"/>
          <w:color w:val="auto"/>
        </w:rPr>
      </w:pPr>
      <w:r>
        <w:rPr>
          <w:rFonts w:ascii="Times New Roman" w:cs="Times New Roman" w:eastAsia="Times New Roman" w:hAnsi="Times New Roman"/>
          <w:sz w:val="22"/>
          <w:szCs w:val="22"/>
          <w:color w:val="auto"/>
        </w:rPr>
        <w:t>During the second quarter of fiscal 2025, income tax expense increased to $3.3 million compared to $2.3 million in the same period last year due to higher pre-tax income and a higher estimated annual effective tax rate ("ETR"). The ETR was 20.5% as of the second quarter of fiscal year 2025 compared to 15.7% as of the second quarter of fiscal year 2024.</w:t>
      </w:r>
    </w:p>
    <w:p>
      <w:pPr>
        <w:spacing w:after="0" w:line="192"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Consolidated net income for the second quarter of fiscal year 2025 was $12.9 million, reflecting a 4% increase compared to the same period last year. Meanwhile, EBITDA grew a substantial 16% to $22.2 million, demonstrating Oil-Dri’s strong operational results.</w:t>
      </w:r>
    </w:p>
    <w:p>
      <w:pPr>
        <w:spacing w:after="0" w:line="19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Cash and cash equivalents as of January 31, 2025, totaled $22.6 million compared to $23.5 million at the end of fiscal year 2024. During the second quarter of fiscal 2025, Oil-Dri continued its significant investment in manufacturing infrastructure improvements and dividend distribution. In addition, the Company paid down the remaining $5.0 million of the $10.0 million revolving credit facility that was used to partially fund the acquisition of Ultra Pet.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2"/>
          <w:szCs w:val="22"/>
          <w:color w:val="auto"/>
        </w:rPr>
        <w:t>The Business to Business (“B2B”) Products Group’s second quarter of fiscal year 2025 revenues were $43.4 million, or 20% greater than the prior year. Sales of fluids purification and animal health products demonstrated robust growth, while revenues from agricultural products declined slightly. During the second quarter of fiscal 2025, fluids purification product sales reached $26.5 million, or a 17% increase over the prior year. This growth was driven by heightened demand for the Company’s Metal X and Metal Z products, spurred by the newly established renewable</w:t>
      </w:r>
    </w:p>
    <w:p>
      <w:pPr>
        <w:spacing w:after="0" w:line="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diesel plants in North America. Amlan, the Company’s animal health business, generated $7.7 million in sales, reflecting an 82% increase over the prior year. Revenue gains were achieved in all regions due to higher demand and a favorable product mix. The agricultural products business achieved quarterly net sales of $9.2 million, maintaining a relatively steady performance, albeit with a decrease of 1% from the prior year.</w:t>
      </w:r>
    </w:p>
    <w:p>
      <w:pPr>
        <w:spacing w:after="0" w:line="209"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22"/>
          <w:szCs w:val="22"/>
          <w:color w:val="auto"/>
        </w:rPr>
        <w:t>During the second quarter of fiscal year 2025, SG&amp;A costs within the B2B Products Group decreased by $500,000, or 12%, compared to the same period last year. This was mainly driven by a reduction in compensation costs within the operating segment.</w:t>
      </w:r>
    </w:p>
    <w:p>
      <w:pPr>
        <w:spacing w:after="0" w:line="20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Operating income for the B2B Products Group was $14.3 million in the second quarter of fiscal year 2025 compared to $11.0 million in the same period of fiscal year 2024, reflecting a significant increase of 30%. This notable growth can be attributed to a favorable product mix and increased demand, complimented by lower SG&amp;A expenses.</w:t>
      </w:r>
    </w:p>
    <w:p>
      <w:pPr>
        <w:spacing w:after="0" w:line="18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The Retail and Wholesale (“R&amp;W”) Products Group’s second quarter revenues reached $73.5 million, a 6% increase over the prior year. This growth was driven by the acquisition of Ultra Pet, which contributed $4.4 million in sales from both branded and private label crystal litter products. Excluding the impact of the acquisition, organic sales within the operating segment remained flat. Total domestic clay-based cat litter revenues, excluding the Company’s co-packaged coarse cat litter business, increased to $51.3 million, or 2% over the prior year, resulting from higher demand of lightweight and coarse litter products. Oil-Dri experienced significant topline growth of its EPA-approved Cat’s Pride Antibacterial Clumping Litter, which more than doubled during the second quarter of fiscal year 2025 compared to the prior year. Conversely, revenues of co-packaged coarse cat litter decreased by $1.5 million, or 25%, versus last year. In the second quarter of fiscal year 2024, co-packaged litter sales were boosted by the recovery from a cyberattack on a key customer, which influenced year-over-year comparisons. Domestic industrial and sports product revenues were $9.8 million in the second quarter of fiscal 2025, or 3% higher than the same period in the prior year. This increase was driven by both the net effect of higher pricing to offset elevated costs and new distribution at a national retailer. The Company’s Canadian subsidiary reported sales declines as a result of softer revenues from cat litter and industrial floor absorbent products.</w:t>
      </w:r>
    </w:p>
    <w:p>
      <w:pPr>
        <w:spacing w:after="0" w:line="22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During the second quarter of fiscal 2025, SG&amp;A expenses within the R&amp;W Products Group increased by $1.2 million, or 30%, over the prior year. This increase was driven by higher compensation and advertising costs, as well as acquisition-related amortization of intangible assets. While advertising costs were up in the second quarter, Oil-Dri expects advertising expenditures for the full fiscal year 2025 to be lower than fiscal year 2024.</w:t>
      </w:r>
    </w:p>
    <w:p>
      <w:pPr>
        <w:spacing w:after="0" w:line="206"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21"/>
          <w:szCs w:val="21"/>
          <w:color w:val="auto"/>
        </w:rPr>
        <w:t>Operating income for the R&amp;W Products Group was $11.3 million in the second quarter of fiscal year 2025 compared to $11.9 million in the prior year, reflecting a 5% decrease. Higher operating costs offset the increase in net sales in the quarter.</w:t>
      </w:r>
    </w:p>
    <w:p>
      <w:pPr>
        <w:spacing w:after="0" w:line="13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 Company will host its second quarter of fiscal year 2025 earnings discussion via a live webcast on Wednesday, March 12, 2025 at 10:00 a.m. Central Time. Participation details are available on the Company’s website’s Events page.</w:t>
      </w:r>
    </w:p>
    <w:p>
      <w:pPr>
        <w:sectPr>
          <w:pgSz w:w="11900" w:h="16838" w:orient="portrait"/>
          <w:cols w:equalWidth="0" w:num="1">
            <w:col w:w="11240"/>
          </w:cols>
          <w:pgMar w:left="320" w:top="112" w:right="3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12"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“Oil-Dri”, “Cat’s Pride”, “Metal X”, “Metal Z”, and “Amlan” are registered trademarks of Oil-Dri Corporation of America and its 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3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0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3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non-GAAP financial measures we use may not be the same or calculated in the same manner as those used and calculated by other companies. Non-GAAP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 the comparable GAAP financial measures included in this release, and not to rely on any single financial measure to evaluate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180"/>
          </w:cols>
          <w:pgMar w:left="320" w:top="1440" w:right="3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Second Quarter Ended January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760" w:type="dxa"/>
            <w:vAlign w:val="bottom"/>
            <w:gridSpan w:val="3"/>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116,914</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105,668</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(82,466)</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(74,726)</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(16,966)</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(15,777)</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12,921</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24"/>
                <w:szCs w:val="24"/>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stock-split.</w:t>
      </w:r>
    </w:p>
    <w:p>
      <w:pPr>
        <w:sectPr>
          <w:pgSz w:w="11900" w:h="16838" w:orient="portrait"/>
          <w:cols w:equalWidth="0" w:num="1">
            <w:col w:w="10900"/>
          </w:cols>
          <w:pgMar w:left="320" w:top="1440" w:right="679" w:bottom="1440" w:gutter="0" w:footer="0" w:header="0"/>
        </w:sectPr>
      </w:pPr>
    </w:p>
    <w:bookmarkStart w:id="8" w:name="page9"/>
    <w:bookmarkEnd w:id="8"/>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January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244,859</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217,106</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(169,631)</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(155,173)</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29,297</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23,124</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28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4"/>
                <w:szCs w:val="24"/>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Avg Shares Outstanding: Basic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stock-split.</w:t>
      </w:r>
    </w:p>
    <w:p>
      <w:pPr>
        <w:sectPr>
          <w:pgSz w:w="11900" w:h="16838" w:orient="portrait"/>
          <w:cols w:equalWidth="0" w:num="1">
            <w:col w:w="10900"/>
          </w:cols>
          <w:pgMar w:left="320" w:top="1440" w:right="6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Pr>
          <w:p>
            <w:pPr>
              <w:spacing w:after="0"/>
              <w:rPr>
                <w:sz w:val="20"/>
                <w:szCs w:val="20"/>
                <w:color w:val="auto"/>
              </w:rPr>
            </w:pPr>
          </w:p>
        </w:tc>
        <w:tc>
          <w:tcPr>
            <w:tcW w:w="2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220" w:type="dxa"/>
            <w:vAlign w:val="bottom"/>
          </w:tcPr>
          <w:p>
            <w:pPr>
              <w:spacing w:after="0"/>
              <w:rPr>
                <w:sz w:val="20"/>
                <w:szCs w:val="20"/>
                <w:color w:val="auto"/>
              </w:rPr>
            </w:pPr>
          </w:p>
        </w:tc>
        <w:tc>
          <w:tcPr>
            <w:tcW w:w="14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1"/>
        </w:trPr>
        <w:tc>
          <w:tcPr>
            <w:tcW w:w="6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3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149,016</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147,158</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67,315</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353,747</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6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0" w:type="dxa"/>
            <w:vAlign w:val="bottom"/>
          </w:tcPr>
          <w:p>
            <w:pPr>
              <w:spacing w:after="0"/>
              <w:rPr>
                <w:sz w:val="1"/>
                <w:szCs w:val="1"/>
                <w:color w:val="auto"/>
              </w:rPr>
            </w:pPr>
          </w:p>
        </w:tc>
      </w:tr>
      <w:tr>
        <w:trPr>
          <w:trHeight w:val="201"/>
        </w:trPr>
        <w:tc>
          <w:tcPr>
            <w:tcW w:w="66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65,697</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235,860</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210,588</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353,747</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00" w:type="dxa"/>
            <w:vAlign w:val="bottom"/>
            <w:vMerge w:val="continue"/>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3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stock-split.</w:t>
      </w:r>
    </w:p>
    <w:p>
      <w:pPr>
        <w:sectPr>
          <w:pgSz w:w="11900" w:h="16838" w:orient="portrait"/>
          <w:cols w:equalWidth="0" w:num="1">
            <w:col w:w="10680"/>
          </w:cols>
          <w:pgMar w:left="320" w:top="1440" w:right="8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8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19"/>
                <w:szCs w:val="19"/>
                <w:color w:val="auto"/>
              </w:rPr>
            </w:pPr>
          </w:p>
        </w:tc>
        <w:tc>
          <w:tcPr>
            <w:tcW w:w="30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34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23"/>
        </w:trPr>
        <w:tc>
          <w:tcPr>
            <w:tcW w:w="68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(17,806)</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(15,546)</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 of Business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(17,921)</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(15,546)</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Payments on Revolving Credit Facility</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(10,000)</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(16,358)</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46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40" w:top="1440" w:right="9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p>
      <w:pPr>
        <w:ind w:left="40" w:right="39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RECONCILIATION OF NON-GAAP FINANCIAL MEASURES </w:t>
      </w:r>
      <w:r>
        <w:rPr>
          <w:rFonts w:ascii="Times New Roman" w:cs="Times New Roman" w:eastAsia="Times New Roman" w:hAnsi="Times New Roman"/>
          <w:sz w:val="18"/>
          <w:szCs w:val="18"/>
          <w:color w:val="auto"/>
        </w:rPr>
        <w:t>(in thousands)</w:t>
      </w:r>
    </w:p>
    <w:tbl>
      <w:tblPr>
        <w:tblLayout w:type="fixed"/>
        <w:tblInd w:w="4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260" w:type="dxa"/>
            <w:vAlign w:val="bottom"/>
          </w:tcPr>
          <w:p>
            <w:pPr>
              <w:spacing w:after="0"/>
              <w:rPr>
                <w:sz w:val="19"/>
                <w:szCs w:val="19"/>
                <w:color w:val="auto"/>
              </w:rPr>
            </w:pPr>
          </w:p>
        </w:tc>
        <w:tc>
          <w:tcPr>
            <w:tcW w:w="21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3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Ended January 31,</w:t>
            </w:r>
          </w:p>
        </w:tc>
        <w:tc>
          <w:tcPr>
            <w:tcW w:w="260" w:type="dxa"/>
            <w:vAlign w:val="bottom"/>
          </w:tcPr>
          <w:p>
            <w:pPr>
              <w:spacing w:after="0"/>
              <w:rPr>
                <w:sz w:val="20"/>
                <w:szCs w:val="20"/>
                <w:color w:val="auto"/>
              </w:rPr>
            </w:pPr>
          </w:p>
        </w:tc>
        <w:tc>
          <w:tcPr>
            <w:tcW w:w="21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Ended January 31,</w:t>
            </w:r>
          </w:p>
        </w:tc>
      </w:tr>
      <w:tr>
        <w:trPr>
          <w:trHeight w:val="223"/>
        </w:trPr>
        <w:tc>
          <w:tcPr>
            <w:tcW w:w="3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r>
      <w:tr>
        <w:trPr>
          <w:trHeight w:val="229"/>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30"/>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8"/>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36,617</w:t>
            </w: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44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Oil-Dri’s Board of Directors Declares Quarterly Dividends</w:t>
      </w:r>
    </w:p>
    <w:p>
      <w:pPr>
        <w:spacing w:after="0" w:line="23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CHICAGO—(March 12, 2025)—The Board of Directors of Oil-Dri Corporation of America (NYSE: ODC) today declared quarterly cash dividends of $0.155 per share of the Company’s Common Stock and $0.1165 per share of the Company’s Class B Stock.</w:t>
      </w:r>
    </w:p>
    <w:p>
      <w:pPr>
        <w:spacing w:after="0" w:line="20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cash dividends will be payable on May 23, 2025 to stockholders of record at the close of business on May 9, 2025. Oil-Dri has paid cash dividends continuously each year since 1974 and has increased dividends annually for twenty-one consecutive years.</w:t>
      </w:r>
    </w:p>
    <w:p>
      <w:pPr>
        <w:spacing w:after="0" w:line="20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The Company’s press release outlining its performance for the third quarter of fiscal year 2025 will be issued after the close of the U.S. stock market on Thursday, June 5, 2025. Oil-Dri will host an earnings discussion via a live webcast on Friday, June 6, 2025 at 10:00 a.m. Central Time. Participation details will be posted on the Company’s website’s Events page approximately one week prior to the call.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3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 To learn more about the Company, please visit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w:t>
      </w:r>
    </w:p>
    <w:p>
      <w:pPr>
        <w:sectPr>
          <w:pgSz w:w="11900" w:h="16838" w:orient="portrait"/>
          <w:cols w:equalWidth="0" w:num="1">
            <w:col w:w="11240"/>
          </w:cols>
          <w:pgMar w:left="320" w:top="91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2"/>
          <w:szCs w:val="22"/>
          <w:color w:val="auto"/>
        </w:rPr>
        <w:t>Forward-looking statements can be identified by words such as “expect,” “outlook,” “forecast,” “would,” “could,” “should,” “project,” “intend,” “plan,” “continue,” “believe,” “seek,” “estimate,” “anticipate,” “may,” “assume,” “potential,” “strive,” and similar references to future periods.</w:t>
      </w: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2025-03-12T15:26:54Z</dcterms:created>
  <dcterms:modified xsi:type="dcterms:W3CDTF">2025-03-12T15:26:54Z</dcterms:modified>
</cp:coreProperties>
</file>