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94"/>
              </w:rPr>
              <w:t>UNITED STATES</w:t>
            </w: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4"/>
                <w:szCs w:val="24"/>
                <w:color w:val="auto"/>
              </w:rPr>
            </w:pP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6"/>
              </w:rPr>
              <w:t>SECURITIES AND EXCHANGE COMMISSION</w:t>
            </w: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90"/>
              </w:rPr>
              <w:t>Washington, D. C. 20549</w:t>
            </w:r>
          </w:p>
        </w:tc>
        <w:tc>
          <w:tcPr>
            <w:tcW w:w="0" w:type="dxa"/>
            <w:vAlign w:val="bottom"/>
          </w:tcPr>
          <w:p>
            <w:pPr>
              <w:spacing w:after="0"/>
              <w:rPr>
                <w:sz w:val="1"/>
                <w:szCs w:val="1"/>
                <w:color w:val="auto"/>
              </w:rPr>
            </w:pPr>
          </w:p>
        </w:tc>
      </w:tr>
      <w:tr>
        <w:trPr>
          <w:trHeight w:val="432"/>
        </w:trPr>
        <w:tc>
          <w:tcPr>
            <w:tcW w:w="1680" w:type="dxa"/>
            <w:vAlign w:val="bottom"/>
            <w:vMerge w:val="restart"/>
          </w:tcPr>
          <w:p>
            <w:pPr>
              <w:spacing w:after="0"/>
              <w:rPr>
                <w:sz w:val="20"/>
                <w:szCs w:val="20"/>
                <w:color w:val="auto"/>
              </w:rPr>
            </w:pPr>
            <w:r>
              <w:rPr>
                <w:rFonts w:ascii="Arial" w:cs="Arial" w:eastAsia="Arial" w:hAnsi="Arial"/>
                <w:sz w:val="18"/>
                <w:szCs w:val="18"/>
                <w:color w:val="auto"/>
              </w:rPr>
              <w:t>(Mark One)</w:t>
            </w:r>
          </w:p>
        </w:tc>
        <w:tc>
          <w:tcPr>
            <w:tcW w:w="2480" w:type="dxa"/>
            <w:vAlign w:val="bottom"/>
          </w:tcPr>
          <w:p>
            <w:pPr>
              <w:spacing w:after="0"/>
              <w:rPr>
                <w:sz w:val="24"/>
                <w:szCs w:val="24"/>
                <w:color w:val="auto"/>
              </w:rPr>
            </w:pPr>
          </w:p>
        </w:tc>
        <w:tc>
          <w:tcPr>
            <w:tcW w:w="4780" w:type="dxa"/>
            <w:vAlign w:val="bottom"/>
            <w:gridSpan w:val="2"/>
          </w:tcPr>
          <w:p>
            <w:pPr>
              <w:jc w:val="center"/>
              <w:ind w:right="1660"/>
              <w:spacing w:after="0"/>
              <w:rPr>
                <w:sz w:val="20"/>
                <w:szCs w:val="20"/>
                <w:color w:val="auto"/>
              </w:rPr>
            </w:pPr>
            <w:r>
              <w:rPr>
                <w:rFonts w:ascii="Arial" w:cs="Arial" w:eastAsia="Arial" w:hAnsi="Arial"/>
                <w:sz w:val="18"/>
                <w:szCs w:val="18"/>
                <w:color w:val="auto"/>
                <w:w w:val="93"/>
              </w:rPr>
              <w:t>FORM 10-Q</w:t>
            </w: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680" w:type="dxa"/>
            <w:vAlign w:val="bottom"/>
          </w:tcPr>
          <w:p>
            <w:pPr>
              <w:ind w:left="40"/>
              <w:spacing w:after="0"/>
              <w:rPr>
                <w:sz w:val="20"/>
                <w:szCs w:val="20"/>
                <w:color w:val="auto"/>
              </w:rPr>
            </w:pPr>
            <w:r>
              <w:rPr>
                <w:rFonts w:ascii="Arial" w:cs="Arial" w:eastAsia="Arial" w:hAnsi="Arial"/>
                <w:sz w:val="18"/>
                <w:szCs w:val="18"/>
                <w:color w:val="auto"/>
              </w:rPr>
              <w:t>x</w:t>
            </w: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Quarterly Report Pursuant to Section 13 or 15(d) of the Securities Exchange Act of 1934</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For the Quarterly Period Ended October 31, 2019</w:t>
            </w:r>
          </w:p>
        </w:tc>
        <w:tc>
          <w:tcPr>
            <w:tcW w:w="0" w:type="dxa"/>
            <w:vAlign w:val="bottom"/>
          </w:tcPr>
          <w:p>
            <w:pPr>
              <w:spacing w:after="0"/>
              <w:rPr>
                <w:sz w:val="1"/>
                <w:szCs w:val="1"/>
                <w:color w:val="auto"/>
              </w:rPr>
            </w:pPr>
          </w:p>
        </w:tc>
      </w:tr>
      <w:tr>
        <w:trPr>
          <w:trHeight w:val="243"/>
        </w:trPr>
        <w:tc>
          <w:tcPr>
            <w:tcW w:w="16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391"/>
        </w:trPr>
        <w:tc>
          <w:tcPr>
            <w:tcW w:w="1680" w:type="dxa"/>
            <w:vAlign w:val="bottom"/>
          </w:tcPr>
          <w:p>
            <w:pPr>
              <w:ind w:left="40"/>
              <w:spacing w:after="0"/>
              <w:rPr>
                <w:sz w:val="20"/>
                <w:szCs w:val="20"/>
                <w:color w:val="auto"/>
              </w:rPr>
            </w:pPr>
            <w:r>
              <w:rPr>
                <w:rFonts w:ascii="Arial" w:cs="Arial" w:eastAsia="Arial" w:hAnsi="Arial"/>
                <w:sz w:val="18"/>
                <w:szCs w:val="18"/>
                <w:color w:val="auto"/>
              </w:rPr>
              <w:t>o</w:t>
            </w: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Transition Report Pursuant to Section 13 or 15(d) of the Securities Exchange Act of 1934</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For the transition period from _____________ to ______________</w:t>
            </w:r>
          </w:p>
        </w:tc>
        <w:tc>
          <w:tcPr>
            <w:tcW w:w="0" w:type="dxa"/>
            <w:vAlign w:val="bottom"/>
          </w:tcPr>
          <w:p>
            <w:pPr>
              <w:spacing w:after="0"/>
              <w:rPr>
                <w:sz w:val="1"/>
                <w:szCs w:val="1"/>
                <w:color w:val="auto"/>
              </w:rPr>
            </w:pPr>
          </w:p>
        </w:tc>
      </w:tr>
      <w:tr>
        <w:trPr>
          <w:trHeight w:val="459"/>
        </w:trPr>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92"/>
              </w:rPr>
              <w:t>Commission File Number 001-12622</w:t>
            </w:r>
          </w:p>
        </w:tc>
        <w:tc>
          <w:tcPr>
            <w:tcW w:w="0" w:type="dxa"/>
            <w:vAlign w:val="bottom"/>
          </w:tcPr>
          <w:p>
            <w:pPr>
              <w:spacing w:after="0"/>
              <w:rPr>
                <w:sz w:val="1"/>
                <w:szCs w:val="1"/>
                <w:color w:val="auto"/>
              </w:rPr>
            </w:pPr>
          </w:p>
        </w:tc>
      </w:tr>
      <w:tr>
        <w:trPr>
          <w:trHeight w:val="392"/>
        </w:trPr>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726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0" w:type="dxa"/>
            <w:vAlign w:val="bottom"/>
          </w:tcPr>
          <w:p>
            <w:pPr>
              <w:spacing w:after="0"/>
              <w:rPr>
                <w:sz w:val="1"/>
                <w:szCs w:val="1"/>
                <w:color w:val="auto"/>
              </w:rPr>
            </w:pPr>
          </w:p>
        </w:tc>
      </w:tr>
    </w:tbl>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517525</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94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980" w:type="dxa"/>
            <w:vAlign w:val="bottom"/>
            <w:gridSpan w:val="2"/>
          </w:tcPr>
          <w:p>
            <w:pPr>
              <w:spacing w:after="0"/>
              <w:rPr>
                <w:sz w:val="17"/>
                <w:szCs w:val="17"/>
                <w:color w:val="auto"/>
              </w:rPr>
            </w:pPr>
          </w:p>
        </w:tc>
        <w:tc>
          <w:tcPr>
            <w:tcW w:w="3800" w:type="dxa"/>
            <w:vAlign w:val="bottom"/>
            <w:gridSpan w:val="3"/>
          </w:tcPr>
          <w:p>
            <w:pPr>
              <w:ind w:left="2060"/>
              <w:spacing w:after="0"/>
              <w:rPr>
                <w:sz w:val="20"/>
                <w:szCs w:val="20"/>
                <w:color w:val="auto"/>
              </w:rPr>
            </w:pPr>
            <w:r>
              <w:rPr>
                <w:rFonts w:ascii="Arial" w:cs="Arial" w:eastAsia="Arial" w:hAnsi="Arial"/>
                <w:sz w:val="18"/>
                <w:szCs w:val="18"/>
                <w:color w:val="auto"/>
              </w:rPr>
              <w:t>36-2048898</w:t>
            </w:r>
          </w:p>
        </w:tc>
      </w:tr>
      <w:tr>
        <w:trPr>
          <w:trHeight w:val="20"/>
        </w:trPr>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5480" w:type="dxa"/>
            <w:vAlign w:val="bottom"/>
            <w:gridSpan w:val="5"/>
          </w:tcPr>
          <w:p>
            <w:pPr>
              <w:jc w:val="center"/>
              <w:ind w:right="11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gridSpan w:val="3"/>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8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410 North Michigan Avenue, Suite 400</w:t>
            </w:r>
          </w:p>
        </w:tc>
        <w:tc>
          <w:tcPr>
            <w:tcW w:w="206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60611-4213</w:t>
            </w:r>
          </w:p>
        </w:tc>
        <w:tc>
          <w:tcPr>
            <w:tcW w:w="860" w:type="dxa"/>
            <w:vAlign w:val="bottom"/>
          </w:tcPr>
          <w:p>
            <w:pPr>
              <w:spacing w:after="0"/>
              <w:rPr>
                <w:sz w:val="19"/>
                <w:szCs w:val="19"/>
                <w:color w:val="auto"/>
              </w:rPr>
            </w:pPr>
          </w:p>
        </w:tc>
      </w:tr>
      <w:tr>
        <w:trPr>
          <w:trHeight w:val="196"/>
        </w:trPr>
        <w:tc>
          <w:tcPr>
            <w:tcW w:w="156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2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gridSpan w:val="2"/>
          </w:tcPr>
          <w:p>
            <w:pPr>
              <w:jc w:val="center"/>
              <w:ind w:right="860"/>
              <w:spacing w:after="0" w:line="196" w:lineRule="exact"/>
              <w:rPr>
                <w:sz w:val="20"/>
                <w:szCs w:val="20"/>
                <w:color w:val="auto"/>
              </w:rPr>
            </w:pPr>
            <w:r>
              <w:rPr>
                <w:rFonts w:ascii="Arial" w:cs="Arial" w:eastAsia="Arial" w:hAnsi="Arial"/>
                <w:sz w:val="18"/>
                <w:szCs w:val="18"/>
                <w:color w:val="auto"/>
                <w:w w:val="94"/>
              </w:rPr>
              <w:t>(Zip Code)</w:t>
            </w:r>
          </w:p>
        </w:tc>
      </w:tr>
      <w:tr>
        <w:trPr>
          <w:trHeight w:val="237"/>
        </w:trPr>
        <w:tc>
          <w:tcPr>
            <w:tcW w:w="5480" w:type="dxa"/>
            <w:vAlign w:val="bottom"/>
            <w:gridSpan w:val="5"/>
          </w:tcPr>
          <w:p>
            <w:pPr>
              <w:jc w:val="center"/>
              <w:ind w:right="1180"/>
              <w:spacing w:after="0"/>
              <w:rPr>
                <w:sz w:val="20"/>
                <w:szCs w:val="20"/>
                <w:color w:val="auto"/>
              </w:rPr>
            </w:pPr>
            <w:r>
              <w:rPr>
                <w:rFonts w:ascii="Arial" w:cs="Arial" w:eastAsia="Arial" w:hAnsi="Arial"/>
                <w:sz w:val="18"/>
                <w:szCs w:val="18"/>
                <w:color w:val="auto"/>
                <w:w w:val="92"/>
              </w:rPr>
              <w:t>(Address of principal executive offices)</w:t>
            </w: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25"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x No o</w:t>
      </w:r>
    </w:p>
    <w:p>
      <w:pPr>
        <w:spacing w:after="0" w:line="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p>
      <w:pPr>
        <w:ind w:left="3280" w:right="1720" w:hanging="5307"/>
        <w:spacing w:after="0" w:line="266" w:lineRule="auto"/>
        <w:tabs>
          <w:tab w:leader="none" w:pos="3260" w:val="left"/>
        </w:tabs>
        <w:rPr>
          <w:sz w:val="20"/>
          <w:szCs w:val="20"/>
          <w:color w:val="auto"/>
        </w:rPr>
      </w:pPr>
      <w:r>
        <w:rPr>
          <w:rFonts w:ascii="Arial" w:cs="Arial" w:eastAsia="Arial" w:hAnsi="Arial"/>
          <w:sz w:val="18"/>
          <w:szCs w:val="18"/>
          <w:color w:val="auto"/>
        </w:rPr>
        <w:t>Large accelerated filer o</w:t>
        <w:tab/>
        <w:t>Accelerated filer x Non-accelerated filer o Smaller reporting Emerging growth company x company o</w:t>
      </w: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80"/>
          </w:cols>
          <w:pgMar w:left="240" w:top="1138" w:right="279" w:bottom="1440" w:gutter="0" w:footer="0" w:header="0"/>
        </w:sectPr>
      </w:pPr>
    </w:p>
    <w:p>
      <w:pPr>
        <w:spacing w:after="0" w:line="167" w:lineRule="exact"/>
        <w:rPr>
          <w:sz w:val="24"/>
          <w:szCs w:val="24"/>
          <w:color w:val="auto"/>
        </w:rPr>
      </w:pPr>
    </w:p>
    <w:p>
      <w:pPr>
        <w:ind w:left="196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140" w:space="720"/>
            <w:col w:w="1420" w:space="700"/>
            <w:col w:w="4400"/>
          </w:cols>
          <w:pgMar w:left="240" w:top="1138" w:right="27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920" w:space="720"/>
            <w:col w:w="1200" w:space="720"/>
            <w:col w:w="4820"/>
          </w:cols>
          <w:pgMar w:left="240" w:top="1138"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31, 2019.</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5,413,839 Shares and Class B Stock – 2,197,759 Shares</w:t>
      </w:r>
    </w:p>
    <w:p>
      <w:pPr>
        <w:sectPr>
          <w:pgSz w:w="11900" w:h="16838" w:orient="portrait"/>
          <w:cols w:equalWidth="0" w:num="1">
            <w:col w:w="11380"/>
          </w:cols>
          <w:pgMar w:left="240" w:top="113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25</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0000FF"/>
              </w:rPr>
              <w:t>Exhibits</w:t>
            </w:r>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Such statements are subject to certain risks, uncertainties and assumptions that could cause actual results to differ materially, including, but not limited to, those described in Item 1A, Risk Factors, of our Annual Report on Form 10-K for the fiscal year ended July 31, 2019.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6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Oil-Dri is a registered trademark of Oil-Dri Corporation of America.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36,269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$825 and $644 at October 31, 2019 and July 31, 2019,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24,163</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4,662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85,545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89,276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251,370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249,834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(161,164)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(159,036)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90,206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90,798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Other intangibles,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$371 and $299 at October 31, 2019 and July 31, 2019,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$6,444 and $6,297 at October 31, 2019 and July 31, 2019,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8,967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33,991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209,742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205,227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 net of unamortized debt issuance costs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$24 at October 31, 2019</w:t>
            </w: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7,942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1,603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Salaries, wages and commissions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4,724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Freight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1,818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7,892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30,002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shd w:val="clear" w:color="auto" w:fill="CCEEFF"/>
          </w:tcPr>
          <w:p>
            <w:pPr>
              <w:spacing w:after="0"/>
              <w:rPr>
                <w:sz w:val="19"/>
                <w:szCs w:val="19"/>
                <w:color w:val="auto"/>
              </w:rPr>
            </w:pPr>
          </w:p>
        </w:tc>
        <w:tc>
          <w:tcPr>
            <w:tcW w:w="14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$31 at July 31, 2019</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6,155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24,071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23,721</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8,906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2,672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41,804</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71,806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69,681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8,346,080 shares at October 31, 2019</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8,284,199 shares at July 31, 2019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2,533,575 shares at October 31, 2019</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2,576,479 shares at July 31, 2019</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42,327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41,300</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166,526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164,756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(14,812)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Less Treasury Stock, at cost (2,932,241 Common and 335,816 Class B shares at</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(57,103)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180"/>
              <w:spacing w:after="0"/>
              <w:rPr>
                <w:sz w:val="20"/>
                <w:szCs w:val="20"/>
                <w:color w:val="auto"/>
              </w:rPr>
            </w:pPr>
            <w:r>
              <w:rPr>
                <w:rFonts w:ascii="Arial" w:cs="Arial" w:eastAsia="Arial" w:hAnsi="Arial"/>
                <w:sz w:val="18"/>
                <w:szCs w:val="18"/>
                <w:color w:val="auto"/>
              </w:rPr>
              <w:t>October 31, 2019 and 2,926,547 Common and 324,741 Class B shares at July 31, 2019)</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137,936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135,546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209,742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205,227</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4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53"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8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71,122</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66,143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(51,187)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(50,133)</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19,935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(15,814)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(15,007)</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4,121</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w:t>
            </w:r>
          </w:p>
        </w:tc>
      </w:tr>
      <w:tr>
        <w:trPr>
          <w:trHeight w:val="183"/>
        </w:trPr>
        <w:tc>
          <w:tcPr>
            <w:tcW w:w="84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183"/>
        </w:trPr>
        <w:tc>
          <w:tcPr>
            <w:tcW w:w="84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4,077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3,460</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3,536</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6"/>
        </w:trPr>
        <w:tc>
          <w:tcPr>
            <w:tcW w:w="8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0.51</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0.38</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0.46</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0.12</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5,149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5,076</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7,306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7,243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0.2500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0.2400</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0.1875</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0.1800</w:t>
            </w:r>
          </w:p>
        </w:tc>
      </w:tr>
      <w:tr>
        <w:trPr>
          <w:trHeight w:val="27"/>
        </w:trPr>
        <w:tc>
          <w:tcPr>
            <w:tcW w:w="8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53"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3,536</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271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227</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3,763</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53"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8"/>
          </w:tcPr>
          <w:p>
            <w:pPr>
              <w:ind w:left="280"/>
              <w:spacing w:after="0"/>
              <w:rPr>
                <w:sz w:val="20"/>
                <w:szCs w:val="20"/>
                <w:color w:val="auto"/>
              </w:rPr>
            </w:pPr>
            <w:r>
              <w:rPr>
                <w:rFonts w:ascii="Arial" w:cs="Arial" w:eastAsia="Arial" w:hAnsi="Arial"/>
                <w:sz w:val="13"/>
                <w:szCs w:val="13"/>
                <w:b w:val="1"/>
                <w:bCs w:val="1"/>
                <w:color w:val="auto"/>
                <w:w w:val="96"/>
              </w:rPr>
              <w:t>For the Three Months Ended October 31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80"/>
        </w:trPr>
        <w:tc>
          <w:tcPr>
            <w:tcW w:w="2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(unaudited)</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2300" w:type="dxa"/>
            <w:vAlign w:val="bottom"/>
          </w:tcPr>
          <w:p>
            <w:pPr>
              <w:spacing w:after="0"/>
              <w:rPr>
                <w:sz w:val="22"/>
                <w:szCs w:val="22"/>
                <w:color w:val="auto"/>
              </w:rPr>
            </w:pPr>
          </w:p>
        </w:tc>
        <w:tc>
          <w:tcPr>
            <w:tcW w:w="2120" w:type="dxa"/>
            <w:vAlign w:val="bottom"/>
            <w:gridSpan w:val="4"/>
          </w:tcPr>
          <w:p>
            <w:pPr>
              <w:ind w:left="520"/>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30"/>
        </w:trPr>
        <w:tc>
          <w:tcPr>
            <w:tcW w:w="23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3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&amp; Class B</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&amp; Class B</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230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Equity</w:t>
            </w: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July 31, 2018</w:t>
            </w:r>
          </w:p>
        </w:tc>
        <w:tc>
          <w:tcPr>
            <w:tcW w:w="9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10,555,828</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(3,238,833)</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1,056</w:t>
            </w:r>
          </w:p>
        </w:tc>
        <w:tc>
          <w:tcPr>
            <w:tcW w:w="1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38,473</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158,935</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(55,946)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(10,615)</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w:t>
            </w: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131,885</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935</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Dividends declared</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(1,656)</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Purchases of treasury stock</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(4,545)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rPr>
              <w:t>Net issuance of stock under long-term</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8"/>
        </w:trPr>
        <w:tc>
          <w:tcPr>
            <w:tcW w:w="2300" w:type="dxa"/>
            <w:vAlign w:val="bottom"/>
          </w:tcPr>
          <w:p>
            <w:pPr>
              <w:ind w:left="40"/>
              <w:spacing w:after="0"/>
              <w:rPr>
                <w:sz w:val="20"/>
                <w:szCs w:val="20"/>
                <w:color w:val="auto"/>
              </w:rPr>
            </w:pPr>
            <w:r>
              <w:rPr>
                <w:rFonts w:ascii="Arial" w:cs="Arial" w:eastAsia="Arial" w:hAnsi="Arial"/>
                <w:sz w:val="13"/>
                <w:szCs w:val="13"/>
                <w:color w:val="auto"/>
              </w:rPr>
              <w:t>incentive plans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149,500</w:t>
            </w:r>
          </w:p>
        </w:tc>
        <w:tc>
          <w:tcPr>
            <w:tcW w:w="12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restricted stock</w:t>
            </w: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655</w:t>
            </w:r>
          </w:p>
        </w:tc>
      </w:tr>
      <w:tr>
        <w:trPr>
          <w:trHeight w:val="254"/>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Balance, October 31, 2018</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10,705,328</w:t>
            </w:r>
          </w:p>
        </w:tc>
        <w:tc>
          <w:tcPr>
            <w:tcW w:w="120" w:type="dxa"/>
            <w:vAlign w:val="bottom"/>
          </w:tcPr>
          <w:p>
            <w:pPr>
              <w:spacing w:after="0"/>
              <w:rPr>
                <w:sz w:val="22"/>
                <w:szCs w:val="22"/>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(3,245,478)</w:t>
            </w:r>
          </w:p>
        </w:tc>
        <w:tc>
          <w:tcPr>
            <w:tcW w:w="14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1,071</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39,186</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158,185</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(56,154)</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(10,512)</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131,787</w:t>
            </w:r>
          </w:p>
        </w:tc>
      </w:tr>
      <w:tr>
        <w:trPr>
          <w:trHeight w:val="151"/>
        </w:trPr>
        <w:tc>
          <w:tcPr>
            <w:tcW w:w="23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July 31, 2019</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10,860,678</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(3,251,288)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1,086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41,300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164,756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(56,543)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135,546</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3,460</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Dividends declared</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(1,766)</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Purchases of treasury stock</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(15,019)</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rPr>
              <w:t>Net issuance of stock under long-term</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8"/>
        </w:trPr>
        <w:tc>
          <w:tcPr>
            <w:tcW w:w="2300" w:type="dxa"/>
            <w:vAlign w:val="bottom"/>
          </w:tcPr>
          <w:p>
            <w:pPr>
              <w:ind w:left="40"/>
              <w:spacing w:after="0"/>
              <w:rPr>
                <w:sz w:val="20"/>
                <w:szCs w:val="20"/>
                <w:color w:val="auto"/>
              </w:rPr>
            </w:pPr>
            <w:r>
              <w:rPr>
                <w:rFonts w:ascii="Arial" w:cs="Arial" w:eastAsia="Arial" w:hAnsi="Arial"/>
                <w:sz w:val="13"/>
                <w:szCs w:val="13"/>
                <w:color w:val="auto"/>
              </w:rPr>
              <w:t>incentive plans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18,977</w:t>
            </w:r>
          </w:p>
        </w:tc>
        <w:tc>
          <w:tcPr>
            <w:tcW w:w="12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(1,750)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restricted stock</w:t>
            </w: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969</w:t>
            </w:r>
          </w:p>
        </w:tc>
      </w:tr>
      <w:tr>
        <w:trPr>
          <w:trHeight w:val="255"/>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Balance, October 31, 2019</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10,879,655</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(3,268,057)</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1,088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42,327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166,526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(57,103)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(14,812)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(90)</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137,936</w:t>
            </w: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Condensed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For the Three Months Ended October</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3,460</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Loss on the sale of fixed assets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(980)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1,578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(3,812)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621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3,232</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6,692</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4480" w:type="dxa"/>
            <w:vAlign w:val="bottom"/>
            <w:tcBorders>
              <w:top w:val="single" w:sz="8" w:color="CCEEFF"/>
            </w:tcBorders>
            <w:gridSpan w:val="3"/>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(3,900)</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(3,900)</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Principal payments on notes payable</w:t>
            </w:r>
          </w:p>
        </w:tc>
        <w:tc>
          <w:tcPr>
            <w:tcW w:w="444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21,862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19,260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5"/>
            <w:vMerge w:val="restart"/>
          </w:tcPr>
          <w:p>
            <w:pPr>
              <w:ind w:left="5660"/>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For the Three Months Ended October</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1,043</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3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1,766</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10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2019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In addition, certain prior year reclassifications were made to conform to the current year presentation. Operating results for the three months ended October 31, 2019 are not necessarily an indication of the results that may be expected for the fiscal year ending July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All of our estimates and assumptions are revised periodically.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significant accounting policies, which are detailed in our Annual Report on Form 10-K for the fiscal year ended July 31, 2019 have not materially changed, except as described herein, including policies associated with the August 1, 2019 adoption of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Changes to our accounting policies as a result of the ASC 842 adoption are discussed below and further information is also provided in Note 2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unaudited Condensed Consolidated Financial Statements. Following is a description of certain of our significant accounting policies.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ASC 842 provides that a contract is, or contains, a lease if it conveys the right to control the use of an identified asset and, accordingly, a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and a related right-of-use (“ROU”) asset is recognized at the commencement date on our consolidated balance sheets. As provided in ASC 842, we have elected not to apply these measurement and recognition requirements to short-term leases (i.e., leases with a term of 12 months or less). Short-term leases will not be recorded as ROU assets or lease liabilities on our consolidated balance sheets,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leases provide for variable lease payments that vary due to changes in facts and circumstances occurring after the commencement date, other than the passage of time. Variable lease payments that are dependent on an index or rate (e.g., Consumer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3" w:right="239" w:bottom="1440" w:gutter="0" w:footer="0" w:header="0"/>
        </w:sectPr>
      </w:pPr>
    </w:p>
    <w:bookmarkStart w:id="10" w:name="page11"/>
    <w:bookmarkEnd w:id="10"/>
    <w:p>
      <w:pPr>
        <w:jc w:val="both"/>
        <w:spacing w:after="0" w:line="312" w:lineRule="auto"/>
        <w:rPr>
          <w:sz w:val="20"/>
          <w:szCs w:val="20"/>
          <w:color w:val="auto"/>
        </w:rPr>
      </w:pPr>
      <w:r>
        <w:rPr>
          <w:rFonts w:ascii="Arial" w:cs="Arial" w:eastAsia="Arial" w:hAnsi="Arial"/>
          <w:sz w:val="16"/>
          <w:szCs w:val="16"/>
          <w:color w:val="auto"/>
        </w:rPr>
        <w:t>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14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recognize revenue when performance obligations under the terms of the contracts with customers are satisfied.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$182,000 and $259,000 as of October 31, 2019 and July 31, 2019, respectively. This liability is reported in Other Accrued Expenses on the unaudited Condensed Consolidated Balance Sheet. Revenue recognized during the three months ended October 31, 2019 that was included in the liability for advance payments at the beginning of the period was $214,000.</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record an allowance for doubtful accounts based on our historical experience and a periodic review of our 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Overburden Removal and Mining Costs. </w:t>
      </w:r>
      <w:r>
        <w:rPr>
          <w:rFonts w:ascii="Arial" w:cs="Arial" w:eastAsia="Arial" w:hAnsi="Arial"/>
          <w:sz w:val="16"/>
          <w:szCs w:val="16"/>
          <w:color w:val="auto"/>
        </w:rPr>
        <w:t>We mine sorbent materials on property that we either own or lease as part of our overall operations.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7" w:right="239" w:bottom="1440" w:gutter="0" w:footer="0" w:header="0"/>
        </w:sectPr>
      </w:pPr>
    </w:p>
    <w:bookmarkStart w:id="11" w:name="page12"/>
    <w:bookmarkEnd w:id="11"/>
    <w:p>
      <w:pPr>
        <w:ind w:right="5860" w:firstLine="8"/>
        <w:spacing w:after="0" w:line="503"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Adopted Pronouncements</w:t>
      </w:r>
    </w:p>
    <w:p>
      <w:pPr>
        <w:spacing w:after="0" w:line="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On August 1, 2019, we adopted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transition approach and, accordingly, we did not restate prior comparative period financial statements. As of the date of adoption, we elected the package of practical expedients that allowed us to forgo assessment under the ASC 842 guidance whether existing or expired contracts contained leases, the classification of expired or existing leases and the accounting for previously incurred initial direct costs. We also elected the practical expedient to forgo assessment under ASC 842 whether existing or expired land easements not previously accounted for under legacy leasing GAAP contain leases.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adoption of ASC 842 on August 1, 2019, resulted in the recognition of additional ROU assets and lease liabilities related to operating leases of $9,348,000 and $10,910,000, respectively, on our unaudited Condensed Consolidated Balance Sheets. There was no material impact to any of our other unaudited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13,957</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5,681</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23,803</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The inventory obsolescence reserve values at October 31, 2019 and July 31, 2019 were $1,049,000 and $704,000,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are primarily money market mutual funds classified as Level 1. We had $26,000 cash equivalents as of both October 31, 2019 and July 31, 2019, which are included in Cash and cash equivalents on the unaudited Condensed Consolidated Balance Sheets.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October 31, 2019 and July 31, 2019 due to the short maturity and nature of those balances.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$3,158,000 and $6,357,000 as of October 31, 2019 and July 31, 2019, respectively, and are classified as Level 2. The fair value as of October 31, 2019, was estimated using the exit price notion of fair value.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unaudited Condensed Consolidated Financial Statements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other than goodwill, include trademarks, patents, customer lists and product registrations. Intangible amortization expense was $167,000 and $210,000 in the first quarter of fiscal years 2020 and 2019, respectively. Estimated intangible amortization for the remainder of fiscal year 2020 is $501,000. Estimated intangible amortization for the next five fiscal years is as follows (in thousands):</w:t>
      </w:r>
    </w:p>
    <w:p>
      <w:pPr>
        <w:spacing w:after="0" w:line="115"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2021</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2022</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2023</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2024</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2025</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year 2019 and no impairment was identified. There have been no triggering events that would indicate a new impairment analysis is needed.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Further information about our accounting policy for leases is included in Note 1 of the Notes to unaudited Condensed Consolidated Financial Statements.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material finance leases, and variable costs for operating leases are immaterial for the first quarter of fiscal year 2020. Operating lease costs are included in Cost of Sales or SG&amp;A expenses based on the nature of the lease. The following table summarizes total lease costs for our operating leases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For the Three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jc w:val="right"/>
              <w:ind w:right="470"/>
              <w:spacing w:after="0"/>
              <w:rPr>
                <w:sz w:val="20"/>
                <w:szCs w:val="20"/>
                <w:color w:val="auto"/>
              </w:rPr>
            </w:pPr>
            <w:r>
              <w:rPr>
                <w:rFonts w:ascii="Arial" w:cs="Arial" w:eastAsia="Arial" w:hAnsi="Arial"/>
                <w:sz w:val="18"/>
                <w:szCs w:val="18"/>
                <w:b w:val="1"/>
                <w:bCs w:val="1"/>
                <w:color w:val="auto"/>
              </w:rPr>
              <w:t>October 31,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lease cost</w:t>
            </w: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6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6820" w:type="dxa"/>
            <w:vAlign w:val="bottom"/>
          </w:tcPr>
          <w:p>
            <w:pPr>
              <w:ind w:left="40"/>
              <w:spacing w:after="0"/>
              <w:rPr>
                <w:sz w:val="20"/>
                <w:szCs w:val="20"/>
                <w:color w:val="auto"/>
              </w:rPr>
            </w:pPr>
            <w:r>
              <w:rPr>
                <w:rFonts w:ascii="Arial" w:cs="Arial" w:eastAsia="Arial" w:hAnsi="Arial"/>
                <w:sz w:val="18"/>
                <w:szCs w:val="18"/>
                <w:color w:val="auto"/>
              </w:rPr>
              <w:t>Short-term operating lease cost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86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10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3"/>
              </w:rPr>
              <w:t>For the 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jc w:val="right"/>
              <w:ind w:right="510"/>
              <w:spacing w:after="0"/>
              <w:rPr>
                <w:sz w:val="20"/>
                <w:szCs w:val="20"/>
                <w:color w:val="auto"/>
              </w:rPr>
            </w:pPr>
            <w:r>
              <w:rPr>
                <w:rFonts w:ascii="Arial" w:cs="Arial" w:eastAsia="Arial" w:hAnsi="Arial"/>
                <w:sz w:val="18"/>
                <w:szCs w:val="18"/>
                <w:b w:val="1"/>
                <w:bCs w:val="1"/>
                <w:color w:val="auto"/>
              </w:rPr>
              <w:t>October 31,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6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Operating cash flows used for operating leases</w:t>
            </w:r>
          </w:p>
        </w:tc>
        <w:tc>
          <w:tcPr>
            <w:tcW w:w="4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lease ROU assets and operating lease liabilities are separately presented on the unaudited Condensed Consolidated Balance Sheets, excluding leases with an initial term of twelve months or less. Other supplemental balance sheet information related to leases was as follows:</w:t>
      </w:r>
    </w:p>
    <w:p>
      <w:pPr>
        <w:spacing w:after="0" w:line="8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690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0"/>
              </w:rPr>
              <w:t>October 31, 2019</w:t>
            </w:r>
          </w:p>
        </w:tc>
      </w:tr>
      <w:tr>
        <w:trPr>
          <w:trHeight w:val="27"/>
        </w:trPr>
        <w:tc>
          <w:tcPr>
            <w:tcW w:w="690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 - operating leases</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7"/>
              </w:rPr>
              <w:t>10.7 years</w:t>
            </w:r>
          </w:p>
        </w:tc>
      </w:tr>
      <w:tr>
        <w:trPr>
          <w:trHeight w:val="27"/>
        </w:trPr>
        <w:tc>
          <w:tcPr>
            <w:tcW w:w="690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 - operating leases</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3.99%</w:t>
            </w:r>
          </w:p>
        </w:tc>
      </w:tr>
      <w:tr>
        <w:trPr>
          <w:trHeight w:val="27"/>
        </w:trPr>
        <w:tc>
          <w:tcPr>
            <w:tcW w:w="69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October 31, (in thousands):</w:t>
      </w:r>
    </w:p>
    <w:p>
      <w:pPr>
        <w:spacing w:after="0" w:line="104" w:lineRule="exact"/>
        <w:rPr>
          <w:sz w:val="20"/>
          <w:szCs w:val="20"/>
          <w:color w:val="auto"/>
        </w:rPr>
      </w:pPr>
    </w:p>
    <w:tbl>
      <w:tblPr>
        <w:tblLayout w:type="fixed"/>
        <w:tblInd w:w="3420" w:type="dxa"/>
        <w:tblCellMar>
          <w:top w:w="0" w:type="dxa"/>
          <w:left w:w="0" w:type="dxa"/>
          <w:bottom w:w="0" w:type="dxa"/>
          <w:right w:w="0" w:type="dxa"/>
        </w:tblCellMar>
      </w:tblP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1,953</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1,545</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1,268</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2022</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867</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777</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6,716</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13,126</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(2,617)</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lease obligation</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10,509</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Arial" w:cs="Arial" w:eastAsia="Arial" w:hAnsi="Arial"/>
                <w:sz w:val="18"/>
                <w:szCs w:val="18"/>
                <w:color w:val="auto"/>
              </w:rPr>
              <w:t>14</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9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Pension Benefits</w:t>
            </w:r>
          </w:p>
        </w:tc>
        <w:tc>
          <w:tcPr>
            <w:tcW w:w="480" w:type="dxa"/>
            <w:vAlign w:val="bottom"/>
          </w:tcPr>
          <w:p>
            <w:pPr>
              <w:spacing w:after="0"/>
              <w:rPr>
                <w:sz w:val="20"/>
                <w:szCs w:val="20"/>
                <w:color w:val="auto"/>
              </w:rPr>
            </w:pPr>
          </w:p>
        </w:tc>
      </w:tr>
      <w:tr>
        <w:trPr>
          <w:trHeight w:val="270"/>
        </w:trPr>
        <w:tc>
          <w:tcPr>
            <w:tcW w:w="4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Pr>
          <w:p>
            <w:pPr>
              <w:spacing w:after="0"/>
              <w:rPr>
                <w:sz w:val="23"/>
                <w:szCs w:val="23"/>
                <w:color w:val="auto"/>
              </w:rPr>
            </w:pPr>
          </w:p>
        </w:tc>
      </w:tr>
      <w:tr>
        <w:trPr>
          <w:trHeight w:val="27"/>
        </w:trPr>
        <w:tc>
          <w:tcPr>
            <w:tcW w:w="478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r>
      <w:tr>
        <w:trPr>
          <w:trHeight w:val="218"/>
        </w:trPr>
        <w:tc>
          <w:tcPr>
            <w:tcW w:w="4780" w:type="dxa"/>
            <w:vAlign w:val="bottom"/>
          </w:tcPr>
          <w:p>
            <w:pPr>
              <w:spacing w:after="0"/>
              <w:rPr>
                <w:sz w:val="18"/>
                <w:szCs w:val="18"/>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5"/>
              </w:rPr>
              <w:t>31,</w:t>
            </w:r>
          </w:p>
        </w:tc>
        <w:tc>
          <w:tcPr>
            <w:tcW w:w="4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116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509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540</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(702)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57"/>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481</w:t>
            </w:r>
          </w:p>
        </w:tc>
      </w:tr>
      <w:tr>
        <w:trPr>
          <w:trHeight w:val="20"/>
        </w:trPr>
        <w:tc>
          <w:tcPr>
            <w:tcW w:w="478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92"/>
        </w:trPr>
        <w:tc>
          <w:tcPr>
            <w:tcW w:w="4780" w:type="dxa"/>
            <w:vAlign w:val="bottom"/>
          </w:tcPr>
          <w:p>
            <w:pPr>
              <w:spacing w:after="0"/>
              <w:rPr>
                <w:sz w:val="24"/>
                <w:szCs w:val="24"/>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Postretirement Health Benefits</w:t>
            </w:r>
          </w:p>
        </w:tc>
      </w:tr>
      <w:tr>
        <w:trPr>
          <w:trHeight w:val="270"/>
        </w:trPr>
        <w:tc>
          <w:tcPr>
            <w:tcW w:w="4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Pr>
          <w:p>
            <w:pPr>
              <w:spacing w:after="0"/>
              <w:rPr>
                <w:sz w:val="23"/>
                <w:szCs w:val="23"/>
                <w:color w:val="auto"/>
              </w:rPr>
            </w:pPr>
          </w:p>
        </w:tc>
      </w:tr>
      <w:tr>
        <w:trPr>
          <w:trHeight w:val="27"/>
        </w:trPr>
        <w:tc>
          <w:tcPr>
            <w:tcW w:w="478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r>
      <w:tr>
        <w:trPr>
          <w:trHeight w:val="218"/>
        </w:trPr>
        <w:tc>
          <w:tcPr>
            <w:tcW w:w="4780" w:type="dxa"/>
            <w:vAlign w:val="bottom"/>
          </w:tcPr>
          <w:p>
            <w:pPr>
              <w:spacing w:after="0"/>
              <w:rPr>
                <w:sz w:val="18"/>
                <w:szCs w:val="18"/>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5"/>
              </w:rPr>
              <w:t>31,</w:t>
            </w:r>
          </w:p>
        </w:tc>
        <w:tc>
          <w:tcPr>
            <w:tcW w:w="4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160" w:type="dxa"/>
            <w:vAlign w:val="bottom"/>
            <w:gridSpan w:val="3"/>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r>
      <w:tr>
        <w:trPr>
          <w:trHeight w:val="20"/>
        </w:trPr>
        <w:tc>
          <w:tcPr>
            <w:tcW w:w="4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 and Retained Earnings.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make, a contribution to the pension plan during the first three months of fiscal year 2020. We have no minimum funding requirements for the remainder of fiscal year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4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For the Three Months Ended October 31,</w:t>
            </w:r>
          </w:p>
        </w:tc>
        <w:tc>
          <w:tcPr>
            <w:tcW w:w="104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2019</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3.35%</w:t>
            </w: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7.00%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7.35%. The graded trend rate is expected to decrease to an ultimate rate of 4.50% in fiscal year 2038.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OPERATING SEGMENTS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Business to Business Products</w:t>
            </w:r>
          </w:p>
        </w:tc>
        <w:tc>
          <w:tcPr>
            <w:tcW w:w="140" w:type="dxa"/>
            <w:vAlign w:val="bottom"/>
          </w:tcPr>
          <w:p>
            <w:pPr>
              <w:spacing w:after="0"/>
              <w:rPr>
                <w:sz w:val="18"/>
                <w:szCs w:val="18"/>
                <w:color w:val="auto"/>
              </w:rPr>
            </w:pPr>
          </w:p>
        </w:tc>
        <w:tc>
          <w:tcPr>
            <w:tcW w:w="25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Retail and Wholesale Products</w:t>
            </w: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gridSpan w:val="9"/>
          </w:tcPr>
          <w:p>
            <w:pPr>
              <w:jc w:val="right"/>
              <w:ind w:right="130"/>
              <w:spacing w:after="0"/>
              <w:rPr>
                <w:sz w:val="20"/>
                <w:szCs w:val="20"/>
                <w:color w:val="auto"/>
              </w:rPr>
            </w:pPr>
            <w:r>
              <w:rPr>
                <w:rFonts w:ascii="Arial" w:cs="Arial" w:eastAsia="Arial" w:hAnsi="Arial"/>
                <w:sz w:val="18"/>
                <w:szCs w:val="18"/>
                <w:b w:val="1"/>
                <w:bCs w:val="1"/>
                <w:color w:val="auto"/>
                <w:w w:val="91"/>
              </w:rPr>
              <w:t>For the Three Months Ended October 31,</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172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3,697</w:t>
            </w:r>
          </w:p>
        </w:tc>
        <w:tc>
          <w:tcPr>
            <w:tcW w:w="5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36,379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32,395</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7,600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7,777</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12,223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665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645</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26,478</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25,326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44,644</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40,817</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We have refined the basis of allocation for certain of our assets as of October 31, 2019 and we have restated the allocation of assets as of July 31, 2019 presented below to enhance comparability. The asset allocation is estimated and is not a measure used by our chief operating decision maker about allocating resources to the operating segments or in assessing their performance.</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2019</w:t>
            </w:r>
          </w:p>
        </w:tc>
      </w:tr>
      <w:tr>
        <w:trPr>
          <w:trHeight w:val="27"/>
        </w:trPr>
        <w:tc>
          <w:tcPr>
            <w:tcW w:w="8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r>
      <w:tr>
        <w:trPr>
          <w:trHeight w:val="237"/>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66,655</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95,782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95,593</w:t>
            </w: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48,886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42,979</w:t>
            </w:r>
          </w:p>
        </w:tc>
      </w:tr>
      <w:tr>
        <w:trPr>
          <w:trHeight w:val="257"/>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209,742</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205,227</w:t>
            </w:r>
          </w:p>
        </w:tc>
      </w:tr>
      <w:tr>
        <w:trPr>
          <w:trHeight w:val="20"/>
        </w:trPr>
        <w:tc>
          <w:tcPr>
            <w:tcW w:w="8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1"/>
              </w:rPr>
              <w:t>For the Three Months Ended October 31,</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 Group</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44,644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71,122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(6,038)</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as of October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non-vested restricted stock as of October 31, 2019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19,000 and 23,000 restricted shares of Common Stock granted during the first quarter of fiscal years 2020 and 2019, respectively. There were no restricted shares of Class B Stock granted during the first quarter of fiscal year 2020 and 126,000 restricted shares of Class B Stock granted during the first quarter of fiscal year 2019. Stock-based compensation expense related to non-vested restricted stock was $969,000 and $660,000 for the first quarter of fiscal years 2020 and 2019,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2019</w:t>
            </w:r>
          </w:p>
        </w:tc>
        <w:tc>
          <w:tcPr>
            <w:tcW w:w="4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Granted</w:t>
            </w:r>
          </w:p>
        </w:tc>
        <w:tc>
          <w:tcPr>
            <w:tcW w:w="470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October 31, 2019</w:t>
            </w:r>
          </w:p>
        </w:tc>
        <w:tc>
          <w:tcPr>
            <w:tcW w:w="4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17</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October 31, 2019 (in thousands):</w:t>
      </w: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Pension and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Cumulative</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Health Benefits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(15,039)</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w w:val="91"/>
              </w:rPr>
              <w:t>Other comprehensive loss before reclassifications, net of</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(a)</w:t>
            </w:r>
          </w:p>
        </w:tc>
        <w:tc>
          <w:tcPr>
            <w:tcW w:w="1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09"/>
        </w:trPr>
        <w:tc>
          <w:tcPr>
            <w:tcW w:w="4180" w:type="dxa"/>
            <w:vAlign w:val="bottom"/>
          </w:tcPr>
          <w:p>
            <w:pPr>
              <w:ind w:left="20"/>
              <w:spacing w:after="0"/>
              <w:rPr>
                <w:sz w:val="20"/>
                <w:szCs w:val="20"/>
                <w:color w:val="auto"/>
              </w:rPr>
            </w:pPr>
            <w:r>
              <w:rPr>
                <w:rFonts w:ascii="Arial" w:cs="Arial" w:eastAsia="Arial" w:hAnsi="Arial"/>
                <w:sz w:val="18"/>
                <w:szCs w:val="18"/>
                <w:color w:val="auto"/>
                <w:w w:val="95"/>
              </w:rPr>
              <w:t>Net current-period other comprehensive income (loss),</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(14,812)</w:t>
            </w: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is net of tax expense of $85,440. Amount is included in the components of net periodic benefit cost for the pension and postretirement health plans. See Note 7 of the Notes to unaudited Condensed Consolidated Financial Statements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member of our Board of Directors, and our Lead Independent Director, retired from the role of President and Chief Executive Officer of a customer of ours in September 2019. That company was a customer of ours before the board member joined that company and before he became a member of our Board of Directors. Total net sales to that customer, including sales to subsidiaries of that customer, were $111,000 and $97,000 for the first three months of fiscal years 2020 and 2019, respectively. Outstanding accounts receivable from that customer, and its subsidiaries, were $8,000 and $10,000 as of October 31, 2019 and July 31, 2019,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member of our Board of Directors, and of the Compensation Committee of our Board of Directors, is the President and Chief Executive Officer as well as a director and shareholder of a law firm that regularly provides services to us. Total payments to that vendor for fees and cost reimbursements were $38,000 and $46,000 for the first three months of fiscal years 2020 and 2019, respectively. There were no outstanding accounts payable to that vendor as of October 31, 2019 or July 31, 2019.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2019.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8 of the Notes to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2019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sales for the three months ended October 31, 2019 were $71,122,000, compared to net sales of $66,143,000 for the three months ended October 31, 2018. Total tons of product sold were approximately 5% higher for the first quarter of fiscal year 2020 compared to the first quarter of fiscal year 2019. Net sales and segment operating income increased for both our Retail and Wholesale Products Group and our Business to Business Products Group. Segment results are discussed further below.</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Consolidated gross profit for the first three months of fiscal year 2020 was $19,935,000, or 28% of net sales, compared to $16,010,000, or 24% of net sales, for the first three months of fiscal year 2019. The increase in gross profit was driven by lower freight costs. Freight costs in the first quarter of fiscal year 2020 were down approximately 21% per manufactured ton compared to the first three months of fiscal year 2019, due in part to significantly improved truck availability, which resulted in lower freight rates. Freight costs in the first quarter of fiscal year 2019 also included other one-time events, including an increased number of product transfers between our plants and warehouses to support customer service during the implementation of our new enterprise resource planning (“ERP”) system on August 1, 2018, and disruptions due to Hurricane Michael. Our overall freight costs also vary between periods depending on the mix of products sold and the geographic distribution of our customers. Finally, the cost of natural gas used to operate kilns that dry our clay was approximately 16% lower per manufactured ton in the first three months of fiscal year 2020 compared to the first three months of fiscal year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 costs per manufactured ton for the first three months of fiscal year 2020 were approximately 6% higher compared to the first three months of fiscal year 2019, but were up only slightly from the fourth quarter of the prior fiscal year. The mix of products sold, particularly more cat litter, contributed to the packaging cost increase. In addition, many of our contracts for packaging purchases are subject to periodic price adjustments, which trail changes in the underlying prices of commodities such as resin and paper.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Non-fuel manufacturing costs per manufactured ton for the first three months of fiscal year 2020 were up marginally compared to the first three months of fiscal year 2019, but trended favorably from the fourth quarter of the prior fiscal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SG&amp;A expenses were 5% higher for the first three months of fiscal year 2020 compared to the first three months of fiscal year 2019. The discussion of the segments' operating incomes below describes the changes in SG&amp;A expenses that were allocated to the operating segments. The remaining unallocated corporate expenses included a higher estimated annual incentive bonus accrual, which was based on performance targets established for each fiscal year. The increased bonus expense was p</w:t>
      </w:r>
      <w:r>
        <w:rPr>
          <w:rFonts w:ascii="Arial" w:cs="Arial" w:eastAsia="Arial" w:hAnsi="Arial"/>
          <w:sz w:val="18"/>
          <w:szCs w:val="18"/>
          <w:color w:val="222222"/>
        </w:rPr>
        <w:t>artially offset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53"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222222"/>
        </w:rPr>
        <w:t xml:space="preserve">by lower consulting costs related to our </w:t>
      </w:r>
      <w:r>
        <w:rPr>
          <w:rFonts w:ascii="Arial" w:cs="Arial" w:eastAsia="Arial" w:hAnsi="Arial"/>
          <w:sz w:val="18"/>
          <w:szCs w:val="18"/>
          <w:color w:val="000000"/>
        </w:rPr>
        <w:t>ERP system, which was implemented in the first quarter of the prior year, and by lower legal costs following</w:t>
      </w:r>
      <w:r>
        <w:rPr>
          <w:rFonts w:ascii="Arial" w:cs="Arial" w:eastAsia="Arial" w:hAnsi="Arial"/>
          <w:sz w:val="18"/>
          <w:szCs w:val="18"/>
          <w:color w:val="222222"/>
        </w:rPr>
        <w:t xml:space="preserve"> </w:t>
      </w:r>
      <w:r>
        <w:rPr>
          <w:rFonts w:ascii="Arial" w:cs="Arial" w:eastAsia="Arial" w:hAnsi="Arial"/>
          <w:sz w:val="18"/>
          <w:szCs w:val="18"/>
          <w:color w:val="000000"/>
        </w:rPr>
        <w:t>resolution of legal proceedings in the third quarter of the prior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income before taxes for the first three months of fiscal year 2020 was $4,077,000, a 361% increase from net income before taxes of $884,000 for the first three months of fiscal year 2019. Results for the first three months of fiscal year 2020 were driven by higher sales and lower freight costs, which more than offset the increase in SG&amp;A expenses and other costs. Consolidated net income for the first quarter of fiscal year 2019 reflected significantly higher freight, packaging, manufacturing and SG&amp;A expenses, as discussed above.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tax expense for the first three months of fiscal year 2020 was $617,000 (an effective tax rate of 15%) compared to a tax benefit of $50,000 for the first three months of fiscal year 2019. An estimated annual effective tax rate was used to determine the quarterly provision for income taxes, which is based on expected annual taxable income and the assessment of various tax deductions, including depletion. The tax benefit for the first quarter of fiscal year 2019 resulted from the lower consolidated income before taxes and a one-time tax expense reduction of $175,000 based on a federal income tax return examination. Excluding this one-time tax adjustment, the effective tax rate for the first quarter of fiscal year 2019 would have been 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of the Business to Business Products Group for the first three months of fiscal year 2020 were $26,478,000, an increase of $1,152,000, or 5%, from net sales of $25,326,000 for the first three months of fiscal year 2019. Net sales of our animal health and nutrition products increased approximately 16% compared to the first three months of the prior year. Sales growth occurred primarily in Africa, Latin America and Asia, except in China. The swine virus outbreak in China that started in August of 2018 continued to impact the pork market and has weakened sales of our products in that country, including sales for our subsidiary in China discussed in “Foreign Operations” below. Net sales of our fluids purification products increased approximately 3%. Sales to edible oil processors in foreign markets drove the increase, partially offset by lower domestic sales to biodiesel producers, including a customer that closed a facility. A 15% increase in net sales of our co-packaged coarse cat litter further contributed to the group's improved sales. Net sales of agricultural and horticultural chemical carrier products decreased approximately 6%. Sales of traditional granules declined to agricultural chemical processors due primarily to the loss of a customer; however, this loss was significantly offset by increased sales to an existing customer and by higher sales of our engineered granules.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for the Business to Business Products Group were 5% higher for the first three months of fiscal year 2020 compared to the same period of the prior year, including costs for product development, commissions and other expenses commensurate with increased sales.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to Business Products Group’s operating income for the first three months of fiscal year 2020 was $8,296,000, an increase of $1,264,000, or 18%, from operating income of $7,032,000 for the first three months of fiscal year 2019. The improved operating income was driven by the higher sales and lower freight costs, discussed in “Consolidated Results”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Retail and Wholesale Products Group for the first three months of fiscal year 2020 were $44,644,000, an increase of $3,827,000, or 9%, from net sales of $40,817,000 for the first three months of fiscal year 2019. Total cat litter net sales were approximately 12% higher compared to the first three months of the prior year, with increased sales for both private label and branded litters. Sales of private label scoopable litter increased to existing customers, some of whom had expanded their selection of our products during the prior fiscal year. Higher sales of private label coarse litter included incremental sales to customers who added these products in the second half of the prior fiscal year. Branded litter sales to our largest customer were also higher compared to the first quarter of the prior year.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of industrial and sports products decreased 2% compared to the first three months of fiscal year 2019, which included lower domestic sales and lower sales of industrial products by our Canadian subsidiary. See “Foreign Operations” below for further discussion about the sales and types of products sold by our foreign subsidiaries.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expenses for the Retail and Wholesale Products Group were approximately 13% lower in the first three months of fiscal year 2020 compared to the first three months of fiscal year 2019. Expenses in the first quarter of fiscal year 2019 included nonrecurring customer compliance fees for shipping and data communication problems during the start up of the ERP system. Lower advertising expense in the first quarter of fiscal 2020 also contributed to the reduction in costs compared to the same period in the prior year. We expect spending for advertising in the remainder of fiscal 2020 to result in a higher expense for the full year of fiscal 2020 compared to fiscal 2019.</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7"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The Retail and Wholesale Products Group's operating income for the first three months of fiscal year 2020 was $3,360,000, an increase of $3,351,000 from operating income of $9,000 for the first three months of fiscal year 2019. The improved operating income was driven by the higher sales and lower SG&amp;A and freight costs. See “Consolidated Results” above for a discussion of freight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first three months of fiscal year 2020 were $3,649,000, an increase of $206,000, or 6%, compared to net sales of $3,443,000 during the first three months of fiscal year 2019. Net sales increased for new cat litter business in Canada and for fluids purification and floor absorbent products in the United Kingdom. These increases more than offset lower sales by our China subsidiary. Sales in China continue to be negatively impacted by the outbreak of swine fever in Asia. Net sales by our foreign subsidiaries represented 5% of our consolidated net sales during the first three months of both fiscal years 2020 and 2019.</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subsidiaries reported a net loss of $68,000 for the first three months of fiscal 2020, compared to net income of $236,000 for the first three months of fiscal 2019. Lower sales in China and additional costs to establish operations in Indonesia drove the loss.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Identifiable assets of our foreign subsidiaries as of October 31, 2019 were $9,712,000, compared to $9,460,000 as of October 31, 2018. The increase was attributed primarily to the addition of our subsidiary in Indonesia and new right-of-use lease assets recorded upon the implementation of ASC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from time to time, business acquisitions. During the first three months of fiscal year 2020, we principally used cash generated from operations to fund these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6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For the Three Months Ended October</w:t>
      </w:r>
    </w:p>
    <w:p>
      <w:pPr>
        <w:spacing w:after="0" w:line="2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22860</wp:posOffset>
            </wp:positionV>
            <wp:extent cx="1920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three months of fiscal years 2020 and 2019 were as follows: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Accounts receivable, less allowance for doubtful accounts, increased $791,000 in the first three months of fiscal year 2020 compared to an increase of $6,410,000 in the first three months of fiscal year 2019. Higher sales in the first quarter of fiscal year 2020 compared to the fourth quarter of fiscal year 2019 drove the increase in accounts receivable as of October 31, 2019. The accounts receivable balance at the end of the first quarter of fiscal year 2019 was significantly higher due to delays in sending invoices to some customers upon implementation of the new ERP system on August 1, 2018. The variation in accounts receivable balances also reflected differences in the level and timing of collections as well as the payment terms provided to various customers.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Inventory decreased $371,000 in the first three months of fiscal year 2020 compared to an increase of $2,933,000 in the first three months of fiscal year 2019. Packaging and other purchased materials inventory decreased as of October 31, 2019 due to higher production and efforts to better manage our safety stock levels. The inventory balance at the end of the first quarter of fiscal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73"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2019 was significantly higher due to production interruptions and increased safety stock for anticipated disruptions during the new ERP system implementation.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Prepaid expenses decreased $1,578,000 in the first three months of fiscal year 2020 compared to an increase of $1,196,000 in the first three months of fiscal year 2019. Lower prepaid advertising costs drove the decrease in the first quarter of fiscal year 2020. Prepaid expenses increased in the first quarter of fiscal year 2019 due to prepayments of annual insurance premiums and higher prepaid income taxes.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payable, including income taxes payable, increased $835,000 in the first three months of fiscal year 2020 compared to an increase of $7,290,000 in the first three months of fiscal year 2019. Higher accrued income taxes drove the increase in the first quarter of fiscal 2020. Accounts payable increased significantly in the first quarter of fiscal year 2019 as we managed our cash flow due to issues related to the ERP system implementation. Trade and freight payables also varied in both periods due to the timing of payments, fluctuations in the cost of goods and services we purchased, production volume levels and vendor payment terms.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expenses decreased $3,812,000 in the first three months of fiscal year 2020 compared to a decrease of $1,780,000 in the first three months of fiscal year 2019. The payout of the prior fiscal year's discretionary incentive bonus reduced accrued salaries in both fiscal years. Accrued freight also decreased in the first three months of fiscal year 2020, but increased in the first quarter of fiscal year 2019 due to cash flow management as described above. Accrued plant expenses also fluctuated due to timing of payments, changes in the cost of goods and services we purchased, production volume levels and vendor payment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was $3,900,000 in the first three months of fiscal year 2020 compared to cash provided by investing activities of $424,000 in the first three months of fiscal year 2019. Cash used for capital expenditures was comparable for the first quarter of fiscal years 2020 and 2019. Net dispositions of investment securities provided cash in the first quarter of fiscal year 2019; however, no short-term investments were held in fiscal 2020 due to the low returns available on these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financing activities of $5,344,000 in the first three months of fiscal year 2020 was higher than cash used in financing activities of $4,845,000 in the first three months of fiscal year 2019, primarily due to increased purchases of treasury stock and a higher dividend payout.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cash and investment balances held by our foreign subsidiaries of $1,917,000 as of October 31, 2019 were slightly lower than the October 31, 2018 balances of $1,984,000. See further discussion in “Foreign Operations” above.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31, 2019, we signed a fifth amendment to our credit agreement with BMO Harris Bank N.A. (“BMO Harris”), which expires on January 31, 2024. The agreement provides for a $45,000,000 unsecured revolving credit agreement and a maximum of $10,000,000 for letters of credit. The agreement terms also state that we may select a variable interest rate based on either the BMO Harris prime rate or a LIBOR-based rate, plus a margin that varies depending on our debt to earnings ratio, or a fixed rate as agreed between us and BMO Harris. As of October 31, 2019, the variable rates would have been 5.00% for the BMO Harris prime-based rate or 3.15% for the three-month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October 31, 2019 and 2018, we were in compliance with the covenants. There were no borrowings during the first three months of either fiscal year 2019 or 2020.</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October 31, 2019, we had remaining authority to repurchase 1,041,973 shares of Common Stock and 288,925 shares of Class B Stock under a repurchase plan approved by our Board of Directors (the “Board”). Repurchases may be made on the open market (pursuant to Rule 10b5-1 plans or otherwise) or in negotiated transactions. The timing and number of shares repurchased will be determined by our management.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expect both capital expenditures and advertising expense in fiscal year 2020 to be greater than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57"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 xml:space="preserve">fiscal year 2019. </w:t>
      </w:r>
      <w:r>
        <w:rPr>
          <w:rFonts w:ascii="Arial" w:cs="Arial" w:eastAsia="Arial" w:hAnsi="Arial"/>
          <w:sz w:val="18"/>
          <w:szCs w:val="18"/>
          <w:color w:val="222222"/>
        </w:rPr>
        <w:t>We do not believe that these increased expenditures will dramatically impact our cash position; however our cash requirements are subject to</w:t>
      </w:r>
      <w:r>
        <w:rPr>
          <w:rFonts w:ascii="Arial" w:cs="Arial" w:eastAsia="Arial" w:hAnsi="Arial"/>
          <w:sz w:val="18"/>
          <w:szCs w:val="18"/>
          <w:color w:val="auto"/>
        </w:rPr>
        <w:t xml:space="preserve"> </w:t>
      </w:r>
      <w:r>
        <w:rPr>
          <w:rFonts w:ascii="Arial" w:cs="Arial" w:eastAsia="Arial" w:hAnsi="Arial"/>
          <w:sz w:val="18"/>
          <w:szCs w:val="18"/>
          <w:color w:val="222222"/>
        </w:rPr>
        <w:t>change as business conditions warrant and opportunities arise.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implemented, and is continuing to add new functionality to, a new ERP system designed to upgrade our technology and improve our financial and operational information. While the Company believes that this new system and related changes to internal controls will ultimately strengthen its internal control over financial reporting, there are inherent risks in implementing a new ERP system. The Company has appropriately considered these changes in its design of and testing for effectiveness of internal controls over financial reporting and concluded, as part of the evaluation described in the above paragraph, that the implementation and ongoing enhancement of the new ERP in these circumstances has not materially changed the effectiveness of its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other than those described herein, in our internal control over financial reporting (as defined in Rule 13a-15(f) under the Exchange Act) that occurred during the fiscal quarter ended October 31, 2019 that have materially affected, or are reasonably likely to materially affect,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 1A, 3 and 5 of this Part II are either inapplicable or are answered in the negative and are omitted pursuant to the instructions to Part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October 31, 2019, we did not sell any securities which were not registered under the Securities Act of 1933. The following charts summarize our repurchases (and remaining authority to repurchase) shares of our Common Stock and Class B Stock during this period. No shares of our Class A Common Stock are currently outstanding. Descriptions of our Common Stock, Class B Stock and Class A Common Stock are contained in Exhibit 4.1 to our Annual Report on Form 10-K for the fiscal year ended July 31, 2019 filed with the SEC.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57" w:lineRule="exact"/>
        <w:rPr>
          <w:sz w:val="20"/>
          <w:szCs w:val="20"/>
          <w:color w:val="auto"/>
        </w:rPr>
      </w:pPr>
    </w:p>
    <w:tbl>
      <w:tblPr>
        <w:tblLayout w:type="fixed"/>
        <w:tblInd w:w="3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2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6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(d)</w:t>
            </w:r>
          </w:p>
        </w:tc>
        <w:tc>
          <w:tcPr>
            <w:tcW w:w="20" w:type="dxa"/>
            <w:vAlign w:val="bottom"/>
          </w:tcPr>
          <w:p>
            <w:pPr>
              <w:spacing w:after="0"/>
              <w:rPr>
                <w:sz w:val="20"/>
                <w:szCs w:val="20"/>
                <w:color w:val="auto"/>
              </w:rPr>
            </w:pPr>
          </w:p>
        </w:tc>
      </w:tr>
      <w:tr>
        <w:trPr>
          <w:trHeight w:val="252"/>
        </w:trPr>
        <w:tc>
          <w:tcPr>
            <w:tcW w:w="20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Maximum Number of</w:t>
            </w:r>
          </w:p>
        </w:tc>
        <w:tc>
          <w:tcPr>
            <w:tcW w:w="20" w:type="dxa"/>
            <w:vAlign w:val="bottom"/>
          </w:tcPr>
          <w:p>
            <w:pPr>
              <w:spacing w:after="0"/>
              <w:rPr>
                <w:sz w:val="21"/>
                <w:szCs w:val="21"/>
                <w:color w:val="auto"/>
              </w:rPr>
            </w:pPr>
          </w:p>
        </w:tc>
      </w:tr>
      <w:tr>
        <w:trPr>
          <w:trHeight w:val="216"/>
        </w:trPr>
        <w:tc>
          <w:tcPr>
            <w:tcW w:w="2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26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Shares that may yet be</w:t>
            </w:r>
          </w:p>
        </w:tc>
        <w:tc>
          <w:tcPr>
            <w:tcW w:w="20" w:type="dxa"/>
            <w:vAlign w:val="bottom"/>
          </w:tcPr>
          <w:p>
            <w:pPr>
              <w:spacing w:after="0"/>
              <w:rPr>
                <w:sz w:val="18"/>
                <w:szCs w:val="18"/>
                <w:color w:val="auto"/>
              </w:rPr>
            </w:pPr>
          </w:p>
        </w:tc>
      </w:tr>
      <w:tr>
        <w:trPr>
          <w:trHeight w:val="216"/>
        </w:trPr>
        <w:tc>
          <w:tcPr>
            <w:tcW w:w="2060" w:type="dxa"/>
            <w:vAlign w:val="bottom"/>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Total Number of Shares</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Purchased Under Plans or</w:t>
            </w:r>
          </w:p>
        </w:tc>
        <w:tc>
          <w:tcPr>
            <w:tcW w:w="20" w:type="dxa"/>
            <w:vAlign w:val="bottom"/>
          </w:tcPr>
          <w:p>
            <w:pPr>
              <w:spacing w:after="0"/>
              <w:rPr>
                <w:sz w:val="18"/>
                <w:szCs w:val="18"/>
                <w:color w:val="auto"/>
              </w:rPr>
            </w:pPr>
          </w:p>
        </w:tc>
      </w:tr>
      <w:tr>
        <w:trPr>
          <w:trHeight w:val="261"/>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7"/>
              </w:rPr>
              <w:t>Ended October 31, 2019</w:t>
            </w:r>
          </w:p>
        </w:tc>
        <w:tc>
          <w:tcPr>
            <w:tcW w:w="2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Purchased</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60" w:type="dxa"/>
            <w:vAlign w:val="bottom"/>
            <w:tcBorders>
              <w:bottom w:val="single" w:sz="8" w:color="auto"/>
            </w:tcBorders>
          </w:tcPr>
          <w:p>
            <w:pPr>
              <w:jc w:val="center"/>
              <w:ind w:left="30"/>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c>
          <w:tcPr>
            <w:tcW w:w="20" w:type="dxa"/>
            <w:vAlign w:val="bottom"/>
            <w:tcBorders>
              <w:bottom w:val="single" w:sz="8" w:color="auto"/>
            </w:tcBorders>
          </w:tcPr>
          <w:p>
            <w:pPr>
              <w:spacing w:after="0"/>
              <w:rPr>
                <w:sz w:val="22"/>
                <w:szCs w:val="22"/>
                <w:color w:val="auto"/>
              </w:rPr>
            </w:pPr>
          </w:p>
        </w:tc>
      </w:tr>
      <w:tr>
        <w:trPr>
          <w:trHeight w:val="269"/>
        </w:trPr>
        <w:tc>
          <w:tcPr>
            <w:tcW w:w="2060" w:type="dxa"/>
            <w:vAlign w:val="bottom"/>
            <w:tcBorders>
              <w:left w:val="single" w:sz="8" w:color="auto"/>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90"/>
              </w:rPr>
              <w:t>Common Stock</w:t>
            </w:r>
          </w:p>
        </w:tc>
        <w:tc>
          <w:tcPr>
            <w:tcW w:w="24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22"/>
        </w:trPr>
        <w:tc>
          <w:tcPr>
            <w:tcW w:w="2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August 1, 2019 to August</w:t>
            </w:r>
          </w:p>
        </w:tc>
        <w:tc>
          <w:tcPr>
            <w:tcW w:w="230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31, 2019</w:t>
            </w: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89"/>
              </w:rPr>
              <w:t>1,045,917</w:t>
            </w:r>
          </w:p>
        </w:tc>
        <w:tc>
          <w:tcPr>
            <w:tcW w:w="20" w:type="dxa"/>
            <w:vAlign w:val="bottom"/>
          </w:tcPr>
          <w:p>
            <w:pPr>
              <w:spacing w:after="0"/>
              <w:rPr>
                <w:sz w:val="20"/>
                <w:szCs w:val="20"/>
                <w:color w:val="auto"/>
              </w:rPr>
            </w:pPr>
          </w:p>
        </w:tc>
      </w:tr>
      <w:tr>
        <w:trPr>
          <w:trHeight w:val="27"/>
        </w:trPr>
        <w:tc>
          <w:tcPr>
            <w:tcW w:w="2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 2019 to</w:t>
            </w:r>
          </w:p>
        </w:tc>
        <w:tc>
          <w:tcPr>
            <w:tcW w:w="23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06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2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1,045,917</w:t>
            </w:r>
          </w:p>
        </w:tc>
        <w:tc>
          <w:tcPr>
            <w:tcW w:w="20" w:type="dxa"/>
            <w:vAlign w:val="bottom"/>
          </w:tcPr>
          <w:p>
            <w:pPr>
              <w:spacing w:after="0"/>
              <w:rPr>
                <w:sz w:val="20"/>
                <w:szCs w:val="20"/>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October 1, 2019 to</w:t>
            </w:r>
          </w:p>
        </w:tc>
        <w:tc>
          <w:tcPr>
            <w:tcW w:w="2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October 31, 2019</w:t>
            </w:r>
          </w:p>
        </w:tc>
        <w:tc>
          <w:tcPr>
            <w:tcW w:w="2300" w:type="dxa"/>
            <w:vAlign w:val="bottom"/>
          </w:tcPr>
          <w:p>
            <w:pPr>
              <w:jc w:val="center"/>
              <w:ind w:right="10"/>
              <w:spacing w:after="0"/>
              <w:rPr>
                <w:sz w:val="20"/>
                <w:szCs w:val="20"/>
                <w:color w:val="auto"/>
              </w:rPr>
            </w:pPr>
            <w:r>
              <w:rPr>
                <w:rFonts w:ascii="Arial" w:cs="Arial" w:eastAsia="Arial" w:hAnsi="Arial"/>
                <w:sz w:val="18"/>
                <w:szCs w:val="18"/>
                <w:color w:val="auto"/>
                <w:w w:val="88"/>
              </w:rPr>
              <w:t>3,944</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$33.38</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89"/>
              </w:rPr>
              <w:t>1,041,973</w:t>
            </w:r>
          </w:p>
        </w:tc>
        <w:tc>
          <w:tcPr>
            <w:tcW w:w="20" w:type="dxa"/>
            <w:vAlign w:val="bottom"/>
          </w:tcPr>
          <w:p>
            <w:pPr>
              <w:spacing w:after="0"/>
              <w:rPr>
                <w:sz w:val="20"/>
                <w:szCs w:val="20"/>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2060" w:type="dxa"/>
            <w:vAlign w:val="bottom"/>
            <w:tcBorders>
              <w:left w:val="single" w:sz="8" w:color="auto"/>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86"/>
              </w:rPr>
              <w:t>Class B Stock</w:t>
            </w:r>
          </w:p>
        </w:tc>
        <w:tc>
          <w:tcPr>
            <w:tcW w:w="24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22"/>
        </w:trPr>
        <w:tc>
          <w:tcPr>
            <w:tcW w:w="2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August 1, 2019 to August</w:t>
            </w:r>
          </w:p>
        </w:tc>
        <w:tc>
          <w:tcPr>
            <w:tcW w:w="230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31, 2019</w:t>
            </w: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ind w:left="30"/>
              <w:spacing w:after="0"/>
              <w:rPr>
                <w:sz w:val="20"/>
                <w:szCs w:val="20"/>
                <w:color w:val="auto"/>
              </w:rPr>
            </w:pPr>
            <w:r>
              <w:rPr>
                <w:rFonts w:ascii="Arial" w:cs="Arial" w:eastAsia="Arial" w:hAnsi="Arial"/>
                <w:sz w:val="18"/>
                <w:szCs w:val="18"/>
                <w:color w:val="auto"/>
                <w:w w:val="89"/>
              </w:rPr>
              <w:t>300,000</w:t>
            </w:r>
          </w:p>
        </w:tc>
        <w:tc>
          <w:tcPr>
            <w:tcW w:w="20" w:type="dxa"/>
            <w:vAlign w:val="bottom"/>
          </w:tcPr>
          <w:p>
            <w:pPr>
              <w:spacing w:after="0"/>
              <w:rPr>
                <w:sz w:val="20"/>
                <w:szCs w:val="20"/>
                <w:color w:val="auto"/>
              </w:rPr>
            </w:pPr>
          </w:p>
        </w:tc>
      </w:tr>
      <w:tr>
        <w:trPr>
          <w:trHeight w:val="27"/>
        </w:trPr>
        <w:tc>
          <w:tcPr>
            <w:tcW w:w="2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 2019 to</w:t>
            </w:r>
          </w:p>
        </w:tc>
        <w:tc>
          <w:tcPr>
            <w:tcW w:w="23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06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2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300,000</w:t>
            </w:r>
          </w:p>
        </w:tc>
        <w:tc>
          <w:tcPr>
            <w:tcW w:w="20" w:type="dxa"/>
            <w:vAlign w:val="bottom"/>
          </w:tcPr>
          <w:p>
            <w:pPr>
              <w:spacing w:after="0"/>
              <w:rPr>
                <w:sz w:val="20"/>
                <w:szCs w:val="20"/>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October 1, 2019 to</w:t>
            </w:r>
          </w:p>
        </w:tc>
        <w:tc>
          <w:tcPr>
            <w:tcW w:w="2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October 31, 2019</w:t>
            </w:r>
          </w:p>
        </w:tc>
        <w:tc>
          <w:tcPr>
            <w:tcW w:w="2300" w:type="dxa"/>
            <w:vAlign w:val="bottom"/>
          </w:tcPr>
          <w:p>
            <w:pPr>
              <w:jc w:val="center"/>
              <w:ind w:right="10"/>
              <w:spacing w:after="0"/>
              <w:rPr>
                <w:sz w:val="20"/>
                <w:szCs w:val="20"/>
                <w:color w:val="auto"/>
              </w:rPr>
            </w:pPr>
            <w:r>
              <w:rPr>
                <w:rFonts w:ascii="Arial" w:cs="Arial" w:eastAsia="Arial" w:hAnsi="Arial"/>
                <w:sz w:val="18"/>
                <w:szCs w:val="18"/>
                <w:color w:val="auto"/>
                <w:w w:val="87"/>
              </w:rPr>
              <w:t>11,075</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$33.29</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ind w:left="30"/>
              <w:spacing w:after="0"/>
              <w:rPr>
                <w:sz w:val="20"/>
                <w:szCs w:val="20"/>
                <w:color w:val="auto"/>
              </w:rPr>
            </w:pPr>
            <w:r>
              <w:rPr>
                <w:rFonts w:ascii="Arial" w:cs="Arial" w:eastAsia="Arial" w:hAnsi="Arial"/>
                <w:sz w:val="18"/>
                <w:szCs w:val="18"/>
                <w:color w:val="auto"/>
                <w:w w:val="89"/>
              </w:rPr>
              <w:t>288,925</w:t>
            </w:r>
          </w:p>
        </w:tc>
        <w:tc>
          <w:tcPr>
            <w:tcW w:w="20" w:type="dxa"/>
            <w:vAlign w:val="bottom"/>
          </w:tcPr>
          <w:p>
            <w:pPr>
              <w:spacing w:after="0"/>
              <w:rPr>
                <w:sz w:val="20"/>
                <w:szCs w:val="20"/>
                <w:color w:val="auto"/>
              </w:rPr>
            </w:pPr>
          </w:p>
        </w:tc>
      </w:tr>
    </w:tbl>
    <w:p>
      <w:pPr>
        <w:spacing w:after="0" w:line="229" w:lineRule="exact"/>
        <w:rPr>
          <w:sz w:val="20"/>
          <w:szCs w:val="20"/>
          <w:color w:val="auto"/>
        </w:rPr>
      </w:pPr>
    </w:p>
    <w:p>
      <w:pPr>
        <w:jc w:val="both"/>
        <w:ind w:firstLine="8"/>
        <w:spacing w:after="0" w:line="250" w:lineRule="auto"/>
        <w:tabs>
          <w:tab w:leader="none" w:pos="132"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Our Board authorized the repurchase of 250,000 shares of Common Stock on March 11, 2011, an additional 250,000 shares on June 14, 2012 and an additional 750,000 shares on March 12, 2019. Our Board also authorized the repurchase of 300,000 shares of Class B Stock on March 12, 2018. These authorizations do not have a stated expiration date. The share numbers in this column indicate the number of shares of each class of stock that may yet be repurchased under these authorizations. Repurchases may be made on the open market (pursuant to Rule 10b5-1 plans or otherwise) or in negotiated transactions. The timing and number of shares repurchased will be determined by our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ectPr>
          <w:pgSz w:w="11900" w:h="16838" w:orient="portrait"/>
          <w:cols w:equalWidth="0" w:num="1">
            <w:col w:w="11420"/>
          </w:cols>
          <w:pgMar w:left="240" w:top="33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160" w:type="dxa"/>
            <w:vAlign w:val="bottom"/>
            <w:gridSpan w:val="6"/>
          </w:tcPr>
          <w:p>
            <w:pPr>
              <w:ind w:left="1200"/>
              <w:spacing w:after="0"/>
              <w:rPr>
                <w:sz w:val="20"/>
                <w:szCs w:val="20"/>
                <w:color w:val="auto"/>
              </w:rPr>
            </w:pPr>
            <w:r>
              <w:rPr>
                <w:rFonts w:ascii="Arial" w:cs="Arial" w:eastAsia="Arial" w:hAnsi="Arial"/>
                <w:sz w:val="18"/>
                <w:szCs w:val="18"/>
                <w:color w:val="auto"/>
              </w:rPr>
              <w:t>Description</w:t>
            </w:r>
          </w:p>
        </w:tc>
        <w:tc>
          <w:tcPr>
            <w:tcW w:w="3300" w:type="dxa"/>
            <w:vAlign w:val="bottom"/>
          </w:tcPr>
          <w:p>
            <w:pPr>
              <w:ind w:left="70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6"/>
        </w:trPr>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gridSpan w:val="7"/>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Third amendment to Oil-Dri Corporation of America 2006 Long Term Incentive Plan*</w:t>
              </w:r>
            </w:hyperlink>
          </w:p>
        </w:tc>
        <w:tc>
          <w:tcPr>
            <w:tcW w:w="3300" w:type="dxa"/>
            <w:vAlign w:val="bottom"/>
          </w:tcPr>
          <w:p>
            <w:pPr>
              <w:ind w:left="20"/>
              <w:spacing w:after="0" w:line="196" w:lineRule="exact"/>
              <w:rPr>
                <w:sz w:val="20"/>
                <w:szCs w:val="20"/>
                <w:color w:val="auto"/>
              </w:rPr>
            </w:pPr>
            <w:r>
              <w:rPr>
                <w:rFonts w:ascii="Arial" w:cs="Arial" w:eastAsia="Arial" w:hAnsi="Arial"/>
                <w:sz w:val="18"/>
                <w:szCs w:val="18"/>
                <w:color w:val="auto"/>
                <w:w w:val="94"/>
              </w:rPr>
              <w:t>Incorporated by reference to Appendix A of</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Borders>
              <w:top w:val="single" w:sz="8" w:color="0000FF"/>
            </w:tcBorders>
          </w:tcPr>
          <w:p>
            <w:pPr>
              <w:spacing w:after="0"/>
              <w:rPr>
                <w:sz w:val="19"/>
                <w:szCs w:val="19"/>
                <w:color w:val="auto"/>
              </w:rPr>
            </w:pPr>
          </w:p>
        </w:tc>
        <w:tc>
          <w:tcPr>
            <w:tcW w:w="126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78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Oil-Dri's (File No. 001-12622) Definitive</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6"/>
              </w:rPr>
              <w:t>Proxy Statement on Schedule 14A filed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October 30, 2019.</w:t>
            </w:r>
          </w:p>
        </w:tc>
      </w:tr>
      <w:tr>
        <w:trPr>
          <w:trHeight w:val="351"/>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Statement re: Computation of Earnings per Share.</w:t>
            </w:r>
          </w:p>
        </w:tc>
        <w:tc>
          <w:tcPr>
            <w:tcW w:w="3340" w:type="dxa"/>
            <w:vAlign w:val="bottom"/>
            <w:gridSpan w:val="4"/>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Certifications pursuant to Rule 13a–14(a).</w:t>
            </w:r>
          </w:p>
        </w:tc>
        <w:tc>
          <w:tcPr>
            <w:tcW w:w="3900" w:type="dxa"/>
            <w:vAlign w:val="bottom"/>
            <w:gridSpan w:val="5"/>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7"/>
          </w:tcPr>
          <w:p>
            <w:pPr>
              <w:spacing w:after="0"/>
              <w:rPr>
                <w:sz w:val="20"/>
                <w:szCs w:val="20"/>
                <w:color w:val="auto"/>
              </w:rPr>
            </w:pPr>
            <w:r>
              <w:rPr>
                <w:rFonts w:ascii="Arial" w:cs="Arial" w:eastAsia="Arial" w:hAnsi="Arial"/>
                <w:sz w:val="18"/>
                <w:szCs w:val="18"/>
                <w:color w:val="0000FF"/>
              </w:rPr>
              <w:t>Certifications pursuant to Section 1350 of the Sarbanes-Oxley Act of 2002</w:t>
            </w:r>
            <w:r>
              <w:rPr>
                <w:rFonts w:ascii="Arial" w:cs="Arial" w:eastAsia="Arial" w:hAnsi="Arial"/>
                <w:sz w:val="18"/>
                <w:szCs w:val="18"/>
                <w:color w:val="000000"/>
              </w:rPr>
              <w:t>.</w:t>
            </w:r>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2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17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Mine Safety Disclosures</w:t>
            </w:r>
          </w:p>
        </w:tc>
        <w:tc>
          <w:tcPr>
            <w:tcW w:w="3600" w:type="dxa"/>
            <w:vAlign w:val="bottom"/>
            <w:tcBorders>
              <w:top w:val="single" w:sz="8" w:color="0000FF"/>
            </w:tcBorders>
            <w:gridSpan w:val="3"/>
          </w:tcPr>
          <w:p>
            <w:pPr>
              <w:spacing w:after="0"/>
              <w:rPr>
                <w:sz w:val="24"/>
                <w:szCs w:val="24"/>
                <w:color w:val="auto"/>
              </w:rPr>
            </w:pPr>
          </w:p>
        </w:tc>
        <w:tc>
          <w:tcPr>
            <w:tcW w:w="1560" w:type="dxa"/>
            <w:vAlign w:val="bottom"/>
            <w:gridSpan w:val="3"/>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41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6940" w:type="dxa"/>
            <w:vAlign w:val="bottom"/>
            <w:gridSpan w:val="7"/>
          </w:tcPr>
          <w:p>
            <w:pPr>
              <w:spacing w:after="0"/>
              <w:rPr>
                <w:sz w:val="20"/>
                <w:szCs w:val="20"/>
                <w:color w:val="auto"/>
              </w:rPr>
            </w:pPr>
            <w:r>
              <w:rPr>
                <w:rFonts w:ascii="Arial" w:cs="Arial" w:eastAsia="Arial" w:hAnsi="Arial"/>
                <w:sz w:val="18"/>
                <w:szCs w:val="18"/>
                <w:color w:val="auto"/>
              </w:rPr>
              <w:t>XBRL Taxonomy Instance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94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9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9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940" w:type="dxa"/>
            <w:vAlign w:val="bottom"/>
            <w:gridSpan w:val="7"/>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9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53987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2019</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320"/>
          </w:cols>
          <w:pgMar w:left="580" w:top="55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left="1960" w:right="3119"/>
        <w:spacing w:after="0" w:line="261" w:lineRule="auto"/>
        <w:rPr>
          <w:sz w:val="20"/>
          <w:szCs w:val="20"/>
          <w:color w:val="auto"/>
        </w:rPr>
      </w:pPr>
      <w:r>
        <w:rPr>
          <w:rFonts w:ascii="Arial" w:cs="Arial" w:eastAsia="Arial" w:hAnsi="Arial"/>
          <w:sz w:val="18"/>
          <w:szCs w:val="18"/>
          <w:b w:val="1"/>
          <w:bCs w:val="1"/>
          <w:color w:val="auto"/>
        </w:rPr>
        <w:t>OIL-DRI CORPORATION OF AMERICA AND SUBSIDIARIES Computation of Earnings Per Share</w:t>
      </w: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22860</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8"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20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3,536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2"/>
              </w:rPr>
              <w:t>Less: Distributed and undistributed earnings allocated</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(156)</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to non-vested restricted stock</w:t>
            </w: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2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3,380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1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5,149</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2"/>
              </w:rPr>
              <w:t>Average shares outstanding - Basic Class B Common</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2,050</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Potential Common Stock relating to stock options and</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w:t>
            </w:r>
          </w:p>
        </w:tc>
        <w:tc>
          <w:tcPr>
            <w:tcW w:w="1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17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7,306</w:t>
            </w: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17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0.38</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2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53" w:right="1440"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December 6, 2019</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8"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Exhibit 31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December 6, 2019</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Susan M. Kreh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Susan M. Kreh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2019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6,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Chairman,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2019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6,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Susan M. Kreh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8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2019.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682</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850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October 31, 2019.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5">
    <w:nsid w:val="507ED7A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2" Type="http://schemas.openxmlformats.org/officeDocument/2006/relationships/hyperlink" Target="http://www.sec.gov/Archives/edgar/data/74046/000007404619000066/odcproxy2019.htm#se633b61d2e784655a233015ca49aa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2019-12-06T15:29:18Z</dcterms:created>
  <dcterms:modified xsi:type="dcterms:W3CDTF">2019-12-06T15:29:18Z</dcterms:modified>
</cp:coreProperties>
</file>