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SCHEDULE 14A</w:t>
      </w:r>
    </w:p>
    <w:p>
      <w:pPr>
        <w:spacing w:after="0" w:line="171"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(Rule 14a-101)</w:t>
      </w:r>
    </w:p>
    <w:p>
      <w:pPr>
        <w:spacing w:after="0" w:line="171"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INFORMATION REQUIRED IN PROXY STATEMENT</w:t>
      </w:r>
    </w:p>
    <w:p>
      <w:pPr>
        <w:spacing w:after="0" w:line="171"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SCHEDULE 14A INFORMATION</w:t>
      </w:r>
    </w:p>
    <w:p>
      <w:pPr>
        <w:spacing w:after="0" w:line="171" w:lineRule="exact"/>
        <w:rPr>
          <w:sz w:val="24"/>
          <w:szCs w:val="24"/>
          <w:color w:val="auto"/>
        </w:rPr>
      </w:pPr>
    </w:p>
    <w:p>
      <w:pPr>
        <w:jc w:val="center"/>
        <w:ind w:right="15"/>
        <w:spacing w:after="0"/>
        <w:rPr>
          <w:sz w:val="20"/>
          <w:szCs w:val="20"/>
          <w:color w:val="auto"/>
        </w:rPr>
      </w:pPr>
      <w:r>
        <w:rPr>
          <w:rFonts w:ascii="Arial" w:cs="Arial" w:eastAsia="Arial" w:hAnsi="Arial"/>
          <w:sz w:val="16"/>
          <w:szCs w:val="16"/>
          <w:color w:val="auto"/>
        </w:rPr>
        <w:t>Proxy Statement Pursuant to Section 14(a) of the Securities Exchange Act of 1934 (Amendment No. )</w:t>
      </w:r>
    </w:p>
    <w:p>
      <w:pPr>
        <w:spacing w:after="0" w:line="34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90"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387"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5"/>
          </w:cols>
          <w:pgMar w:left="275" w:top="888" w:right="299" w:bottom="1440" w:gutter="0" w:footer="0" w:header="0"/>
        </w:sectPr>
      </w:pPr>
    </w:p>
    <w:p>
      <w:pPr>
        <w:spacing w:after="0" w:line="63" w:lineRule="exact"/>
        <w:rPr>
          <w:sz w:val="24"/>
          <w:szCs w:val="24"/>
          <w:color w:val="auto"/>
        </w:rPr>
      </w:pPr>
    </w:p>
    <w:p>
      <w:pPr>
        <w:ind w:left="5"/>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ectPr>
          <w:pgSz w:w="11900" w:h="16838" w:orient="portrait"/>
          <w:cols w:equalWidth="0" w:num="2">
            <w:col w:w="3845" w:space="720"/>
            <w:col w:w="6760"/>
          </w:cols>
          <w:pgMar w:left="275" w:top="888" w:right="299" w:bottom="1440" w:gutter="0" w:footer="0" w:header="0"/>
          <w:type w:val="continuous"/>
        </w:sectPr>
      </w:pPr>
    </w:p>
    <w:p>
      <w:pPr>
        <w:ind w:left="1045"/>
        <w:spacing w:after="0"/>
        <w:rPr>
          <w:sz w:val="20"/>
          <w:szCs w:val="20"/>
          <w:color w:val="auto"/>
        </w:rPr>
      </w:pP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Soliciting Material Under Rule 14a-12</w:t>
      </w:r>
    </w:p>
    <w:p>
      <w:pPr>
        <w:spacing w:after="0" w:line="72" w:lineRule="exact"/>
        <w:rPr>
          <w:sz w:val="24"/>
          <w:szCs w:val="24"/>
          <w:color w:val="auto"/>
        </w:rPr>
      </w:pPr>
    </w:p>
    <w:p>
      <w:pPr>
        <w:sectPr>
          <w:pgSz w:w="11900" w:h="16838" w:orient="portrait"/>
          <w:cols w:equalWidth="0" w:num="2">
            <w:col w:w="4285" w:space="720"/>
            <w:col w:w="6320"/>
          </w:cols>
          <w:pgMar w:left="275" w:top="888" w:right="299" w:bottom="1440" w:gutter="0" w:footer="0" w:header="0"/>
          <w:type w:val="continuous"/>
        </w:sectPr>
      </w:pPr>
    </w:p>
    <w:p>
      <w:pPr>
        <w:ind w:left="1045"/>
        <w:spacing w:after="0"/>
        <w:rPr>
          <w:sz w:val="20"/>
          <w:szCs w:val="20"/>
          <w:color w:val="auto"/>
        </w:rPr>
      </w:pPr>
      <w:r>
        <w:rPr>
          <w:rFonts w:ascii="Arial" w:cs="Arial" w:eastAsia="Arial" w:hAnsi="Arial"/>
          <w:sz w:val="18"/>
          <w:szCs w:val="18"/>
          <w:color w:val="auto"/>
        </w:rPr>
        <w:t>Confidential, For Use of the</w:t>
      </w:r>
    </w:p>
    <w:p>
      <w:pPr>
        <w:spacing w:after="0" w:line="23" w:lineRule="exact"/>
        <w:rPr>
          <w:sz w:val="24"/>
          <w:szCs w:val="24"/>
          <w:color w:val="auto"/>
        </w:rPr>
      </w:pPr>
    </w:p>
    <w:p>
      <w:pPr>
        <w:ind w:left="1045" w:right="7980" w:hanging="1045"/>
        <w:spacing w:after="0" w:line="289" w:lineRule="auto"/>
        <w:tabs>
          <w:tab w:leader="none" w:pos="1045"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Commission Only (as permitted by Rule 14a-6(e)(2))</w:t>
      </w:r>
    </w:p>
    <w:p>
      <w:pPr>
        <w:spacing w:after="0" w:line="1" w:lineRule="exact"/>
        <w:rPr>
          <w:sz w:val="24"/>
          <w:szCs w:val="24"/>
          <w:color w:val="auto"/>
        </w:rPr>
      </w:pPr>
    </w:p>
    <w:p>
      <w:pPr>
        <w:ind w:left="5"/>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ind w:left="1045"/>
        <w:spacing w:after="0"/>
        <w:rPr>
          <w:sz w:val="20"/>
          <w:szCs w:val="20"/>
          <w:color w:val="auto"/>
        </w:rPr>
      </w:pPr>
      <w:r>
        <w:rPr>
          <w:rFonts w:ascii="Arial" w:cs="Arial" w:eastAsia="Arial" w:hAnsi="Arial"/>
          <w:sz w:val="18"/>
          <w:szCs w:val="18"/>
          <w:color w:val="auto"/>
        </w:rPr>
        <w:t>Definitive Proxy Statement</w:t>
      </w:r>
    </w:p>
    <w:p>
      <w:pPr>
        <w:spacing w:after="0" w:line="49" w:lineRule="exact"/>
        <w:rPr>
          <w:sz w:val="24"/>
          <w:szCs w:val="24"/>
          <w:color w:val="auto"/>
        </w:rPr>
      </w:pPr>
    </w:p>
    <w:p>
      <w:pPr>
        <w:ind w:left="1045" w:hanging="1045"/>
        <w:spacing w:after="0"/>
        <w:tabs>
          <w:tab w:leader="none" w:pos="104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31750</wp:posOffset>
            </wp:positionV>
            <wp:extent cx="6654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70"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409575</wp:posOffset>
            </wp:positionV>
            <wp:extent cx="665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55"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ind w:left="345"/>
        <w:spacing w:after="0"/>
        <w:rPr>
          <w:sz w:val="20"/>
          <w:szCs w:val="20"/>
          <w:color w:val="auto"/>
        </w:rPr>
      </w:pPr>
      <w:r>
        <w:rPr>
          <w:rFonts w:ascii="Arial" w:cs="Arial" w:eastAsia="Arial" w:hAnsi="Arial"/>
          <w:sz w:val="18"/>
          <w:szCs w:val="18"/>
          <w:color w:val="auto"/>
        </w:rPr>
        <w:t>No fee required.</w:t>
      </w:r>
    </w:p>
    <w:p>
      <w:pPr>
        <w:spacing w:after="0" w:line="49" w:lineRule="exact"/>
        <w:rPr>
          <w:sz w:val="24"/>
          <w:szCs w:val="24"/>
          <w:color w:val="auto"/>
        </w:rPr>
      </w:pPr>
    </w:p>
    <w:p>
      <w:pPr>
        <w:ind w:left="5"/>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ind w:left="345"/>
        <w:spacing w:after="0"/>
        <w:rPr>
          <w:sz w:val="20"/>
          <w:szCs w:val="20"/>
          <w:color w:val="auto"/>
        </w:rPr>
      </w:pPr>
      <w:r>
        <w:rPr>
          <w:rFonts w:ascii="Arial" w:cs="Arial" w:eastAsia="Arial" w:hAnsi="Arial"/>
          <w:sz w:val="18"/>
          <w:szCs w:val="18"/>
          <w:color w:val="auto"/>
        </w:rPr>
        <w:t>Fee computed on table below per Exchange Act Rules 14a-6(i)(4) and 0-11.</w:t>
      </w:r>
    </w:p>
    <w:p>
      <w:pPr>
        <w:spacing w:after="0" w:line="76" w:lineRule="exact"/>
        <w:rPr>
          <w:sz w:val="24"/>
          <w:szCs w:val="24"/>
          <w:color w:val="auto"/>
        </w:rPr>
      </w:pPr>
    </w:p>
    <w:p>
      <w:pPr>
        <w:ind w:left="805" w:hanging="341"/>
        <w:spacing w:after="0"/>
        <w:tabs>
          <w:tab w:leader="none" w:pos="8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57" w:lineRule="exact"/>
        <w:rPr>
          <w:sz w:val="24"/>
          <w:szCs w:val="24"/>
          <w:color w:val="auto"/>
        </w:rPr>
      </w:pPr>
    </w:p>
    <w:p>
      <w:pPr>
        <w:ind w:left="805"/>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w:t>
      </w:r>
    </w:p>
    <w:p>
      <w:pPr>
        <w:spacing w:after="0" w:line="46" w:lineRule="exact"/>
        <w:rPr>
          <w:sz w:val="24"/>
          <w:szCs w:val="24"/>
          <w:color w:val="auto"/>
        </w:rPr>
      </w:pPr>
    </w:p>
    <w:p>
      <w:pPr>
        <w:ind w:left="805" w:hanging="341"/>
        <w:spacing w:after="0"/>
        <w:tabs>
          <w:tab w:leader="none" w:pos="805"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22860</wp:posOffset>
            </wp:positionV>
            <wp:extent cx="6715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42" w:lineRule="exact"/>
        <w:rPr>
          <w:sz w:val="24"/>
          <w:szCs w:val="24"/>
          <w:color w:val="auto"/>
        </w:rPr>
      </w:pPr>
    </w:p>
    <w:p>
      <w:pPr>
        <w:ind w:left="805" w:hanging="341"/>
        <w:spacing w:after="0"/>
        <w:tabs>
          <w:tab w:leader="none" w:pos="80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43" w:lineRule="exact"/>
        <w:rPr>
          <w:sz w:val="24"/>
          <w:szCs w:val="24"/>
          <w:color w:val="auto"/>
        </w:rPr>
      </w:pPr>
    </w:p>
    <w:p>
      <w:pPr>
        <w:ind w:left="5"/>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ind w:left="345"/>
        <w:spacing w:after="0"/>
        <w:rPr>
          <w:sz w:val="20"/>
          <w:szCs w:val="20"/>
          <w:color w:val="auto"/>
        </w:rPr>
      </w:pPr>
      <w:r>
        <w:rPr>
          <w:rFonts w:ascii="Arial" w:cs="Arial" w:eastAsia="Arial" w:hAnsi="Arial"/>
          <w:sz w:val="18"/>
          <w:szCs w:val="18"/>
          <w:color w:val="auto"/>
        </w:rPr>
        <w:t>Fee paid previously with preliminary materials:</w:t>
      </w:r>
    </w:p>
    <w:p>
      <w:pPr>
        <w:spacing w:after="0" w:line="49" w:lineRule="exact"/>
        <w:rPr>
          <w:sz w:val="24"/>
          <w:szCs w:val="24"/>
          <w:color w:val="auto"/>
        </w:rPr>
      </w:pPr>
    </w:p>
    <w:p>
      <w:pPr>
        <w:ind w:left="345" w:right="460" w:hanging="345"/>
        <w:spacing w:after="0" w:line="308" w:lineRule="auto"/>
        <w:tabs>
          <w:tab w:leader="none" w:pos="34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sz w:val="24"/>
          <w:szCs w:val="24"/>
          <w:color w:val="auto"/>
        </w:rPr>
      </w:pPr>
    </w:p>
    <w:p>
      <w:pPr>
        <w:ind w:left="805" w:hanging="341"/>
        <w:spacing w:after="0"/>
        <w:tabs>
          <w:tab w:leader="none" w:pos="805"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57" w:lineRule="exact"/>
        <w:rPr>
          <w:sz w:val="24"/>
          <w:szCs w:val="24"/>
          <w:color w:val="auto"/>
        </w:rPr>
      </w:pPr>
    </w:p>
    <w:p>
      <w:pPr>
        <w:ind w:left="805" w:hanging="341"/>
        <w:spacing w:after="0"/>
        <w:tabs>
          <w:tab w:leader="none" w:pos="80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-327660</wp:posOffset>
            </wp:positionV>
            <wp:extent cx="6715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11325"/>
          </w:cols>
          <w:pgMar w:left="275" w:top="888" w:right="2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2893060</wp:posOffset>
            </wp:positionH>
            <wp:positionV relativeFrom="page">
              <wp:posOffset>500380</wp:posOffset>
            </wp:positionV>
            <wp:extent cx="1749425" cy="591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49425" cy="59182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28, 2015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Board of Directors and all of us on the management team cordially invite you to attend the 2015 Annual Meeting of Stockholders on Tuesday, December 8, 2015, at 9:30 a.m., local time, at The Standard Club, 320 South Plymouth Court, Chicago, Illinois 60604-3802.</w:t>
      </w:r>
    </w:p>
    <w:p>
      <w:pPr>
        <w:spacing w:after="0" w:line="14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matters expected to be acted on in the meeting are described in the attached Proxy Statement. We are recommending a slate of eight directors to be elected to our Board of Directors. Their biographies and qualifications appear in the Proxy Statement. In addition, we ask that you ratify the appointment of Grant Thornton LLP as our independent auditor for the fiscal year ending July 31, 2016. You are also being asked to consider and vote upon an amendment to the Oil-Dri Corporation of America 2006 Long Term Incentive Plan.</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Included with the Proxy Statement is a copy of our Annual Report on Form 10-K for fiscal year 2015. We encourage you to read our Form 10-K. It includes information on our operations, markets, products and services, as well as our audited consolidated financial statements.</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Immediately following adjournment of the Annual Meeting, we will review the results of the past year and look at some of the potential opportunities that lie ahead.</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look forward to seeing you at the Annual Meeting. Whether or not you plan to attend, you can be sure your shares are represented at the meeting by voting over the Internet or by telephone, as instructed in the Notice Regarding Availability of Proxy Materials or proxy card. If you received a Notice Regarding the Availability of Proxy Materials in the mail, you may also request a paper proxy card to submit your vote by mail if you prefer.</w:t>
      </w:r>
    </w:p>
    <w:p>
      <w:pPr>
        <w:spacing w:after="0" w:line="337"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187325</wp:posOffset>
            </wp:positionV>
            <wp:extent cx="1235075" cy="351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507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DANIEL S. JAFFEE</w:t>
      </w:r>
    </w:p>
    <w:p>
      <w:pPr>
        <w:spacing w:after="0" w:line="44" w:lineRule="exact"/>
        <w:rPr>
          <w:sz w:val="20"/>
          <w:szCs w:val="20"/>
          <w:color w:val="auto"/>
        </w:rPr>
      </w:pPr>
    </w:p>
    <w:p>
      <w:pPr>
        <w:ind w:left="6660"/>
        <w:spacing w:after="0"/>
        <w:rPr>
          <w:sz w:val="20"/>
          <w:szCs w:val="20"/>
          <w:color w:val="auto"/>
        </w:rPr>
      </w:pPr>
      <w:r>
        <w:rPr>
          <w:rFonts w:ascii="Arial" w:cs="Arial" w:eastAsia="Arial" w:hAnsi="Arial"/>
          <w:sz w:val="22"/>
          <w:szCs w:val="22"/>
          <w:i w:val="1"/>
          <w:iCs w:val="1"/>
          <w:color w:val="auto"/>
        </w:rPr>
        <w:t>President and Chief Executive Officer</w:t>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1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20"/>
                <w:szCs w:val="20"/>
                <w:color w:val="auto"/>
              </w:rPr>
              <w:t>NOTICE OF ANNUAL MEETING OF STOCKHOLDERS</w:t>
            </w:r>
          </w:p>
        </w:tc>
        <w:tc>
          <w:tcPr>
            <w:tcW w:w="20" w:type="dxa"/>
            <w:vAlign w:val="bottom"/>
            <w:tcBorders>
              <w:bottom w:val="single" w:sz="8" w:color="BFE4FF"/>
            </w:tcBorders>
            <w:shd w:val="clear" w:color="auto" w:fill="BFE4FF"/>
          </w:tcPr>
          <w:p>
            <w:pPr>
              <w:spacing w:after="0"/>
              <w:rPr>
                <w:sz w:val="24"/>
                <w:szCs w:val="24"/>
                <w:color w:val="auto"/>
              </w:rPr>
            </w:pPr>
          </w:p>
        </w:tc>
        <w:tc>
          <w:tcPr>
            <w:tcW w:w="180" w:type="dxa"/>
            <w:vAlign w:val="bottom"/>
            <w:tcBorders>
              <w:bottom w:val="single" w:sz="8" w:color="0000EE"/>
            </w:tcBorders>
            <w:gridSpan w:val="2"/>
            <w:shd w:val="clear" w:color="auto" w:fill="BFE4FF"/>
          </w:tcPr>
          <w:p>
            <w:pPr>
              <w:jc w:val="right"/>
              <w:spacing w:after="0"/>
              <w:rPr>
                <w:rFonts w:ascii="Arial" w:cs="Arial" w:eastAsia="Arial" w:hAnsi="Arial"/>
                <w:sz w:val="20"/>
                <w:szCs w:val="20"/>
                <w:color w:val="0000EE"/>
              </w:rPr>
            </w:pPr>
            <w:hyperlink w:anchor="page4">
              <w:r>
                <w:rPr>
                  <w:rFonts w:ascii="Arial" w:cs="Arial" w:eastAsia="Arial" w:hAnsi="Arial"/>
                  <w:sz w:val="20"/>
                  <w:szCs w:val="20"/>
                  <w:color w:val="0000EE"/>
                </w:rPr>
                <w:t>iii</w:t>
              </w:r>
            </w:hyperlink>
          </w:p>
        </w:tc>
        <w:tc>
          <w:tcPr>
            <w:tcW w:w="20" w:type="dxa"/>
            <w:vAlign w:val="bottom"/>
            <w:tcBorders>
              <w:bottom w:val="single" w:sz="8" w:color="BFE4FF"/>
            </w:tcBorders>
            <w:shd w:val="clear" w:color="auto" w:fill="BFE4FF"/>
          </w:tcPr>
          <w:p>
            <w:pPr>
              <w:spacing w:after="0"/>
              <w:rPr>
                <w:sz w:val="24"/>
                <w:szCs w:val="24"/>
                <w:color w:val="auto"/>
              </w:rPr>
            </w:pPr>
          </w:p>
        </w:tc>
      </w:tr>
      <w:tr>
        <w:trPr>
          <w:trHeight w:val="216"/>
        </w:trPr>
        <w:tc>
          <w:tcPr>
            <w:tcW w:w="11200" w:type="dxa"/>
            <w:vAlign w:val="bottom"/>
          </w:tcPr>
          <w:p>
            <w:pPr>
              <w:ind w:left="40"/>
              <w:spacing w:after="0" w:line="216" w:lineRule="exact"/>
              <w:rPr>
                <w:sz w:val="20"/>
                <w:szCs w:val="20"/>
                <w:color w:val="auto"/>
              </w:rPr>
            </w:pPr>
            <w:r>
              <w:rPr>
                <w:rFonts w:ascii="Arial" w:cs="Arial" w:eastAsia="Arial" w:hAnsi="Arial"/>
                <w:sz w:val="20"/>
                <w:szCs w:val="20"/>
                <w:color w:val="auto"/>
              </w:rPr>
              <w:t>GENERAL INFORMATION</w:t>
            </w:r>
          </w:p>
        </w:tc>
        <w:tc>
          <w:tcPr>
            <w:tcW w:w="200" w:type="dxa"/>
            <w:vAlign w:val="bottom"/>
            <w:gridSpan w:val="3"/>
          </w:tcPr>
          <w:p>
            <w:pPr>
              <w:jc w:val="right"/>
              <w:spacing w:after="0" w:line="216" w:lineRule="exact"/>
              <w:rPr>
                <w:rFonts w:ascii="Arial" w:cs="Arial" w:eastAsia="Arial" w:hAnsi="Arial"/>
                <w:sz w:val="20"/>
                <w:szCs w:val="20"/>
                <w:color w:val="0000EE"/>
              </w:rPr>
            </w:pPr>
            <w:hyperlink w:anchor="page5">
              <w:r>
                <w:rPr>
                  <w:rFonts w:ascii="Arial" w:cs="Arial" w:eastAsia="Arial" w:hAnsi="Arial"/>
                  <w:sz w:val="20"/>
                  <w:szCs w:val="20"/>
                  <w:color w:val="0000EE"/>
                </w:rPr>
                <w:t>1</w:t>
              </w:r>
            </w:hyperlink>
          </w:p>
        </w:tc>
        <w:tc>
          <w:tcPr>
            <w:tcW w:w="20" w:type="dxa"/>
            <w:vAlign w:val="bottom"/>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120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Commonly Asked Questions and Answers</w:t>
            </w:r>
          </w:p>
        </w:tc>
        <w:tc>
          <w:tcPr>
            <w:tcW w:w="200" w:type="dxa"/>
            <w:vAlign w:val="bottom"/>
            <w:gridSpan w:val="3"/>
            <w:shd w:val="clear" w:color="auto" w:fill="BFE4FF"/>
          </w:tcPr>
          <w:p>
            <w:pPr>
              <w:jc w:val="right"/>
              <w:spacing w:after="0" w:line="216" w:lineRule="exact"/>
              <w:rPr>
                <w:rFonts w:ascii="Arial" w:cs="Arial" w:eastAsia="Arial" w:hAnsi="Arial"/>
                <w:sz w:val="20"/>
                <w:szCs w:val="20"/>
                <w:color w:val="0000EE"/>
              </w:rPr>
            </w:pPr>
            <w:hyperlink w:anchor="page6">
              <w:r>
                <w:rPr>
                  <w:rFonts w:ascii="Arial" w:cs="Arial" w:eastAsia="Arial" w:hAnsi="Arial"/>
                  <w:sz w:val="20"/>
                  <w:szCs w:val="20"/>
                  <w:color w:val="0000EE"/>
                </w:rPr>
                <w:t>1</w:t>
              </w:r>
            </w:hyperlink>
          </w:p>
        </w:tc>
        <w:tc>
          <w:tcPr>
            <w:tcW w:w="20" w:type="dxa"/>
            <w:vAlign w:val="bottom"/>
            <w:shd w:val="clear" w:color="auto" w:fill="BFE4FF"/>
          </w:tcPr>
          <w:p>
            <w:pPr>
              <w:spacing w:after="0"/>
              <w:rPr>
                <w:sz w:val="18"/>
                <w:szCs w:val="18"/>
                <w:color w:val="auto"/>
              </w:rPr>
            </w:pPr>
          </w:p>
        </w:tc>
      </w:tr>
      <w:tr>
        <w:trPr>
          <w:trHeight w:val="48"/>
        </w:trPr>
        <w:tc>
          <w:tcPr>
            <w:tcW w:w="1120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11200" w:type="dxa"/>
            <w:vAlign w:val="bottom"/>
          </w:tcPr>
          <w:p>
            <w:pPr>
              <w:ind w:left="40"/>
              <w:spacing w:after="0" w:line="216" w:lineRule="exact"/>
              <w:rPr>
                <w:sz w:val="20"/>
                <w:szCs w:val="20"/>
                <w:color w:val="auto"/>
              </w:rPr>
            </w:pPr>
            <w:r>
              <w:rPr>
                <w:rFonts w:ascii="Arial" w:cs="Arial" w:eastAsia="Arial" w:hAnsi="Arial"/>
                <w:sz w:val="20"/>
                <w:szCs w:val="20"/>
                <w:color w:val="auto"/>
              </w:rPr>
              <w:t>PROPOSALS</w:t>
            </w:r>
          </w:p>
        </w:tc>
        <w:tc>
          <w:tcPr>
            <w:tcW w:w="200" w:type="dxa"/>
            <w:vAlign w:val="bottom"/>
            <w:gridSpan w:val="3"/>
          </w:tcPr>
          <w:p>
            <w:pPr>
              <w:jc w:val="right"/>
              <w:spacing w:after="0" w:line="216" w:lineRule="exact"/>
              <w:rPr>
                <w:rFonts w:ascii="Arial" w:cs="Arial" w:eastAsia="Arial" w:hAnsi="Arial"/>
                <w:sz w:val="20"/>
                <w:szCs w:val="20"/>
                <w:color w:val="0000EE"/>
              </w:rPr>
            </w:pPr>
            <w:hyperlink w:anchor="page11">
              <w:r>
                <w:rPr>
                  <w:rFonts w:ascii="Arial" w:cs="Arial" w:eastAsia="Arial" w:hAnsi="Arial"/>
                  <w:sz w:val="20"/>
                  <w:szCs w:val="20"/>
                  <w:color w:val="0000EE"/>
                </w:rPr>
                <w:t>7</w:t>
              </w:r>
            </w:hyperlink>
          </w:p>
        </w:tc>
        <w:tc>
          <w:tcPr>
            <w:tcW w:w="20" w:type="dxa"/>
            <w:vAlign w:val="bottom"/>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120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1. Election of Directors</w:t>
            </w:r>
          </w:p>
        </w:tc>
        <w:tc>
          <w:tcPr>
            <w:tcW w:w="200" w:type="dxa"/>
            <w:vAlign w:val="bottom"/>
            <w:gridSpan w:val="3"/>
            <w:shd w:val="clear" w:color="auto" w:fill="BFE4FF"/>
          </w:tcPr>
          <w:p>
            <w:pPr>
              <w:jc w:val="right"/>
              <w:spacing w:after="0" w:line="216" w:lineRule="exact"/>
              <w:rPr>
                <w:rFonts w:ascii="Arial" w:cs="Arial" w:eastAsia="Arial" w:hAnsi="Arial"/>
                <w:sz w:val="20"/>
                <w:szCs w:val="20"/>
                <w:color w:val="0000EE"/>
              </w:rPr>
            </w:pPr>
            <w:hyperlink w:anchor="page12">
              <w:r>
                <w:rPr>
                  <w:rFonts w:ascii="Arial" w:cs="Arial" w:eastAsia="Arial" w:hAnsi="Arial"/>
                  <w:sz w:val="20"/>
                  <w:szCs w:val="20"/>
                  <w:color w:val="0000EE"/>
                </w:rPr>
                <w:t>7</w:t>
              </w:r>
            </w:hyperlink>
          </w:p>
        </w:tc>
        <w:tc>
          <w:tcPr>
            <w:tcW w:w="20" w:type="dxa"/>
            <w:vAlign w:val="bottom"/>
            <w:shd w:val="clear" w:color="auto" w:fill="BFE4FF"/>
          </w:tcPr>
          <w:p>
            <w:pPr>
              <w:spacing w:after="0"/>
              <w:rPr>
                <w:sz w:val="18"/>
                <w:szCs w:val="18"/>
                <w:color w:val="auto"/>
              </w:rPr>
            </w:pPr>
          </w:p>
        </w:tc>
      </w:tr>
      <w:tr>
        <w:trPr>
          <w:trHeight w:val="48"/>
        </w:trPr>
        <w:tc>
          <w:tcPr>
            <w:tcW w:w="1120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11200" w:type="dxa"/>
            <w:vAlign w:val="bottom"/>
          </w:tcPr>
          <w:p>
            <w:pPr>
              <w:ind w:left="240"/>
              <w:spacing w:after="0" w:line="216" w:lineRule="exact"/>
              <w:rPr>
                <w:sz w:val="20"/>
                <w:szCs w:val="20"/>
                <w:color w:val="auto"/>
              </w:rPr>
            </w:pPr>
            <w:r>
              <w:rPr>
                <w:rFonts w:ascii="Arial" w:cs="Arial" w:eastAsia="Arial" w:hAnsi="Arial"/>
                <w:sz w:val="20"/>
                <w:szCs w:val="20"/>
                <w:color w:val="auto"/>
              </w:rPr>
              <w:t>2. Ratification of Appointment of Independent Auditor</w:t>
            </w:r>
          </w:p>
        </w:tc>
        <w:tc>
          <w:tcPr>
            <w:tcW w:w="200" w:type="dxa"/>
            <w:vAlign w:val="bottom"/>
            <w:tcBorders>
              <w:bottom w:val="single" w:sz="8" w:color="0000EE"/>
            </w:tcBorders>
            <w:gridSpan w:val="3"/>
          </w:tcPr>
          <w:p>
            <w:pPr>
              <w:jc w:val="right"/>
              <w:spacing w:after="0" w:line="216" w:lineRule="exact"/>
              <w:rPr>
                <w:rFonts w:ascii="Arial" w:cs="Arial" w:eastAsia="Arial" w:hAnsi="Arial"/>
                <w:sz w:val="20"/>
                <w:szCs w:val="20"/>
                <w:color w:val="0000EE"/>
                <w:w w:val="80"/>
              </w:rPr>
            </w:pPr>
            <w:hyperlink w:anchor="page16">
              <w:r>
                <w:rPr>
                  <w:rFonts w:ascii="Arial" w:cs="Arial" w:eastAsia="Arial" w:hAnsi="Arial"/>
                  <w:sz w:val="20"/>
                  <w:szCs w:val="20"/>
                  <w:color w:val="0000EE"/>
                  <w:w w:val="80"/>
                </w:rPr>
                <w:t>12</w:t>
              </w:r>
            </w:hyperlink>
          </w:p>
        </w:tc>
        <w:tc>
          <w:tcPr>
            <w:tcW w:w="20" w:type="dxa"/>
            <w:vAlign w:val="bottom"/>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3. Approval of Amendment to Incentive Plan</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18">
              <w:r>
                <w:rPr>
                  <w:rFonts w:ascii="Arial" w:cs="Arial" w:eastAsia="Arial" w:hAnsi="Arial"/>
                  <w:sz w:val="20"/>
                  <w:szCs w:val="20"/>
                  <w:color w:val="0000EE"/>
                  <w:w w:val="80"/>
                </w:rPr>
                <w:t>14</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4. Other Matters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4">
              <w:r>
                <w:rPr>
                  <w:rFonts w:ascii="Arial" w:cs="Arial" w:eastAsia="Arial" w:hAnsi="Arial"/>
                  <w:sz w:val="20"/>
                  <w:szCs w:val="20"/>
                  <w:color w:val="0000EE"/>
                  <w:w w:val="80"/>
                </w:rPr>
                <w:t>19</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40"/>
              <w:spacing w:after="0" w:line="216" w:lineRule="exact"/>
              <w:rPr>
                <w:sz w:val="20"/>
                <w:szCs w:val="20"/>
                <w:color w:val="auto"/>
              </w:rPr>
            </w:pPr>
            <w:r>
              <w:rPr>
                <w:rFonts w:ascii="Arial" w:cs="Arial" w:eastAsia="Arial" w:hAnsi="Arial"/>
                <w:sz w:val="20"/>
                <w:szCs w:val="20"/>
                <w:color w:val="auto"/>
              </w:rPr>
              <w:t>CORPORATE GOVERNANCE MATTERS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4">
              <w:r>
                <w:rPr>
                  <w:rFonts w:ascii="Arial" w:cs="Arial" w:eastAsia="Arial" w:hAnsi="Arial"/>
                  <w:sz w:val="20"/>
                  <w:szCs w:val="20"/>
                  <w:color w:val="0000EE"/>
                  <w:w w:val="80"/>
                </w:rPr>
                <w:t>20</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Controlled Company Status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5">
              <w:r>
                <w:rPr>
                  <w:rFonts w:ascii="Arial" w:cs="Arial" w:eastAsia="Arial" w:hAnsi="Arial"/>
                  <w:sz w:val="20"/>
                  <w:szCs w:val="20"/>
                  <w:color w:val="0000EE"/>
                  <w:w w:val="80"/>
                </w:rPr>
                <w:t>20</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 Independence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5">
              <w:r>
                <w:rPr>
                  <w:rFonts w:ascii="Arial" w:cs="Arial" w:eastAsia="Arial" w:hAnsi="Arial"/>
                  <w:sz w:val="20"/>
                  <w:szCs w:val="20"/>
                  <w:color w:val="0000EE"/>
                  <w:w w:val="80"/>
                </w:rPr>
                <w:t>20</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Executive Sessions of Non-Management Directors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5">
              <w:r>
                <w:rPr>
                  <w:rFonts w:ascii="Arial" w:cs="Arial" w:eastAsia="Arial" w:hAnsi="Arial"/>
                  <w:sz w:val="20"/>
                  <w:szCs w:val="20"/>
                  <w:color w:val="0000EE"/>
                  <w:w w:val="80"/>
                </w:rPr>
                <w:t>20</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Board of Directors Committee Membership and Meetings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5">
              <w:r>
                <w:rPr>
                  <w:rFonts w:ascii="Arial" w:cs="Arial" w:eastAsia="Arial" w:hAnsi="Arial"/>
                  <w:sz w:val="20"/>
                  <w:szCs w:val="20"/>
                  <w:color w:val="0000EE"/>
                  <w:w w:val="80"/>
                </w:rPr>
                <w:t>21</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Compensation Committee Interlocks and Insider Participation</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7">
              <w:r>
                <w:rPr>
                  <w:rFonts w:ascii="Arial" w:cs="Arial" w:eastAsia="Arial" w:hAnsi="Arial"/>
                  <w:sz w:val="20"/>
                  <w:szCs w:val="20"/>
                  <w:color w:val="0000EE"/>
                  <w:w w:val="80"/>
                </w:rPr>
                <w:t>22</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 Nominations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8">
              <w:r>
                <w:rPr>
                  <w:rFonts w:ascii="Arial" w:cs="Arial" w:eastAsia="Arial" w:hAnsi="Arial"/>
                  <w:sz w:val="20"/>
                  <w:szCs w:val="20"/>
                  <w:color w:val="0000EE"/>
                  <w:w w:val="80"/>
                </w:rPr>
                <w:t>23</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Board Leadership Structure and Role in Risk Oversight</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9">
              <w:r>
                <w:rPr>
                  <w:rFonts w:ascii="Arial" w:cs="Arial" w:eastAsia="Arial" w:hAnsi="Arial"/>
                  <w:sz w:val="20"/>
                  <w:szCs w:val="20"/>
                  <w:color w:val="0000EE"/>
                  <w:w w:val="80"/>
                </w:rPr>
                <w:t>24</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Communication with the Board of Directors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9">
              <w:r>
                <w:rPr>
                  <w:rFonts w:ascii="Arial" w:cs="Arial" w:eastAsia="Arial" w:hAnsi="Arial"/>
                  <w:sz w:val="20"/>
                  <w:szCs w:val="20"/>
                  <w:color w:val="0000EE"/>
                  <w:w w:val="80"/>
                </w:rPr>
                <w:t>25</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Director Compensation</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0">
              <w:r>
                <w:rPr>
                  <w:rFonts w:ascii="Arial" w:cs="Arial" w:eastAsia="Arial" w:hAnsi="Arial"/>
                  <w:sz w:val="20"/>
                  <w:szCs w:val="20"/>
                  <w:color w:val="0000EE"/>
                  <w:w w:val="80"/>
                </w:rPr>
                <w:t>25</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 Compensation Table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1">
              <w:r>
                <w:rPr>
                  <w:rFonts w:ascii="Arial" w:cs="Arial" w:eastAsia="Arial" w:hAnsi="Arial"/>
                  <w:sz w:val="20"/>
                  <w:szCs w:val="20"/>
                  <w:color w:val="0000EE"/>
                  <w:w w:val="80"/>
                </w:rPr>
                <w:t>26</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Directors’ Option Awards Outstanding Table</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1">
              <w:r>
                <w:rPr>
                  <w:rFonts w:ascii="Arial" w:cs="Arial" w:eastAsia="Arial" w:hAnsi="Arial"/>
                  <w:sz w:val="20"/>
                  <w:szCs w:val="20"/>
                  <w:color w:val="0000EE"/>
                  <w:w w:val="80"/>
                </w:rPr>
                <w:t>27</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Corporate Governance Guidelines and Code of Ethics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2">
              <w:r>
                <w:rPr>
                  <w:rFonts w:ascii="Arial" w:cs="Arial" w:eastAsia="Arial" w:hAnsi="Arial"/>
                  <w:sz w:val="20"/>
                  <w:szCs w:val="20"/>
                  <w:color w:val="0000EE"/>
                  <w:w w:val="80"/>
                </w:rPr>
                <w:t>27</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Certain Relationships and Related Party Transactions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2">
              <w:r>
                <w:rPr>
                  <w:rFonts w:ascii="Arial" w:cs="Arial" w:eastAsia="Arial" w:hAnsi="Arial"/>
                  <w:sz w:val="20"/>
                  <w:szCs w:val="20"/>
                  <w:color w:val="0000EE"/>
                  <w:w w:val="80"/>
                </w:rPr>
                <w:t>27</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Report of the Audit Committee of the Board of Directors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3">
              <w:r>
                <w:rPr>
                  <w:rFonts w:ascii="Arial" w:cs="Arial" w:eastAsia="Arial" w:hAnsi="Arial"/>
                  <w:sz w:val="20"/>
                  <w:szCs w:val="20"/>
                  <w:color w:val="0000EE"/>
                  <w:w w:val="80"/>
                </w:rPr>
                <w:t>29</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40"/>
              <w:spacing w:after="0" w:line="216" w:lineRule="exact"/>
              <w:rPr>
                <w:sz w:val="20"/>
                <w:szCs w:val="20"/>
                <w:color w:val="auto"/>
              </w:rPr>
            </w:pPr>
            <w:r>
              <w:rPr>
                <w:rFonts w:ascii="Arial" w:cs="Arial" w:eastAsia="Arial" w:hAnsi="Arial"/>
                <w:sz w:val="20"/>
                <w:szCs w:val="20"/>
                <w:color w:val="auto"/>
              </w:rPr>
              <w:t>EXECUTIVE OFFICERS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4">
              <w:r>
                <w:rPr>
                  <w:rFonts w:ascii="Arial" w:cs="Arial" w:eastAsia="Arial" w:hAnsi="Arial"/>
                  <w:sz w:val="20"/>
                  <w:szCs w:val="20"/>
                  <w:color w:val="0000EE"/>
                  <w:w w:val="80"/>
                </w:rPr>
                <w:t>30</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40"/>
              <w:spacing w:after="0" w:line="216" w:lineRule="exact"/>
              <w:rPr>
                <w:sz w:val="20"/>
                <w:szCs w:val="20"/>
                <w:color w:val="auto"/>
              </w:rPr>
            </w:pPr>
            <w:r>
              <w:rPr>
                <w:rFonts w:ascii="Arial" w:cs="Arial" w:eastAsia="Arial" w:hAnsi="Arial"/>
                <w:sz w:val="20"/>
                <w:szCs w:val="20"/>
                <w:color w:val="auto"/>
              </w:rPr>
              <w:t>EXECUTIVE COMPENSATION</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5">
              <w:r>
                <w:rPr>
                  <w:rFonts w:ascii="Arial" w:cs="Arial" w:eastAsia="Arial" w:hAnsi="Arial"/>
                  <w:sz w:val="20"/>
                  <w:szCs w:val="20"/>
                  <w:color w:val="0000EE"/>
                  <w:w w:val="80"/>
                </w:rPr>
                <w:t>31</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Compensation Discussion and Analysis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6">
              <w:r>
                <w:rPr>
                  <w:rFonts w:ascii="Arial" w:cs="Arial" w:eastAsia="Arial" w:hAnsi="Arial"/>
                  <w:sz w:val="20"/>
                  <w:szCs w:val="20"/>
                  <w:color w:val="0000EE"/>
                  <w:w w:val="80"/>
                </w:rPr>
                <w:t>31</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20"/>
              <w:spacing w:after="0" w:line="216" w:lineRule="exact"/>
              <w:rPr>
                <w:sz w:val="20"/>
                <w:szCs w:val="20"/>
                <w:color w:val="auto"/>
              </w:rPr>
            </w:pPr>
            <w:r>
              <w:rPr>
                <w:rFonts w:ascii="Arial" w:cs="Arial" w:eastAsia="Arial" w:hAnsi="Arial"/>
                <w:sz w:val="20"/>
                <w:szCs w:val="20"/>
                <w:color w:val="auto"/>
              </w:rPr>
              <w:t>Tax and Accounting Implications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5">
              <w:r>
                <w:rPr>
                  <w:rFonts w:ascii="Arial" w:cs="Arial" w:eastAsia="Arial" w:hAnsi="Arial"/>
                  <w:sz w:val="20"/>
                  <w:szCs w:val="20"/>
                  <w:color w:val="0000EE"/>
                  <w:w w:val="80"/>
                </w:rPr>
                <w:t>41</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Report of the Compensation Committee of the Board of Directors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6">
              <w:r>
                <w:rPr>
                  <w:rFonts w:ascii="Arial" w:cs="Arial" w:eastAsia="Arial" w:hAnsi="Arial"/>
                  <w:sz w:val="20"/>
                  <w:szCs w:val="20"/>
                  <w:color w:val="0000EE"/>
                  <w:w w:val="80"/>
                </w:rPr>
                <w:t>42</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Summary Compensation Table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7">
              <w:r>
                <w:rPr>
                  <w:rFonts w:ascii="Arial" w:cs="Arial" w:eastAsia="Arial" w:hAnsi="Arial"/>
                  <w:sz w:val="20"/>
                  <w:szCs w:val="20"/>
                  <w:color w:val="0000EE"/>
                  <w:w w:val="80"/>
                </w:rPr>
                <w:t>43</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Change in Pension Value and Nonqualified Deferred Compensation Earnings Table</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9">
              <w:r>
                <w:rPr>
                  <w:rFonts w:ascii="Arial" w:cs="Arial" w:eastAsia="Arial" w:hAnsi="Arial"/>
                  <w:sz w:val="20"/>
                  <w:szCs w:val="20"/>
                  <w:color w:val="0000EE"/>
                  <w:w w:val="80"/>
                </w:rPr>
                <w:t>44</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20"/>
              <w:spacing w:after="0" w:line="216" w:lineRule="exact"/>
              <w:rPr>
                <w:sz w:val="20"/>
                <w:szCs w:val="20"/>
                <w:color w:val="auto"/>
              </w:rPr>
            </w:pPr>
            <w:r>
              <w:rPr>
                <w:rFonts w:ascii="Arial" w:cs="Arial" w:eastAsia="Arial" w:hAnsi="Arial"/>
                <w:sz w:val="20"/>
                <w:szCs w:val="20"/>
                <w:color w:val="auto"/>
              </w:rPr>
              <w:t>All Other Compensation Table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9">
              <w:r>
                <w:rPr>
                  <w:rFonts w:ascii="Arial" w:cs="Arial" w:eastAsia="Arial" w:hAnsi="Arial"/>
                  <w:sz w:val="20"/>
                  <w:szCs w:val="20"/>
                  <w:color w:val="0000EE"/>
                  <w:w w:val="80"/>
                </w:rPr>
                <w:t>44</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Grants of Plan-Based Awards during Fiscal 2015</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50">
              <w:r>
                <w:rPr>
                  <w:rFonts w:ascii="Arial" w:cs="Arial" w:eastAsia="Arial" w:hAnsi="Arial"/>
                  <w:sz w:val="20"/>
                  <w:szCs w:val="20"/>
                  <w:color w:val="0000EE"/>
                  <w:w w:val="80"/>
                </w:rPr>
                <w:t>45</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Outstanding Equity Awards at Fiscal 2015 Year End</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50">
              <w:r>
                <w:rPr>
                  <w:rFonts w:ascii="Arial" w:cs="Arial" w:eastAsia="Arial" w:hAnsi="Arial"/>
                  <w:sz w:val="20"/>
                  <w:szCs w:val="20"/>
                  <w:color w:val="0000EE"/>
                  <w:w w:val="80"/>
                </w:rPr>
                <w:t>46</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Option Exercises and Stock Vested for Fiscal 2015</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51">
              <w:r>
                <w:rPr>
                  <w:rFonts w:ascii="Arial" w:cs="Arial" w:eastAsia="Arial" w:hAnsi="Arial"/>
                  <w:sz w:val="20"/>
                  <w:szCs w:val="20"/>
                  <w:color w:val="0000EE"/>
                  <w:w w:val="80"/>
                </w:rPr>
                <w:t>46</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Pension Benefits for Fiscal 2015</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52">
              <w:r>
                <w:rPr>
                  <w:rFonts w:ascii="Arial" w:cs="Arial" w:eastAsia="Arial" w:hAnsi="Arial"/>
                  <w:sz w:val="20"/>
                  <w:szCs w:val="20"/>
                  <w:color w:val="0000EE"/>
                  <w:w w:val="80"/>
                </w:rPr>
                <w:t>47</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Nonqualified Deferred Compensation for Fiscal 2015</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53">
              <w:r>
                <w:rPr>
                  <w:rFonts w:ascii="Arial" w:cs="Arial" w:eastAsia="Arial" w:hAnsi="Arial"/>
                  <w:sz w:val="20"/>
                  <w:szCs w:val="20"/>
                  <w:color w:val="0000EE"/>
                  <w:w w:val="80"/>
                </w:rPr>
                <w:t>48</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Equity Compensation Plans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54">
              <w:r>
                <w:rPr>
                  <w:rFonts w:ascii="Arial" w:cs="Arial" w:eastAsia="Arial" w:hAnsi="Arial"/>
                  <w:sz w:val="20"/>
                  <w:szCs w:val="20"/>
                  <w:color w:val="0000EE"/>
                  <w:w w:val="80"/>
                </w:rPr>
                <w:t>49</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Benefits upon Termination or Change in Control</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55">
              <w:r>
                <w:rPr>
                  <w:rFonts w:ascii="Arial" w:cs="Arial" w:eastAsia="Arial" w:hAnsi="Arial"/>
                  <w:sz w:val="20"/>
                  <w:szCs w:val="20"/>
                  <w:color w:val="0000EE"/>
                  <w:w w:val="80"/>
                </w:rPr>
                <w:t>50</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40"/>
              <w:spacing w:after="0" w:line="216" w:lineRule="exact"/>
              <w:rPr>
                <w:sz w:val="20"/>
                <w:szCs w:val="20"/>
                <w:color w:val="auto"/>
              </w:rPr>
            </w:pPr>
            <w:r>
              <w:rPr>
                <w:rFonts w:ascii="Arial" w:cs="Arial" w:eastAsia="Arial" w:hAnsi="Arial"/>
                <w:sz w:val="20"/>
                <w:szCs w:val="20"/>
                <w:color w:val="auto"/>
              </w:rPr>
              <w:t>STOCK OWNERSHIP</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56">
              <w:r>
                <w:rPr>
                  <w:rFonts w:ascii="Arial" w:cs="Arial" w:eastAsia="Arial" w:hAnsi="Arial"/>
                  <w:sz w:val="20"/>
                  <w:szCs w:val="20"/>
                  <w:color w:val="0000EE"/>
                  <w:w w:val="80"/>
                </w:rPr>
                <w:t>52</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Principal Stockholders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57">
              <w:r>
                <w:rPr>
                  <w:rFonts w:ascii="Arial" w:cs="Arial" w:eastAsia="Arial" w:hAnsi="Arial"/>
                  <w:sz w:val="20"/>
                  <w:szCs w:val="20"/>
                  <w:color w:val="0000EE"/>
                  <w:w w:val="80"/>
                </w:rPr>
                <w:t>52</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Security Ownership of Management</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59">
              <w:r>
                <w:rPr>
                  <w:rFonts w:ascii="Arial" w:cs="Arial" w:eastAsia="Arial" w:hAnsi="Arial"/>
                  <w:sz w:val="20"/>
                  <w:szCs w:val="20"/>
                  <w:color w:val="0000EE"/>
                  <w:w w:val="80"/>
                </w:rPr>
                <w:t>55</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Section 16(a) Beneficial Ownership Reporting Compliance</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61">
              <w:r>
                <w:rPr>
                  <w:rFonts w:ascii="Arial" w:cs="Arial" w:eastAsia="Arial" w:hAnsi="Arial"/>
                  <w:sz w:val="20"/>
                  <w:szCs w:val="20"/>
                  <w:color w:val="0000EE"/>
                  <w:w w:val="80"/>
                </w:rPr>
                <w:t>57</w:t>
              </w:r>
            </w:hyperlink>
          </w:p>
        </w:tc>
        <w:tc>
          <w:tcPr>
            <w:tcW w:w="20" w:type="dxa"/>
            <w:vAlign w:val="bottom"/>
            <w:tcBorders>
              <w:top w:val="single" w:sz="8" w:color="BFE4FF"/>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873"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873"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329"/>
        </w:trPr>
        <w:tc>
          <w:tcPr>
            <w:tcW w:w="9180" w:type="dxa"/>
            <w:vAlign w:val="bottom"/>
          </w:tcPr>
          <w:p>
            <w:pPr>
              <w:ind w:left="4040"/>
              <w:spacing w:after="0"/>
              <w:rPr>
                <w:sz w:val="20"/>
                <w:szCs w:val="20"/>
                <w:color w:val="auto"/>
              </w:rPr>
            </w:pPr>
            <w:r>
              <w:rPr>
                <w:rFonts w:ascii="Arial" w:cs="Arial" w:eastAsia="Arial" w:hAnsi="Arial"/>
                <w:sz w:val="25"/>
                <w:szCs w:val="25"/>
                <w:b w:val="1"/>
                <w:bCs w:val="1"/>
                <w:color w:val="auto"/>
              </w:rPr>
              <w:t>Table of Contents (Continued)</w:t>
            </w:r>
          </w:p>
        </w:tc>
        <w:tc>
          <w:tcPr>
            <w:tcW w:w="2180" w:type="dxa"/>
            <w:vAlign w:val="bottom"/>
          </w:tcPr>
          <w:p>
            <w:pPr>
              <w:spacing w:after="0"/>
              <w:rPr>
                <w:sz w:val="24"/>
                <w:szCs w:val="24"/>
                <w:color w:val="auto"/>
              </w:rPr>
            </w:pPr>
          </w:p>
        </w:tc>
      </w:tr>
      <w:tr>
        <w:trPr>
          <w:trHeight w:val="474"/>
        </w:trPr>
        <w:tc>
          <w:tcPr>
            <w:tcW w:w="9180" w:type="dxa"/>
            <w:vAlign w:val="bottom"/>
          </w:tcPr>
          <w:p>
            <w:pPr>
              <w:spacing w:after="0"/>
              <w:rPr>
                <w:sz w:val="20"/>
                <w:szCs w:val="20"/>
                <w:color w:val="auto"/>
              </w:rPr>
            </w:pPr>
            <w:r>
              <w:rPr>
                <w:rFonts w:ascii="Arial" w:cs="Arial" w:eastAsia="Arial" w:hAnsi="Arial"/>
                <w:sz w:val="20"/>
                <w:szCs w:val="20"/>
                <w:color w:val="auto"/>
              </w:rPr>
              <w:t>APPENDIX A - SECOND AMENDMENT TO OIL-DRI CORPORATION OF AMERICA</w:t>
            </w:r>
          </w:p>
        </w:tc>
        <w:tc>
          <w:tcPr>
            <w:tcW w:w="2180" w:type="dxa"/>
            <w:vAlign w:val="bottom"/>
          </w:tcPr>
          <w:p>
            <w:pPr>
              <w:spacing w:after="0"/>
              <w:rPr>
                <w:sz w:val="24"/>
                <w:szCs w:val="24"/>
                <w:color w:val="auto"/>
              </w:rPr>
            </w:pPr>
          </w:p>
        </w:tc>
      </w:tr>
      <w:tr>
        <w:trPr>
          <w:trHeight w:val="250"/>
        </w:trPr>
        <w:tc>
          <w:tcPr>
            <w:tcW w:w="9180" w:type="dxa"/>
            <w:vAlign w:val="bottom"/>
          </w:tcPr>
          <w:p>
            <w:pPr>
              <w:spacing w:after="0"/>
              <w:rPr>
                <w:sz w:val="20"/>
                <w:szCs w:val="20"/>
                <w:color w:val="auto"/>
              </w:rPr>
            </w:pPr>
            <w:r>
              <w:rPr>
                <w:rFonts w:ascii="Arial" w:cs="Arial" w:eastAsia="Arial" w:hAnsi="Arial"/>
                <w:sz w:val="20"/>
                <w:szCs w:val="20"/>
                <w:color w:val="auto"/>
              </w:rPr>
              <w:t>2006 LONG TERM INCENTIVE PLAN</w:t>
            </w:r>
          </w:p>
        </w:tc>
        <w:tc>
          <w:tcPr>
            <w:tcW w:w="2180" w:type="dxa"/>
            <w:vAlign w:val="bottom"/>
          </w:tcPr>
          <w:p>
            <w:pPr>
              <w:ind w:left="1860"/>
              <w:spacing w:after="0"/>
              <w:rPr>
                <w:rFonts w:ascii="Arial" w:cs="Arial" w:eastAsia="Arial" w:hAnsi="Arial"/>
                <w:sz w:val="20"/>
                <w:szCs w:val="20"/>
                <w:u w:val="single" w:color="auto"/>
                <w:color w:val="0000EE"/>
                <w:w w:val="96"/>
              </w:rPr>
            </w:pPr>
            <w:hyperlink w:anchor="page62">
              <w:r>
                <w:rPr>
                  <w:rFonts w:ascii="Arial" w:cs="Arial" w:eastAsia="Arial" w:hAnsi="Arial"/>
                  <w:sz w:val="20"/>
                  <w:szCs w:val="20"/>
                  <w:u w:val="single" w:color="auto"/>
                  <w:color w:val="0000EE"/>
                  <w:w w:val="96"/>
                </w:rPr>
                <w:t>A-1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-310515</wp:posOffset>
            </wp:positionV>
            <wp:extent cx="724662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80" w:top="873" w:right="259" w:bottom="1440" w:gutter="0" w:footer="0" w:header="0"/>
        </w:sectPr>
      </w:pPr>
    </w:p>
    <w:bookmarkStart w:id="4" w:name="page5"/>
    <w:bookmarkEnd w:id="4"/>
    <w:p>
      <w:pPr>
        <w:ind w:left="3700"/>
        <w:spacing w:after="0"/>
        <w:rPr>
          <w:sz w:val="20"/>
          <w:szCs w:val="20"/>
          <w:color w:val="auto"/>
        </w:rPr>
      </w:pPr>
      <w:r>
        <w:rPr>
          <w:rFonts w:ascii="Arial" w:cs="Arial" w:eastAsia="Arial" w:hAnsi="Arial"/>
          <w:sz w:val="22"/>
          <w:szCs w:val="22"/>
          <w:b w:val="1"/>
          <w:bCs w:val="1"/>
          <w:color w:val="auto"/>
        </w:rPr>
        <w:t>OIL-DRI CORPORATION OF AMERICA</w:t>
      </w:r>
    </w:p>
    <w:p>
      <w:pPr>
        <w:spacing w:after="0" w:line="179"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December 8, 2015</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16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2015 Annual Meeting of Stockholders of Oil-Dri Corporation of America, a Delaware corporation (the “Company”), will be held at 9:30 a.m., local time, on Tuesday, December 8, 2015, at The Standard Club, located at 320 South Plymouth Court, Chicago, Illinois 60604-3802.</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meeting will be held for the following purposes:</w:t>
      </w:r>
    </w:p>
    <w:p>
      <w:pPr>
        <w:spacing w:after="0" w:line="179" w:lineRule="exact"/>
        <w:rPr>
          <w:sz w:val="20"/>
          <w:szCs w:val="20"/>
          <w:color w:val="auto"/>
        </w:rPr>
      </w:pPr>
    </w:p>
    <w:p>
      <w:pPr>
        <w:ind w:left="1040" w:hanging="384"/>
        <w:spacing w:after="0"/>
        <w:tabs>
          <w:tab w:leader="none" w:pos="10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elect eight directors;</w:t>
      </w:r>
    </w:p>
    <w:p>
      <w:pPr>
        <w:spacing w:after="0" w:line="179" w:lineRule="exact"/>
        <w:rPr>
          <w:rFonts w:ascii="Arial" w:cs="Arial" w:eastAsia="Arial" w:hAnsi="Arial"/>
          <w:sz w:val="22"/>
          <w:szCs w:val="22"/>
          <w:color w:val="auto"/>
        </w:rPr>
      </w:pPr>
    </w:p>
    <w:p>
      <w:pPr>
        <w:ind w:firstLine="656"/>
        <w:spacing w:after="0" w:line="263" w:lineRule="auto"/>
        <w:tabs>
          <w:tab w:leader="none" w:pos="1123"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ratify the appointment of Grant Thornton LLP as the Company’s independent auditor for the fiscal year ending July 31, 2016;</w:t>
      </w:r>
    </w:p>
    <w:p>
      <w:pPr>
        <w:spacing w:after="0" w:line="134" w:lineRule="exact"/>
        <w:rPr>
          <w:rFonts w:ascii="Arial" w:cs="Arial" w:eastAsia="Arial" w:hAnsi="Arial"/>
          <w:sz w:val="22"/>
          <w:szCs w:val="22"/>
          <w:color w:val="auto"/>
        </w:rPr>
      </w:pPr>
    </w:p>
    <w:p>
      <w:pPr>
        <w:ind w:firstLine="656"/>
        <w:spacing w:after="0" w:line="263" w:lineRule="auto"/>
        <w:tabs>
          <w:tab w:leader="none" w:pos="1159"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approve an amendment to the Oil-Dri Corporation of America 2006 Long Term Incentive Plan to amend and approve the performance measures pursuant to which performance-based awards may be based; and</w:t>
      </w:r>
    </w:p>
    <w:p>
      <w:pPr>
        <w:spacing w:after="0" w:line="134" w:lineRule="exact"/>
        <w:rPr>
          <w:rFonts w:ascii="Arial" w:cs="Arial" w:eastAsia="Arial" w:hAnsi="Arial"/>
          <w:sz w:val="22"/>
          <w:szCs w:val="22"/>
          <w:color w:val="auto"/>
        </w:rPr>
      </w:pPr>
    </w:p>
    <w:p>
      <w:pPr>
        <w:ind w:left="1040" w:hanging="384"/>
        <w:spacing w:after="0"/>
        <w:tabs>
          <w:tab w:leader="none" w:pos="10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and any adjournment thereof.</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Board of Directors has determined that only holders of record of outstanding shares of Common Stock and Class B Stock at the close of business on Tuesday, October 13, 2015, are entitled to notice of, and to vote at, the meeting and any adjournment thereof.</w:t>
      </w:r>
    </w:p>
    <w:p>
      <w:pPr>
        <w:spacing w:after="0" w:line="1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Your vote is very important. Whether or not you intend to be present at the meeting,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further information relating to the meeting, please see the following pages.</w:t>
      </w:r>
    </w:p>
    <w:p>
      <w:pPr>
        <w:spacing w:after="0" w:line="32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196215</wp:posOffset>
            </wp:positionV>
            <wp:extent cx="12522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2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DOUGLAS A. GRAHAM</w:t>
      </w:r>
    </w:p>
    <w:p>
      <w:pPr>
        <w:spacing w:after="0" w:line="44" w:lineRule="exact"/>
        <w:rPr>
          <w:sz w:val="20"/>
          <w:szCs w:val="20"/>
          <w:color w:val="auto"/>
        </w:rPr>
      </w:pPr>
    </w:p>
    <w:p>
      <w:pPr>
        <w:ind w:left="6660"/>
        <w:spacing w:after="0"/>
        <w:rPr>
          <w:sz w:val="20"/>
          <w:szCs w:val="20"/>
          <w:color w:val="auto"/>
        </w:rPr>
      </w:pPr>
      <w:r>
        <w:rPr>
          <w:rFonts w:ascii="Arial" w:cs="Arial" w:eastAsia="Arial" w:hAnsi="Arial"/>
          <w:sz w:val="22"/>
          <w:szCs w:val="22"/>
          <w:i w:val="1"/>
          <w:iCs w:val="1"/>
          <w:color w:val="auto"/>
        </w:rPr>
        <w:t>Secretary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October 28, 2015</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774" w:right="239" w:bottom="1440" w:gutter="0" w:footer="0" w:header="0"/>
        </w:sectPr>
      </w:pPr>
    </w:p>
    <w:bookmarkStart w:id="5" w:name="page6"/>
    <w:bookmarkEnd w:id="5"/>
    <w:p>
      <w:pPr>
        <w:ind w:left="3700"/>
        <w:spacing w:after="0"/>
        <w:rPr>
          <w:sz w:val="20"/>
          <w:szCs w:val="20"/>
          <w:color w:val="auto"/>
        </w:rPr>
      </w:pPr>
      <w:r>
        <w:rPr>
          <w:rFonts w:ascii="Arial" w:cs="Arial" w:eastAsia="Arial" w:hAnsi="Arial"/>
          <w:sz w:val="22"/>
          <w:szCs w:val="22"/>
          <w:b w:val="1"/>
          <w:bCs w:val="1"/>
          <w:color w:val="auto"/>
        </w:rPr>
        <w:t>OIL-DRI CORPORATION OF AMERICA</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410 North Michigan Avenue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 400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Chicago, Illinois 60611-4213</w:t>
      </w:r>
    </w:p>
    <w:p>
      <w:pPr>
        <w:spacing w:after="0" w:line="15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INFORMATION</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This Proxy Statement is delivered and solicited on behalf of the Board of Directors of Oil-Dri Corporation of America, a Delaware corporation, in connection with the 2015 Annual Meeting of Stockholders to be held at 9:30 a.m., local time, on Tuesday, December 8, 2015, at The Standard Club, located at 320 South Plymouth Court, Chicago, Illinois 60604-3802 (the “2015 Annual Meeting”), notice of which accompanies this Proxy Statement, and at any adjournment of the meeting. The Notice Regarding the Availability of Proxy Materials (the “Notice”) is being distributed, and the Notice of Annual Meeting of Stockholders, this Proxy Statement and form of proxy are being made available on the Internet, on or about October 28, 2015. In addition, you should review our Annual Report on Form 10-K that was filed on October 9, 2015. Our Form 10-K should not be deemed to be part of this Proxy Statement.</w:t>
      </w:r>
    </w:p>
    <w:p>
      <w:pPr>
        <w:spacing w:after="0" w:line="13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As a stockholder, you are invited to attend the 2015 Annual Meeting and are requested to vote on the items of business described in this Proxy Statement. This Proxy Statement includes information that we are required to provide to you under the United States Securities and Exchange Commission (“SEC”) rules, and is designed to assist you in voting your shares. Whenever we refer in this Proxy Statement to the “2015 Annual Meeting,” we are also referring to any meeting that results from an adjournment of the 2015 Annual Meeting. Except as otherwise indicated herein or as the context otherwise requires, references to the “Company,” “we,” “us” or “our” refer to Oil-Dri Corporation of America.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Commonly Asked Questions and Answers</w:t>
      </w:r>
    </w:p>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Why am I receiving these materials?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Notice is being delivered to all stockholders of record as of the close of business on October 13, 2015 (the “Record Date”) in connection with the solicitation of proxies on behalf of our Board of Directors for use at the 2015 Annual Meeting on December 8, 2015.</w:t>
      </w:r>
    </w:p>
    <w:p>
      <w:pPr>
        <w:spacing w:after="0" w:line="72" w:lineRule="exact"/>
        <w:rPr>
          <w:sz w:val="20"/>
          <w:szCs w:val="20"/>
          <w:color w:val="auto"/>
        </w:rPr>
      </w:pPr>
    </w:p>
    <w:p>
      <w:pPr>
        <w:ind w:left="660" w:right="20" w:hanging="652"/>
        <w:spacing w:after="0" w:line="269" w:lineRule="auto"/>
        <w:tabs>
          <w:tab w:leader="none" w:pos="6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a notice in the mail regarding the Internet availability of proxy materials instead of a full set of proxy materials?</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“e-proxy” rules adopted by the SEC, we may furnish proxy materials, including this Proxy Statement and our Annual Report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74" w:right="239" w:bottom="1440" w:gutter="0" w:footer="0" w:header="0"/>
        </w:sectPr>
      </w:pPr>
    </w:p>
    <w:bookmarkStart w:id="6" w:name="page7"/>
    <w:bookmarkEnd w:id="6"/>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How can I access the proxy materials over the Internet?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Notice and proxy card or voting instruction card contain instructions on how to view the proxy materials on the Internet, vote your shares on the Internet, and request electronic delivery of future proxy materials. An electronic copy of this Proxy Statement and Annual Report are available at www.proxyvote.com. If you received a Notice and would like to receive a paper copy of the proxy materials free of charge, please follow the instructions in the Notice.</w:t>
      </w:r>
    </w:p>
    <w:p>
      <w:pPr>
        <w:spacing w:after="0" w:line="4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Who is entitled to vote at the 2015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Board of Directors has established the close of business on Tuesday, October 13, 2015, as the Record Date for the 2015 Annual Meeting. Only stockholders of record as of the close of business on the Record Date are entitled to receive notice of, and to vote at, the 2015 Annual Meeting.</w:t>
      </w:r>
    </w:p>
    <w:p>
      <w:pPr>
        <w:spacing w:after="0" w:line="5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5,028,047 shares of Common Stock and 2,190,994 shares of Class B Stock were outstanding.</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Registered Stockholders</w:t>
      </w:r>
      <w:r>
        <w:rPr>
          <w:rFonts w:ascii="Arial" w:cs="Arial" w:eastAsia="Arial" w:hAnsi="Arial"/>
          <w:sz w:val="22"/>
          <w:szCs w:val="22"/>
          <w:color w:val="auto"/>
        </w:rPr>
        <w:t>. If your shares are registered directly in your name with our transfer agent, Computershare Trust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N.A. (“Computershare”), you are considered the stockholder of record with respect to those shares, and the Notice was provided to you directly by us. As the stockholder of record, you have the right to grant your voting proxy directly to the individuals listed on the proxy card or to vote in person at the 2015 Annual Meeting.</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i w:val="1"/>
          <w:iCs w:val="1"/>
          <w:color w:val="auto"/>
        </w:rPr>
        <w:t>Beneficial Stockholders</w:t>
      </w:r>
      <w:r>
        <w:rPr>
          <w:rFonts w:ascii="Arial" w:cs="Arial" w:eastAsia="Arial" w:hAnsi="Arial"/>
          <w:sz w:val="21"/>
          <w:szCs w:val="21"/>
          <w:color w:val="auto"/>
        </w:rPr>
        <w:t>. If your shares are held in a stock brokerage account or by a bank or other nominee, you are considered the</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Beneficial owners are also invited to attend the 2015 Annual Meeting. However, since you are not the stockholder of record, you may not vote your shares in person at the 2015 Annual Meeting unless you follow your broker’s procedures for obtaining a legal proxy. If you request a printed copy of the proxy materials by mail, your broker or nominee will provide a voting instruction card for you to use.</w:t>
      </w:r>
    </w:p>
    <w:p>
      <w:pPr>
        <w:spacing w:after="0" w:line="4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What proposals are being voted on at the 2015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Stockholders are being asked to vote upon the following items of business at the 2015 Annual Meeting:</w:t>
      </w:r>
    </w:p>
    <w:p>
      <w:pPr>
        <w:spacing w:after="0" w:line="8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election of eight directors, each to hold office for a one-year term ending at our 2016 Annual Meeting of Stockholders;</w:t>
      </w:r>
    </w:p>
    <w:p>
      <w:pPr>
        <w:spacing w:after="0" w:line="119"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ratification of the appointment of Grant Thornton LLP (“Grant Thornton”) as our independent auditor for the fiscal year ending July 31, 2016;</w:t>
      </w:r>
    </w:p>
    <w:p>
      <w:pPr>
        <w:spacing w:after="0" w:line="39"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approval of an amendment to the Oil-Dri Corporation of America 2006 Long Term Incentive Plan to amend and approve the performance measures pursuant to which performance-based awards may be based;</w:t>
      </w:r>
    </w:p>
    <w:p>
      <w:pPr>
        <w:spacing w:after="0" w:line="4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and to transact such other business as may properly come before the 2015 Annual Meeting. Our Board of Directors knows of no other items of business that will be presented for consideration at the 2015 Annual Meeting other than those described in this Proxy Statement. In addition, no stockholder proposal or nomination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74" w:right="239" w:bottom="1440" w:gutter="0" w:footer="0" w:header="0"/>
        </w:sectPr>
      </w:pPr>
    </w:p>
    <w:bookmarkStart w:id="7" w:name="page8"/>
    <w:bookmarkEnd w:id="7"/>
    <w:p>
      <w:pPr>
        <w:spacing w:after="0" w:line="263" w:lineRule="auto"/>
        <w:rPr>
          <w:sz w:val="20"/>
          <w:szCs w:val="20"/>
          <w:color w:val="auto"/>
        </w:rPr>
      </w:pPr>
      <w:r>
        <w:rPr>
          <w:rFonts w:ascii="Arial" w:cs="Arial" w:eastAsia="Arial" w:hAnsi="Arial"/>
          <w:sz w:val="22"/>
          <w:szCs w:val="22"/>
          <w:color w:val="auto"/>
        </w:rPr>
        <w:t>was received prior to the deadline specified in our Amended and Restated By-Laws, so no such matters may be brought to a vote at the 2015 Annual Meeting.</w:t>
      </w:r>
    </w:p>
    <w:p>
      <w:pPr>
        <w:spacing w:after="0" w:line="61" w:lineRule="exact"/>
        <w:rPr>
          <w:sz w:val="20"/>
          <w:szCs w:val="20"/>
          <w:color w:val="auto"/>
        </w:rPr>
      </w:pPr>
    </w:p>
    <w:p>
      <w:pPr>
        <w:ind w:right="3940" w:firstLine="8"/>
        <w:spacing w:after="0" w:line="389" w:lineRule="auto"/>
        <w:tabs>
          <w:tab w:leader="none" w:pos="374"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What are the voting recommendations of the Company’s Board of Directors? </w:t>
      </w:r>
      <w:r>
        <w:rPr>
          <w:rFonts w:ascii="Arial" w:cs="Arial" w:eastAsia="Arial" w:hAnsi="Arial"/>
          <w:sz w:val="19"/>
          <w:szCs w:val="19"/>
          <w:color w:val="auto"/>
        </w:rPr>
        <w:t>Our Board of Directors recommends that you vote your shares as follows:</w:t>
      </w:r>
    </w:p>
    <w:p>
      <w:pPr>
        <w:ind w:left="1060" w:hanging="323"/>
        <w:spacing w:after="0"/>
        <w:tabs>
          <w:tab w:leader="none" w:pos="10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“FOR” the election of each of the eight nominees to the Board of Directors;</w:t>
      </w:r>
    </w:p>
    <w:p>
      <w:pPr>
        <w:spacing w:after="0" w:line="84" w:lineRule="exact"/>
        <w:rPr>
          <w:rFonts w:ascii="Arial" w:cs="Arial" w:eastAsia="Arial" w:hAnsi="Arial"/>
          <w:sz w:val="22"/>
          <w:szCs w:val="22"/>
          <w:color w:val="auto"/>
        </w:rPr>
      </w:pPr>
    </w:p>
    <w:p>
      <w:pPr>
        <w:ind w:left="1060" w:hanging="323"/>
        <w:spacing w:after="0" w:line="263" w:lineRule="auto"/>
        <w:tabs>
          <w:tab w:leader="none" w:pos="10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“FOR” the ratification of the appointment of Grant Thornton as the Company’s independent auditor for the fiscal year ending July 31, 2016; and</w:t>
      </w:r>
    </w:p>
    <w:p>
      <w:pPr>
        <w:spacing w:after="0" w:line="39" w:lineRule="exact"/>
        <w:rPr>
          <w:rFonts w:ascii="Arial" w:cs="Arial" w:eastAsia="Arial" w:hAnsi="Arial"/>
          <w:sz w:val="22"/>
          <w:szCs w:val="22"/>
          <w:color w:val="auto"/>
        </w:rPr>
      </w:pPr>
    </w:p>
    <w:p>
      <w:pPr>
        <w:ind w:left="1060" w:hanging="323"/>
        <w:spacing w:after="0" w:line="287" w:lineRule="auto"/>
        <w:tabs>
          <w:tab w:leader="none" w:pos="1060" w:val="left"/>
        </w:tabs>
        <w:numPr>
          <w:ilvl w:val="1"/>
          <w:numId w:val="13"/>
        </w:numPr>
        <w:rPr>
          <w:rFonts w:ascii="Arial" w:cs="Arial" w:eastAsia="Arial" w:hAnsi="Arial"/>
          <w:sz w:val="21"/>
          <w:szCs w:val="21"/>
          <w:color w:val="auto"/>
        </w:rPr>
      </w:pPr>
      <w:r>
        <w:rPr>
          <w:rFonts w:ascii="Arial" w:cs="Arial" w:eastAsia="Arial" w:hAnsi="Arial"/>
          <w:sz w:val="21"/>
          <w:szCs w:val="21"/>
          <w:color w:val="auto"/>
        </w:rPr>
        <w:t>“FOR” the approval of the amendment to the Oil-Dri Corporation of America 2006 Long Term Incentive Plan to amend and approve the performance measures pursuant to which performance-based awards may be based.</w:t>
      </w:r>
    </w:p>
    <w:p>
      <w:pPr>
        <w:spacing w:after="0" w:line="10" w:lineRule="exact"/>
        <w:rPr>
          <w:rFonts w:ascii="Arial" w:cs="Arial" w:eastAsia="Arial" w:hAnsi="Arial"/>
          <w:sz w:val="21"/>
          <w:szCs w:val="21"/>
          <w:color w:val="auto"/>
        </w:rPr>
      </w:pPr>
    </w:p>
    <w:p>
      <w:pPr>
        <w:ind w:left="380" w:hanging="372"/>
        <w:spacing w:after="0"/>
        <w:tabs>
          <w:tab w:leader="none" w:pos="3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How do I cast my vote?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If you are a stockholder of record, you may vote in several different ways: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 person at the 2015 Annual Meeting</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 may vote in person at the 2015 Annual Meeting. You may also be represented by another person at the meeting by executing a proxy properly designating that person.</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Internet</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7, 2015.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telephone</w:t>
      </w:r>
    </w:p>
    <w:p>
      <w:pPr>
        <w:spacing w:after="0" w:line="5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may vote by requesting a paper copy of the proxy materials, which will include a proxy card, and then calling the telephone number on the proxy card. Please have your proxy card in hand when you call and use any touch-tone phone to transmit your voting instructions. Telephone voting for stockholders of record will be available until 11:59 p.m., Eastern Time, on December 7, 2015.</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mail</w:t>
      </w:r>
    </w:p>
    <w:p>
      <w:pPr>
        <w:spacing w:after="0" w:line="58"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If you are a beneficial stockholder (see question 4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To vote in person at the 2015 Annual Meeting, you must obtain a legal proxy from your bank, broker or other nominee and present it to the Inspector of Election with your ballot. Your shares may be voted even if you do not provide voting instructions because banks, brokers and nominees generally have the authority under New York Stock Exchange (“NYSE”) rules to vote on “routine matters.” The proposal to ratify the appointment of our independent auditor is considered a routine matter, while the proposals for the election of directors and the approval of the amendment to the Oil-Dri Corporation of America 2006 Long Term Incentive Plan are considered non-routine matters.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80" w:right="239" w:bottom="1440" w:gutter="0" w:footer="0" w:header="0"/>
        </w:sectPr>
      </w:pPr>
    </w:p>
    <w:bookmarkStart w:id="8" w:name="page9"/>
    <w:bookmarkEnd w:id="8"/>
    <w:p>
      <w:pPr>
        <w:jc w:val="both"/>
        <w:spacing w:after="0" w:line="250" w:lineRule="auto"/>
        <w:rPr>
          <w:sz w:val="20"/>
          <w:szCs w:val="20"/>
          <w:color w:val="auto"/>
        </w:rPr>
      </w:pPr>
      <w:r>
        <w:rPr>
          <w:rFonts w:ascii="Arial" w:cs="Arial" w:eastAsia="Arial" w:hAnsi="Arial"/>
          <w:sz w:val="22"/>
          <w:szCs w:val="22"/>
          <w:color w:val="auto"/>
        </w:rPr>
        <w:t>Unless you decide to change your vote, use only one method to send us your vote. If you requested a printed set of the proxy materials and voted by telephone or by Internet, you do not have to return your proxy card or voting instruction form. Even if you plan to attend the 2015 Annual Meeting, we recommend that you vote your shares in advance so that your vote will be counted if you later decide not to attend the meeting.</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no contrary instructions are indicated in the proxy, each proxy will be voted “FOR” the election of the eight nominees to our Board of Directors named below, “FOR” the ratification of the appointment of Grant Thornton as our independent auditor for the fiscal year ending July 31, 2016 and “FOR” the approval of the amendment to the Oil-Dri Corporation of America 2006 Long Term Incentive Plan. In their discretion, the named proxy holders are authorized to vote on any other matters that may properly come before the 2015 Annual Meeting.</w:t>
      </w:r>
    </w:p>
    <w:p>
      <w:pPr>
        <w:spacing w:after="0" w:line="7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Can I change my vote?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Yes, if you vote by proxy, you may revoke that proxy at any time before it is voted at the 2015 Annual Meeting. If you are the stockholder of record, you may do this by:</w:t>
      </w:r>
    </w:p>
    <w:p>
      <w:pPr>
        <w:spacing w:after="0" w:line="67" w:lineRule="exact"/>
        <w:rPr>
          <w:sz w:val="20"/>
          <w:szCs w:val="20"/>
          <w:color w:val="auto"/>
        </w:rPr>
      </w:pPr>
    </w:p>
    <w:p>
      <w:pPr>
        <w:ind w:left="1060" w:hanging="323"/>
        <w:spacing w:after="0"/>
        <w:tabs>
          <w:tab w:leader="none" w:pos="10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voting again on the Internet or by telephone prior to 11:59 p.m., Eastern Time, on December 7, 2015;</w:t>
      </w:r>
    </w:p>
    <w:p>
      <w:pPr>
        <w:spacing w:after="0" w:line="111" w:lineRule="exact"/>
        <w:rPr>
          <w:rFonts w:ascii="Arial" w:cs="Arial" w:eastAsia="Arial" w:hAnsi="Arial"/>
          <w:sz w:val="22"/>
          <w:szCs w:val="22"/>
          <w:color w:val="auto"/>
        </w:rPr>
      </w:pPr>
    </w:p>
    <w:p>
      <w:pPr>
        <w:ind w:left="1060" w:hanging="323"/>
        <w:spacing w:after="0" w:line="263" w:lineRule="auto"/>
        <w:tabs>
          <w:tab w:leader="none" w:pos="10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signing another proxy card with a later date and delivering it to Broadridge Financial Solutions, Inc., 51 Mercedes Way, Edgewood, New York 11717, prior to the 2015 Annual Meeting; or</w:t>
      </w:r>
    </w:p>
    <w:p>
      <w:pPr>
        <w:spacing w:after="0" w:line="66" w:lineRule="exact"/>
        <w:rPr>
          <w:rFonts w:ascii="Arial" w:cs="Arial" w:eastAsia="Arial" w:hAnsi="Arial"/>
          <w:sz w:val="22"/>
          <w:szCs w:val="22"/>
          <w:color w:val="auto"/>
        </w:rPr>
      </w:pPr>
    </w:p>
    <w:p>
      <w:pPr>
        <w:ind w:left="1060" w:hanging="323"/>
        <w:spacing w:after="0"/>
        <w:tabs>
          <w:tab w:leader="none" w:pos="10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attending the 2015 Annual Meeting in person and delivering your proxy or casting a ballot.</w:t>
      </w:r>
    </w:p>
    <w:p>
      <w:pPr>
        <w:spacing w:after="0" w:line="112" w:lineRule="exact"/>
        <w:rPr>
          <w:sz w:val="20"/>
          <w:szCs w:val="20"/>
          <w:color w:val="auto"/>
        </w:rPr>
      </w:pPr>
    </w:p>
    <w:p>
      <w:pPr>
        <w:jc w:val="both"/>
        <w:spacing w:after="0" w:line="337" w:lineRule="auto"/>
        <w:rPr>
          <w:sz w:val="20"/>
          <w:szCs w:val="20"/>
          <w:color w:val="auto"/>
        </w:rPr>
      </w:pPr>
      <w:r>
        <w:rPr>
          <w:rFonts w:ascii="Arial" w:cs="Arial" w:eastAsia="Arial" w:hAnsi="Arial"/>
          <w:sz w:val="19"/>
          <w:szCs w:val="19"/>
          <w:color w:val="auto"/>
        </w:rPr>
        <w:t>If you are a beneficial stockholder and you have instructed your bank, broker or other nominee to vote your shares, you may revoke those instructions by following the directions received from your bank, broker or other nominee to change those instructions.</w:t>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What constitutes a quorum at the 2015 Annual Meeting?</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majority of all outstanding shares of Common Stock and Class B Stock entitled to vote at the 2015 Annual Meeting constitutes a quorum, which is the minimum number of shares that must be present or represented by proxy at the 2015 Annual Meeting to transact business. Once a share is represented for any purpose at the 2015 Annual Meeting, it will be deemed present for quorum purposes for the remainder of the meeting (including any meeting resulting from an adjournment of the 2015 Annual Meeting, unless a new record date is set).</w:t>
      </w:r>
    </w:p>
    <w:p>
      <w:pPr>
        <w:spacing w:after="0" w:line="7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How are broker non-votes and abstentions counted?</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2015 Annual Meeting, only the proposal to ratify the appointment of our independent auditor is considered a routine matter. Therefore, your broker will not have discretion to vote on the election of directors or the approval of the amendment to the Oil-Dri Corporation of America 2006 Long Term Incentive Plan absent directions from you.</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Broker non-votes and abstentions by stockholders from voting will be counted towards determining whether or not a quorum is present at the 2015 Annual Meeting. However, because broker non-votes and abstentions are not voted affirmatively or negatively, they will have no effect on the approval of any of the proposals, except (i) as to routine matters for which brokers exercise their discretion as discussed above and (ii) abstentions with respect to proposals that require an affirmative majority of the votes present at the 2015</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80" w:right="239" w:bottom="144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Annual Meeting or represented by proxy, which have the same legal effect as a vote against the proposal as described below.</w:t>
      </w:r>
    </w:p>
    <w:p>
      <w:pPr>
        <w:spacing w:after="0" w:line="140"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How many votes are needed to approve the proposals?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director may only be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eight nominees who receive the largest number of votes will be elected. Shares for which authority is withheld to vote for director nominees and broker non-votes have no effect on the outcome of the election of directors.</w:t>
      </w:r>
    </w:p>
    <w:p>
      <w:pPr>
        <w:spacing w:after="0" w:line="1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An affirmative majority of the votes present at the 2015 Annual Meeting or represented by proxy is necessary for ratification of the appointment of Grant Thornton as our independent auditor for the fiscal year ending July 31, 2016 and for the approval of the amendment to the Oil-Dri Corporation of America 2006 Long Term Incentive Plan. Any abstention by those present or represented by proxy has the same legal effect as a vote against these proposals. Because the proposal for ratification of the appointment of Grant Thornton as our independent auditor for the fiscal year ending July 31, 2016 is considered a routine matter under the rules of the NYSE, banks, brokers and other nominees are able to vote on this matter even if no voting instructions are provided by the beneficial owner.</w:t>
      </w:r>
    </w:p>
    <w:p>
      <w:pPr>
        <w:spacing w:after="0" w:line="8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Who will count the vote?</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Where can I find the voting results of the 2015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intend to announce preliminary voting results at the 2015 Annual Meeting. Within four business days following the adjournment of the 2015 Annual Meeting, we intend to disclose the final voting results of each proposal being voted on at the 2015 Annual Meeting in a Current Report on Form 8-K.</w:t>
      </w:r>
    </w:p>
    <w:p>
      <w:pPr>
        <w:spacing w:after="0" w:line="7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How does a stockholder propose actions for consideration at next year’s annual meeting of stockholders?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For your proposal to be considered for inclusion in our proxy statement for next year’s annual meeting, we must receive your written proposal no later than June 30, 2016. Your proposal should be addressed to the Corporate Secretary, Oil-Dri Corporation of America, 410 North Michigan Avenue, Suite 400, Chicago, Illinois 60611-4213. In addition, be aware that your proposal must comply with SEC regulations regarding inclusion of stockholder proposals in company-sponsored proxy materials and other applicable laws. Although our Board of Directors will consider all proposals, it has the right to omit any proposals it is not required to include. For you to raise a proposal (including director nominations) at next year’s annual meeting that will not be included in our proxy statement, we must receive written notice of the proposal between June 30, 2016 and July 30, 2016 (assuming the meeting is held not more than 30 days from December 8, 2016). All such proposals should be addressed to the Corporate Secretary, Oil-Dri Corporation of America, 410 North Michigan Avenue, Suite 400, Chicago, Illinois 60611-4213. In addition, the proposal must satisfy all of the other requirements set forth in our Amended and Restated By-Laws and all applicable laws.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80" w:right="239" w:bottom="1440" w:gutter="0" w:footer="0" w:header="0"/>
        </w:sectPr>
      </w:pPr>
    </w:p>
    <w:bookmarkStart w:id="10" w:name="page11"/>
    <w:bookmarkEnd w:id="10"/>
    <w:p>
      <w:pPr>
        <w:ind w:left="660" w:hanging="652"/>
        <w:spacing w:after="0"/>
        <w:tabs>
          <w:tab w:leader="none" w:pos="6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Can I elect to receive future proxy solicitations via mail or online?</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8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more than one package of proxy materials?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74" w:lineRule="exact"/>
        <w:rPr>
          <w:sz w:val="20"/>
          <w:szCs w:val="20"/>
          <w:color w:val="auto"/>
        </w:rPr>
      </w:pPr>
    </w:p>
    <w:p>
      <w:pPr>
        <w:ind w:left="660" w:hanging="652"/>
        <w:spacing w:after="0" w:line="269" w:lineRule="auto"/>
        <w:tabs>
          <w:tab w:leader="none" w:pos="66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Can I receive future proxy statements, annual reports and certain other stockholder information in a single package per household?</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may revoke your consent at any time by calling 866-540-7095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7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Who may solicit proxies?</w:t>
      </w:r>
    </w:p>
    <w:p>
      <w:pPr>
        <w:spacing w:after="0" w:line="118" w:lineRule="exact"/>
        <w:rPr>
          <w:sz w:val="20"/>
          <w:szCs w:val="20"/>
          <w:color w:val="auto"/>
        </w:rPr>
      </w:pPr>
    </w:p>
    <w:p>
      <w:pPr>
        <w:spacing w:after="0" w:line="337" w:lineRule="auto"/>
        <w:rPr>
          <w:sz w:val="20"/>
          <w:szCs w:val="20"/>
          <w:color w:val="auto"/>
        </w:rPr>
      </w:pPr>
      <w:r>
        <w:rPr>
          <w:rFonts w:ascii="Arial" w:cs="Arial" w:eastAsia="Arial" w:hAnsi="Arial"/>
          <w:sz w:val="19"/>
          <w:szCs w:val="19"/>
          <w:color w:val="auto"/>
        </w:rPr>
        <w:t>Our directors, officers and employees may solicit proxies on behalf of our Board of Directors via mail, telephone, facsimile, e-mail and personal contact. Our directors, officers and employees will receive no additional compensation for soliciting proxies.</w:t>
      </w:r>
    </w:p>
    <w:p>
      <w:pPr>
        <w:spacing w:after="0" w:line="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Who pays for the cost of this proxy solicitation?</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We will bear the cost of this proxy solicitation, including reimbursing banks, brokers and other nominees for reasonable expenses of sending out proxy materials to beneficial stockholders.</w:t>
      </w:r>
    </w:p>
    <w:p>
      <w:pPr>
        <w:spacing w:after="0" w:line="6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What if I have additional questions not addressed here?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You may call Investor Relations at (312) 321-1515, or e-mail Investor Relations at info@oildri.com.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PROPOSALS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 Election of Directors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proposes that the following eight individuals be elected to our Board of Directors. Each nominee currently serves as a director. In connection with the nominations of Richard M. Jaffee, J. Steven Cole and Allan H. Selig, our Board of Directors, as permitted under our Corporate Governance Guidelines, waived our age 75 service limit, as described under “Corporate Governance Matters – Director Nominations” below. If any nominee should be unable or unwilling to serve, which is not now contemplated, the proxy holders may, but will not be bound to, vote for a substitute nominee.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ELECTION OF THE FOLLOWING NOMINEES AS DIRECTORS.</w:t>
      </w:r>
    </w:p>
    <w:p>
      <w:pPr>
        <w:spacing w:after="0" w:line="350" w:lineRule="exact"/>
        <w:rPr>
          <w:sz w:val="20"/>
          <w:szCs w:val="20"/>
          <w:color w:val="auto"/>
        </w:rPr>
      </w:pPr>
    </w:p>
    <w:p>
      <w:pPr>
        <w:ind w:left="2440"/>
        <w:spacing w:after="0"/>
        <w:tabs>
          <w:tab w:leader="none" w:pos="4600" w:val="left"/>
          <w:tab w:leader="none" w:pos="5880" w:val="left"/>
        </w:tabs>
        <w:rPr>
          <w:sz w:val="20"/>
          <w:szCs w:val="20"/>
          <w:color w:val="auto"/>
        </w:rPr>
      </w:pPr>
      <w:r>
        <w:rPr>
          <w:rFonts w:ascii="Arial" w:cs="Arial" w:eastAsia="Arial" w:hAnsi="Arial"/>
          <w:sz w:val="22"/>
          <w:szCs w:val="22"/>
          <w:color w:val="auto"/>
        </w:rPr>
        <w:t>Richard M. Jaffee</w:t>
      </w:r>
      <w:r>
        <w:rPr>
          <w:sz w:val="20"/>
          <w:szCs w:val="20"/>
          <w:color w:val="auto"/>
        </w:rPr>
        <w:tab/>
      </w:r>
      <w:r>
        <w:rPr>
          <w:rFonts w:ascii="Arial" w:cs="Arial" w:eastAsia="Arial" w:hAnsi="Arial"/>
          <w:sz w:val="22"/>
          <w:szCs w:val="22"/>
          <w:color w:val="auto"/>
        </w:rPr>
        <w:t>Age 79</w:t>
      </w:r>
      <w:r>
        <w:rPr>
          <w:sz w:val="20"/>
          <w:szCs w:val="20"/>
          <w:color w:val="auto"/>
        </w:rPr>
        <w:tab/>
      </w:r>
      <w:r>
        <w:rPr>
          <w:rFonts w:ascii="Arial" w:cs="Arial" w:eastAsia="Arial" w:hAnsi="Arial"/>
          <w:sz w:val="19"/>
          <w:szCs w:val="19"/>
          <w:color w:val="auto"/>
        </w:rPr>
        <w:t>Director since 1958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-146685</wp:posOffset>
            </wp:positionV>
            <wp:extent cx="1020445" cy="1543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0445" cy="1543685"/>
                    </a:xfrm>
                    <a:prstGeom prst="rect">
                      <a:avLst/>
                    </a:prstGeom>
                    <a:noFill/>
                  </pic:spPr>
                </pic:pic>
              </a:graphicData>
            </a:graphic>
          </wp:anchor>
        </w:drawing>
      </w:r>
    </w:p>
    <w:p>
      <w:pPr>
        <w:spacing w:after="0" w:line="186" w:lineRule="exact"/>
        <w:rPr>
          <w:sz w:val="20"/>
          <w:szCs w:val="20"/>
          <w:color w:val="auto"/>
        </w:rPr>
      </w:pPr>
    </w:p>
    <w:p>
      <w:pPr>
        <w:ind w:left="2440"/>
        <w:spacing w:after="0"/>
        <w:rPr>
          <w:sz w:val="20"/>
          <w:szCs w:val="20"/>
          <w:color w:val="auto"/>
        </w:rPr>
      </w:pPr>
      <w:r>
        <w:rPr>
          <w:rFonts w:ascii="Arial" w:cs="Arial" w:eastAsia="Arial" w:hAnsi="Arial"/>
          <w:sz w:val="22"/>
          <w:szCs w:val="22"/>
          <w:i w:val="1"/>
          <w:iCs w:val="1"/>
          <w:color w:val="auto"/>
        </w:rPr>
        <w:t>Chairman of the Board of the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2440" w:right="20"/>
        <w:spacing w:after="0" w:line="279" w:lineRule="auto"/>
        <w:rPr>
          <w:sz w:val="20"/>
          <w:szCs w:val="20"/>
          <w:color w:val="auto"/>
        </w:rPr>
      </w:pPr>
      <w:r>
        <w:rPr>
          <w:rFonts w:ascii="Arial" w:cs="Arial" w:eastAsia="Arial" w:hAnsi="Arial"/>
          <w:sz w:val="19"/>
          <w:szCs w:val="19"/>
          <w:color w:val="auto"/>
        </w:rPr>
        <w:t>Mr. Jaffee received a degree from the University of Wisconsin School of Business in 1957. He received an honorary Doctor of Humane Letters degree from the Illinois Institute of Technology in 2001 and an honorary Doctor of Humane Letters degree from Rush University in 2013. He earned his CPA certificate from the State of Illinois in 1957 and worked briefly for the public accounting firm of Touche Niven, et al. After service as an officer in the United States Army, he joined the Company in 1958, becoming its president in 1960, a position he held until 1995. He served as Chief</w:t>
      </w:r>
    </w:p>
    <w:p>
      <w:pPr>
        <w:spacing w:after="0" w:line="205" w:lineRule="exact"/>
        <w:rPr>
          <w:sz w:val="20"/>
          <w:szCs w:val="20"/>
          <w:color w:val="auto"/>
        </w:rPr>
      </w:pPr>
    </w:p>
    <w:p>
      <w:pPr>
        <w:jc w:val="both"/>
        <w:ind w:left="40" w:right="20"/>
        <w:spacing w:after="0" w:line="273" w:lineRule="auto"/>
        <w:rPr>
          <w:sz w:val="20"/>
          <w:szCs w:val="20"/>
          <w:color w:val="auto"/>
        </w:rPr>
      </w:pPr>
      <w:r>
        <w:rPr>
          <w:rFonts w:ascii="Arial" w:cs="Arial" w:eastAsia="Arial" w:hAnsi="Arial"/>
          <w:sz w:val="19"/>
          <w:szCs w:val="19"/>
          <w:color w:val="auto"/>
        </w:rPr>
        <w:t>Executive Officer of the Company from 1962 until 1997. Mr. Jaffee retired as an employee of the Company in 2001. He has served as Chairman of the Board of the Company since 1962. Mr. Jaffee served as director of BMO Harris Bank N.A., a subsidiary of Bank of Montreal, until his retirement from that board in May 2006. BMO Harris Bank N.A. provides banking and related services to the Company on customary terms. From January 2008 to November 2013, Mr. Jaffee served as Chairman of the Board of Trustees of Rush University Medical Center and Chairman of its Executive Committee. He continues to serve on the Board of Trustees, the Executive Committee and other Rush board committees. He is a life trustee of the Illinois Institute of Technology, the Museum of Science and Industry and the Chicago History Museum. Mr. Jaffee has served on an SEC advisory committee on smaller public companies and on an advisory committee to the Chicago Federal Reserve. Mr. Jaffee is the father of Daniel S. Jaffee, who is a director and our President and Chief Executive Officer and who is also a nominee for director. Mr. Jaffee is also the father-in-law of Thomas F. Cofsky, one of our executive officers.</w:t>
      </w:r>
    </w:p>
    <w:p>
      <w:pPr>
        <w:spacing w:after="0" w:line="162" w:lineRule="exact"/>
        <w:rPr>
          <w:sz w:val="20"/>
          <w:szCs w:val="20"/>
          <w:color w:val="auto"/>
        </w:rPr>
      </w:pPr>
    </w:p>
    <w:p>
      <w:pPr>
        <w:jc w:val="both"/>
        <w:ind w:left="40" w:right="20"/>
        <w:spacing w:after="0" w:line="235" w:lineRule="auto"/>
        <w:rPr>
          <w:sz w:val="20"/>
          <w:szCs w:val="20"/>
          <w:color w:val="auto"/>
        </w:rPr>
      </w:pPr>
      <w:r>
        <w:rPr>
          <w:rFonts w:ascii="Arial" w:cs="Arial" w:eastAsia="Arial" w:hAnsi="Arial"/>
          <w:sz w:val="22"/>
          <w:szCs w:val="22"/>
          <w:color w:val="auto"/>
        </w:rPr>
        <w:t>Mr. Jaffee brings to our Board of Directors more than 50 years of experience with the Company. He therefore has significant knowledge of all aspects of the Company’s business and the sorbent minerals industry. Mr. Jaffee also has had extensive experience in compliance with securities law and regulations. He was Chief Executive Officer of the Company at the time of its initial public offering and until 1997. He has also served on advisory committees to the SEC and the Chicago Federal Reserve. In his current roles with the Board of Trustees of Rush University Medical Center, he continues to be involved in board governance and oversight.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74" w:right="239" w:bottom="1440" w:gutter="0" w:footer="0" w:header="0"/>
        </w:sectPr>
      </w:pPr>
    </w:p>
    <w:bookmarkStart w:id="12" w:name="page13"/>
    <w:bookmarkEnd w:id="12"/>
    <w:p>
      <w:pPr>
        <w:ind w:left="2400"/>
        <w:spacing w:after="0"/>
        <w:tabs>
          <w:tab w:leader="none" w:pos="4380" w:val="left"/>
          <w:tab w:leader="none" w:pos="5660" w:val="left"/>
        </w:tabs>
        <w:rPr>
          <w:sz w:val="20"/>
          <w:szCs w:val="20"/>
          <w:color w:val="auto"/>
        </w:rPr>
      </w:pPr>
      <w:r>
        <w:rPr>
          <w:rFonts w:ascii="Arial" w:cs="Arial" w:eastAsia="Arial" w:hAnsi="Arial"/>
          <w:sz w:val="22"/>
          <w:szCs w:val="22"/>
          <w:color w:val="auto"/>
        </w:rPr>
        <w:t>Daniel S. Jaffee</w:t>
      </w:r>
      <w:r>
        <w:rPr>
          <w:sz w:val="20"/>
          <w:szCs w:val="20"/>
          <w:color w:val="auto"/>
        </w:rPr>
        <w:tab/>
      </w:r>
      <w:r>
        <w:rPr>
          <w:rFonts w:ascii="Arial" w:cs="Arial" w:eastAsia="Arial" w:hAnsi="Arial"/>
          <w:sz w:val="22"/>
          <w:szCs w:val="22"/>
          <w:color w:val="auto"/>
        </w:rPr>
        <w:t>Age 51</w:t>
      </w:r>
      <w:r>
        <w:rPr>
          <w:sz w:val="20"/>
          <w:szCs w:val="20"/>
          <w:color w:val="auto"/>
        </w:rPr>
        <w:tab/>
      </w:r>
      <w:r>
        <w:rPr>
          <w:rFonts w:ascii="Arial" w:cs="Arial" w:eastAsia="Arial" w:hAnsi="Arial"/>
          <w:sz w:val="19"/>
          <w:szCs w:val="19"/>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1097915" cy="1543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915" cy="1543685"/>
                    </a:xfrm>
                    <a:prstGeom prst="rect">
                      <a:avLst/>
                    </a:prstGeom>
                    <a:noFill/>
                  </pic:spPr>
                </pic:pic>
              </a:graphicData>
            </a:graphic>
          </wp:anchor>
        </w:drawing>
      </w:r>
    </w:p>
    <w:p>
      <w:pPr>
        <w:spacing w:after="0" w:line="146" w:lineRule="exact"/>
        <w:rPr>
          <w:sz w:val="20"/>
          <w:szCs w:val="20"/>
          <w:color w:val="auto"/>
        </w:rPr>
      </w:pPr>
    </w:p>
    <w:p>
      <w:pPr>
        <w:ind w:left="2400"/>
        <w:spacing w:after="0"/>
        <w:rPr>
          <w:sz w:val="20"/>
          <w:szCs w:val="20"/>
          <w:color w:val="auto"/>
        </w:rPr>
      </w:pPr>
      <w:r>
        <w:rPr>
          <w:rFonts w:ascii="Arial" w:cs="Arial" w:eastAsia="Arial" w:hAnsi="Arial"/>
          <w:sz w:val="22"/>
          <w:szCs w:val="22"/>
          <w:i w:val="1"/>
          <w:iCs w:val="1"/>
          <w:color w:val="auto"/>
        </w:rPr>
        <w:t>President and Chief Executive Officer of the Company</w:t>
      </w:r>
    </w:p>
    <w:p>
      <w:pPr>
        <w:spacing w:after="0" w:line="166" w:lineRule="exact"/>
        <w:rPr>
          <w:sz w:val="20"/>
          <w:szCs w:val="20"/>
          <w:color w:val="auto"/>
        </w:rPr>
      </w:pPr>
    </w:p>
    <w:p>
      <w:pPr>
        <w:jc w:val="both"/>
        <w:ind w:left="2400" w:right="20"/>
        <w:spacing w:after="0" w:line="279" w:lineRule="auto"/>
        <w:rPr>
          <w:sz w:val="20"/>
          <w:szCs w:val="20"/>
          <w:color w:val="auto"/>
        </w:rPr>
      </w:pPr>
      <w:r>
        <w:rPr>
          <w:rFonts w:ascii="Arial" w:cs="Arial" w:eastAsia="Arial" w:hAnsi="Arial"/>
          <w:sz w:val="19"/>
          <w:szCs w:val="19"/>
          <w:color w:val="auto"/>
        </w:rPr>
        <w:t>Mr. Jaffee graduated from Georgetown University in 1986. Mr. Jaffee joined the Company in 1987 after a year with Price Waterhouse.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 finance, management, information systems and consumer products. Mr. Jaffee became President of the Company in 1995 and Chief Executive</w:t>
      </w:r>
    </w:p>
    <w:p>
      <w:pPr>
        <w:spacing w:after="0" w:line="23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Officer in 1997. He was Chief Operating Officer from 1995 to 1997. Mr. Jaffee received an M.B.A. from the Kellogg Graduate School of Management of Northwestern University in 2004. Mr. Jaffee’s civic activities include serving as a member of the Board of Directors of the Anti-Cruelty Society of Chicago and as a Trustee of the Chicago History Museum and involvement with Georgetown University. Mr. Jaffee is the son of Richard M. Jaffee, who is the Chairman of our Board of Directors and who is also a nominee for director. Mr. Jaffee is also the brother-in-law of Thomas F. Cofsky, one of our executive officers.</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 generation family stockholder. In addition, he is actively involved in the local community in an advisory role for several not-for-profit organizations, adding to his perspective on effective management and strategy for the long-term success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0"/>
        <w:spacing w:after="0"/>
        <w:tabs>
          <w:tab w:leader="none" w:pos="4260" w:val="left"/>
          <w:tab w:leader="none" w:pos="5540" w:val="left"/>
        </w:tabs>
        <w:rPr>
          <w:sz w:val="20"/>
          <w:szCs w:val="20"/>
          <w:color w:val="auto"/>
        </w:rPr>
      </w:pPr>
      <w:r>
        <w:rPr>
          <w:rFonts w:ascii="Arial" w:cs="Arial" w:eastAsia="Arial" w:hAnsi="Arial"/>
          <w:sz w:val="22"/>
          <w:szCs w:val="22"/>
          <w:color w:val="auto"/>
        </w:rPr>
        <w:t>J. Steven Cole</w:t>
      </w:r>
      <w:r>
        <w:rPr>
          <w:sz w:val="20"/>
          <w:szCs w:val="20"/>
          <w:color w:val="auto"/>
        </w:rPr>
        <w:tab/>
      </w:r>
      <w:r>
        <w:rPr>
          <w:rFonts w:ascii="Arial" w:cs="Arial" w:eastAsia="Arial" w:hAnsi="Arial"/>
          <w:sz w:val="22"/>
          <w:szCs w:val="22"/>
          <w:color w:val="auto"/>
        </w:rPr>
        <w:t>Age 81</w:t>
      </w:r>
      <w:r>
        <w:rPr>
          <w:sz w:val="20"/>
          <w:szCs w:val="20"/>
          <w:color w:val="auto"/>
        </w:rPr>
        <w:tab/>
      </w:r>
      <w:r>
        <w:rPr>
          <w:rFonts w:ascii="Arial" w:cs="Arial" w:eastAsia="Arial" w:hAnsi="Arial"/>
          <w:sz w:val="19"/>
          <w:szCs w:val="19"/>
          <w:color w:val="auto"/>
        </w:rPr>
        <w:t>Director since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1054735" cy="1543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4735" cy="1543685"/>
                    </a:xfrm>
                    <a:prstGeom prst="rect">
                      <a:avLst/>
                    </a:prstGeom>
                    <a:noFill/>
                  </pic:spPr>
                </pic:pic>
              </a:graphicData>
            </a:graphic>
          </wp:anchor>
        </w:drawing>
      </w:r>
    </w:p>
    <w:p>
      <w:pPr>
        <w:spacing w:after="0" w:line="146" w:lineRule="exact"/>
        <w:rPr>
          <w:sz w:val="20"/>
          <w:szCs w:val="20"/>
          <w:color w:val="auto"/>
        </w:rPr>
      </w:pPr>
    </w:p>
    <w:p>
      <w:pPr>
        <w:ind w:left="2400"/>
        <w:spacing w:after="0"/>
        <w:rPr>
          <w:sz w:val="20"/>
          <w:szCs w:val="20"/>
          <w:color w:val="auto"/>
        </w:rPr>
      </w:pPr>
      <w:r>
        <w:rPr>
          <w:rFonts w:ascii="Arial" w:cs="Arial" w:eastAsia="Arial" w:hAnsi="Arial"/>
          <w:sz w:val="22"/>
          <w:szCs w:val="22"/>
          <w:i w:val="1"/>
          <w:iCs w:val="1"/>
          <w:color w:val="auto"/>
        </w:rPr>
        <w:t>President, Cole &amp; Associates</w:t>
      </w:r>
    </w:p>
    <w:p>
      <w:pPr>
        <w:spacing w:after="0" w:line="166" w:lineRule="exact"/>
        <w:rPr>
          <w:sz w:val="20"/>
          <w:szCs w:val="20"/>
          <w:color w:val="auto"/>
        </w:rPr>
      </w:pPr>
    </w:p>
    <w:p>
      <w:pPr>
        <w:jc w:val="both"/>
        <w:ind w:left="2400" w:right="20"/>
        <w:spacing w:after="0" w:line="279" w:lineRule="auto"/>
        <w:rPr>
          <w:sz w:val="20"/>
          <w:szCs w:val="20"/>
          <w:color w:val="auto"/>
        </w:rPr>
      </w:pPr>
      <w:r>
        <w:rPr>
          <w:rFonts w:ascii="Arial" w:cs="Arial" w:eastAsia="Arial" w:hAnsi="Arial"/>
          <w:sz w:val="19"/>
          <w:szCs w:val="19"/>
          <w:color w:val="auto"/>
        </w:rPr>
        <w:t>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operations until 1990. In 1990, he joined SAV-A-LIFE Systems, Inc., a firm selling specialty products to the dental and medical professions, where he served as President until 1994 and then Chairman of the Board until 2000. In 1990, Mr. Cole also became president of Cole &amp; Associates, an international consulting firm. Mr. Cole is also a director of Aculux, Inc., IV Diagnostics, Inc. and Ocularis Inc.</w:t>
      </w:r>
    </w:p>
    <w:p>
      <w:pPr>
        <w:spacing w:after="0" w:line="185"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Mr. Cole’s individual qualifications include broad experience in international business and product development. Mr. Cole’s expertise includes past leadership of various divisions of multi-national corporations with direct responsibility for international operations. In addition, Mr. Cole has served in a corporate governance role at another public company and is an “audit committee financial expert” under SEC rules. He is an accomplished advisor to many companies and organizations, providing leadership in product development, general management and technical development and has contributed to efforts dedicated to reducing trade barriers to global businesses through his active involvement with trade associations.</w:t>
      </w:r>
    </w:p>
    <w:p>
      <w:pPr>
        <w:sectPr>
          <w:pgSz w:w="11900" w:h="16838" w:orient="portrait"/>
          <w:cols w:equalWidth="0" w:num="1">
            <w:col w:w="11360"/>
          </w:cols>
          <w:pgMar w:left="280" w:top="92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80" w:top="928" w:right="259" w:bottom="1440" w:gutter="0" w:footer="0" w:header="0"/>
          <w:type w:val="continuous"/>
        </w:sectPr>
      </w:pPr>
    </w:p>
    <w:bookmarkStart w:id="13" w:name="page14"/>
    <w:bookmarkEnd w:id="13"/>
    <w:p>
      <w:pPr>
        <w:ind w:left="2500"/>
        <w:spacing w:after="0"/>
        <w:tabs>
          <w:tab w:leader="none" w:pos="4560" w:val="left"/>
          <w:tab w:leader="none" w:pos="5840" w:val="left"/>
        </w:tabs>
        <w:rPr>
          <w:sz w:val="20"/>
          <w:szCs w:val="20"/>
          <w:color w:val="auto"/>
        </w:rPr>
      </w:pPr>
      <w:r>
        <w:rPr>
          <w:rFonts w:ascii="Arial" w:cs="Arial" w:eastAsia="Arial" w:hAnsi="Arial"/>
          <w:sz w:val="22"/>
          <w:szCs w:val="22"/>
          <w:color w:val="auto"/>
        </w:rPr>
        <w:t>Joseph C. Miller</w:t>
      </w:r>
      <w:r>
        <w:rPr>
          <w:sz w:val="20"/>
          <w:szCs w:val="20"/>
          <w:color w:val="auto"/>
        </w:rPr>
        <w:tab/>
      </w:r>
      <w:r>
        <w:rPr>
          <w:rFonts w:ascii="Arial" w:cs="Arial" w:eastAsia="Arial" w:hAnsi="Arial"/>
          <w:sz w:val="22"/>
          <w:szCs w:val="22"/>
          <w:color w:val="auto"/>
        </w:rPr>
        <w:t>Age 73</w:t>
      </w:r>
      <w:r>
        <w:rPr>
          <w:sz w:val="20"/>
          <w:szCs w:val="20"/>
          <w:color w:val="auto"/>
        </w:rPr>
        <w:tab/>
      </w:r>
      <w:r>
        <w:rPr>
          <w:rFonts w:ascii="Arial" w:cs="Arial" w:eastAsia="Arial" w:hAnsi="Arial"/>
          <w:sz w:val="19"/>
          <w:szCs w:val="19"/>
          <w:color w:val="auto"/>
        </w:rPr>
        <w:t>Director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1157605" cy="1655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7605" cy="1655445"/>
                    </a:xfrm>
                    <a:prstGeom prst="rect">
                      <a:avLst/>
                    </a:prstGeom>
                    <a:noFill/>
                  </pic:spPr>
                </pic:pic>
              </a:graphicData>
            </a:graphic>
          </wp:anchor>
        </w:drawing>
      </w:r>
    </w:p>
    <w:p>
      <w:pPr>
        <w:spacing w:after="0" w:line="146" w:lineRule="exact"/>
        <w:rPr>
          <w:sz w:val="20"/>
          <w:szCs w:val="20"/>
          <w:color w:val="auto"/>
        </w:rPr>
      </w:pPr>
    </w:p>
    <w:p>
      <w:pPr>
        <w:ind w:left="2500"/>
        <w:spacing w:after="0"/>
        <w:rPr>
          <w:sz w:val="20"/>
          <w:szCs w:val="20"/>
          <w:color w:val="auto"/>
        </w:rPr>
      </w:pPr>
      <w:r>
        <w:rPr>
          <w:rFonts w:ascii="Arial" w:cs="Arial" w:eastAsia="Arial" w:hAnsi="Arial"/>
          <w:sz w:val="22"/>
          <w:szCs w:val="22"/>
          <w:i w:val="1"/>
          <w:iCs w:val="1"/>
          <w:color w:val="auto"/>
        </w:rPr>
        <w:t>Vice Chairman of the Board of the Company</w:t>
      </w:r>
    </w:p>
    <w:p>
      <w:pPr>
        <w:spacing w:after="0" w:line="166" w:lineRule="exact"/>
        <w:rPr>
          <w:sz w:val="20"/>
          <w:szCs w:val="20"/>
          <w:color w:val="auto"/>
        </w:rPr>
      </w:pPr>
    </w:p>
    <w:p>
      <w:pPr>
        <w:ind w:left="2500"/>
        <w:spacing w:after="0"/>
        <w:rPr>
          <w:sz w:val="20"/>
          <w:szCs w:val="20"/>
          <w:color w:val="auto"/>
        </w:rPr>
      </w:pPr>
      <w:r>
        <w:rPr>
          <w:rFonts w:ascii="Arial" w:cs="Arial" w:eastAsia="Arial" w:hAnsi="Arial"/>
          <w:sz w:val="22"/>
          <w:szCs w:val="22"/>
          <w:i w:val="1"/>
          <w:iCs w:val="1"/>
          <w:color w:val="auto"/>
        </w:rPr>
        <w:t>Independent Consultant</w:t>
      </w:r>
    </w:p>
    <w:p>
      <w:pPr>
        <w:spacing w:after="0" w:line="166" w:lineRule="exact"/>
        <w:rPr>
          <w:sz w:val="20"/>
          <w:szCs w:val="20"/>
          <w:color w:val="auto"/>
        </w:rPr>
      </w:pPr>
    </w:p>
    <w:p>
      <w:pPr>
        <w:jc w:val="both"/>
        <w:ind w:left="2500"/>
        <w:spacing w:after="0" w:line="282" w:lineRule="auto"/>
        <w:rPr>
          <w:sz w:val="20"/>
          <w:szCs w:val="20"/>
          <w:color w:val="auto"/>
        </w:rPr>
      </w:pPr>
      <w:r>
        <w:rPr>
          <w:rFonts w:ascii="Arial" w:cs="Arial" w:eastAsia="Arial" w:hAnsi="Arial"/>
          <w:sz w:val="19"/>
          <w:szCs w:val="19"/>
          <w:color w:val="auto"/>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President for the Consumer, Industrial &amp; Environmental and Transportation Groups of the Company from 1993 to 1995. He became Vice Chairman of the Board in 1995. Mr. Miller was an employee of the Company until 2000, when he became an independent consultant specializing in strategic planning. Mr. Miller is a member of the board of advisors of Global Access Point, Deluxe Sheet Metal, Inc., Kamterter Products, L. L. C. and Union Station Properties.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Mr. Miller’s individual qualifications include his leadership experience as chief executive and chief operating officer of several corporations, including prior sorbent minerals industry experience. In addition, he brings to the Board skills gained through his 11 years of employment with the Company in various operational, management and executive positions. He also serves on the advisory boards of several other companies and offers additional perspective gained through his experience as a strategic planning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400"/>
        <w:spacing w:after="0"/>
        <w:tabs>
          <w:tab w:leader="none" w:pos="4880" w:val="left"/>
          <w:tab w:leader="none" w:pos="6160" w:val="left"/>
        </w:tabs>
        <w:rPr>
          <w:sz w:val="20"/>
          <w:szCs w:val="20"/>
          <w:color w:val="auto"/>
        </w:rPr>
      </w:pPr>
      <w:r>
        <w:rPr>
          <w:rFonts w:ascii="Arial" w:cs="Arial" w:eastAsia="Arial" w:hAnsi="Arial"/>
          <w:sz w:val="22"/>
          <w:szCs w:val="22"/>
          <w:color w:val="auto"/>
        </w:rPr>
        <w:t>Michael A. Nemeroff</w:t>
      </w:r>
      <w:r>
        <w:rPr>
          <w:sz w:val="20"/>
          <w:szCs w:val="20"/>
          <w:color w:val="auto"/>
        </w:rPr>
        <w:tab/>
      </w:r>
      <w:r>
        <w:rPr>
          <w:rFonts w:ascii="Arial" w:cs="Arial" w:eastAsia="Arial" w:hAnsi="Arial"/>
          <w:sz w:val="22"/>
          <w:szCs w:val="22"/>
          <w:color w:val="auto"/>
        </w:rPr>
        <w:t>Age 52</w:t>
      </w:r>
      <w:r>
        <w:rPr>
          <w:sz w:val="20"/>
          <w:szCs w:val="20"/>
          <w:color w:val="auto"/>
        </w:rPr>
        <w:tab/>
      </w:r>
      <w:r>
        <w:rPr>
          <w:rFonts w:ascii="Arial" w:cs="Arial" w:eastAsia="Arial" w:hAnsi="Arial"/>
          <w:sz w:val="19"/>
          <w:szCs w:val="19"/>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1054735" cy="1543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4735" cy="1543685"/>
                    </a:xfrm>
                    <a:prstGeom prst="rect">
                      <a:avLst/>
                    </a:prstGeom>
                    <a:noFill/>
                  </pic:spPr>
                </pic:pic>
              </a:graphicData>
            </a:graphic>
          </wp:anchor>
        </w:drawing>
      </w:r>
    </w:p>
    <w:p>
      <w:pPr>
        <w:spacing w:after="0" w:line="146" w:lineRule="exact"/>
        <w:rPr>
          <w:sz w:val="20"/>
          <w:szCs w:val="20"/>
          <w:color w:val="auto"/>
        </w:rPr>
      </w:pPr>
    </w:p>
    <w:p>
      <w:pPr>
        <w:ind w:left="2400"/>
        <w:spacing w:after="0"/>
        <w:rPr>
          <w:sz w:val="20"/>
          <w:szCs w:val="20"/>
          <w:color w:val="auto"/>
        </w:rPr>
      </w:pPr>
      <w:r>
        <w:rPr>
          <w:rFonts w:ascii="Arial" w:cs="Arial" w:eastAsia="Arial" w:hAnsi="Arial"/>
          <w:sz w:val="22"/>
          <w:szCs w:val="22"/>
          <w:i w:val="1"/>
          <w:iCs w:val="1"/>
          <w:color w:val="auto"/>
        </w:rPr>
        <w:t>President and Chief Executive Officer, Vedder Price P.C.</w:t>
      </w:r>
    </w:p>
    <w:p>
      <w:pPr>
        <w:spacing w:after="0" w:line="166" w:lineRule="exact"/>
        <w:rPr>
          <w:sz w:val="20"/>
          <w:szCs w:val="20"/>
          <w:color w:val="auto"/>
        </w:rPr>
      </w:pPr>
    </w:p>
    <w:p>
      <w:pPr>
        <w:jc w:val="both"/>
        <w:ind w:left="2400"/>
        <w:spacing w:after="0" w:line="279" w:lineRule="auto"/>
        <w:rPr>
          <w:sz w:val="20"/>
          <w:szCs w:val="20"/>
          <w:color w:val="auto"/>
        </w:rPr>
      </w:pPr>
      <w:r>
        <w:rPr>
          <w:rFonts w:ascii="Arial" w:cs="Arial" w:eastAsia="Arial" w:hAnsi="Arial"/>
          <w:sz w:val="19"/>
          <w:szCs w:val="19"/>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services to the Company. Mr. Nemeroff serves as a legal advisor to the G100, an elite international organization of leading chief executive officers from Fortune 500 publicly traded corporations. He also serves as a member of the Executive Committee and Board of Directors of the Chicago Children’s Choir, a not-for-profit organization making a difference in the lives of children through musical excellence, and as a Trustee of the Chicago History Museum.</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ectPr>
          <w:pgSz w:w="11900" w:h="16838" w:orient="portrait"/>
          <w:cols w:equalWidth="0" w:num="1">
            <w:col w:w="11360"/>
          </w:cols>
          <w:pgMar w:left="280" w:top="92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80" w:top="928" w:right="259" w:bottom="1440" w:gutter="0" w:footer="0" w:header="0"/>
          <w:type w:val="continuous"/>
        </w:sectPr>
      </w:pPr>
    </w:p>
    <w:bookmarkStart w:id="14" w:name="page15"/>
    <w:bookmarkEnd w:id="14"/>
    <w:p>
      <w:pPr>
        <w:ind w:left="2400"/>
        <w:spacing w:after="0"/>
        <w:tabs>
          <w:tab w:leader="none" w:pos="4260" w:val="left"/>
          <w:tab w:leader="none" w:pos="5540" w:val="left"/>
        </w:tabs>
        <w:rPr>
          <w:sz w:val="20"/>
          <w:szCs w:val="20"/>
          <w:color w:val="auto"/>
        </w:rPr>
      </w:pPr>
      <w:r>
        <w:rPr>
          <w:rFonts w:ascii="Arial" w:cs="Arial" w:eastAsia="Arial" w:hAnsi="Arial"/>
          <w:sz w:val="22"/>
          <w:szCs w:val="22"/>
          <w:color w:val="auto"/>
        </w:rPr>
        <w:t>Allan H. Selig</w:t>
      </w:r>
      <w:r>
        <w:rPr>
          <w:sz w:val="20"/>
          <w:szCs w:val="20"/>
          <w:color w:val="auto"/>
        </w:rPr>
        <w:tab/>
      </w:r>
      <w:r>
        <w:rPr>
          <w:rFonts w:ascii="Arial" w:cs="Arial" w:eastAsia="Arial" w:hAnsi="Arial"/>
          <w:sz w:val="22"/>
          <w:szCs w:val="22"/>
          <w:color w:val="auto"/>
        </w:rPr>
        <w:t>Age 81</w:t>
      </w:r>
      <w:r>
        <w:rPr>
          <w:sz w:val="20"/>
          <w:szCs w:val="20"/>
          <w:color w:val="auto"/>
        </w:rPr>
        <w:tab/>
      </w:r>
      <w:r>
        <w:rPr>
          <w:rFonts w:ascii="Arial" w:cs="Arial" w:eastAsia="Arial" w:hAnsi="Arial"/>
          <w:sz w:val="19"/>
          <w:szCs w:val="19"/>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1063625" cy="1543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3625" cy="1543685"/>
                    </a:xfrm>
                    <a:prstGeom prst="rect">
                      <a:avLst/>
                    </a:prstGeom>
                    <a:noFill/>
                  </pic:spPr>
                </pic:pic>
              </a:graphicData>
            </a:graphic>
          </wp:anchor>
        </w:drawing>
      </w:r>
    </w:p>
    <w:p>
      <w:pPr>
        <w:spacing w:after="0" w:line="146" w:lineRule="exact"/>
        <w:rPr>
          <w:sz w:val="20"/>
          <w:szCs w:val="20"/>
          <w:color w:val="auto"/>
        </w:rPr>
      </w:pPr>
    </w:p>
    <w:p>
      <w:pPr>
        <w:ind w:left="2400"/>
        <w:spacing w:after="0"/>
        <w:rPr>
          <w:sz w:val="20"/>
          <w:szCs w:val="20"/>
          <w:color w:val="auto"/>
        </w:rPr>
      </w:pPr>
      <w:r>
        <w:rPr>
          <w:rFonts w:ascii="Arial" w:cs="Arial" w:eastAsia="Arial" w:hAnsi="Arial"/>
          <w:sz w:val="22"/>
          <w:szCs w:val="22"/>
          <w:i w:val="1"/>
          <w:iCs w:val="1"/>
          <w:color w:val="auto"/>
        </w:rPr>
        <w:t>Commissioner Emeritus of Major League Baseball</w:t>
      </w:r>
    </w:p>
    <w:p>
      <w:pPr>
        <w:spacing w:after="0" w:line="233" w:lineRule="exact"/>
        <w:rPr>
          <w:sz w:val="20"/>
          <w:szCs w:val="20"/>
          <w:color w:val="auto"/>
        </w:rPr>
      </w:pPr>
    </w:p>
    <w:p>
      <w:pPr>
        <w:ind w:left="2400"/>
        <w:spacing w:after="0"/>
        <w:rPr>
          <w:sz w:val="20"/>
          <w:szCs w:val="20"/>
          <w:color w:val="auto"/>
        </w:rPr>
      </w:pPr>
      <w:r>
        <w:rPr>
          <w:rFonts w:ascii="Arial" w:cs="Arial" w:eastAsia="Arial" w:hAnsi="Arial"/>
          <w:sz w:val="22"/>
          <w:szCs w:val="22"/>
          <w:i w:val="1"/>
          <w:iCs w:val="1"/>
          <w:color w:val="auto"/>
        </w:rPr>
        <w:t>President and Chairman of the Board, Selig Leasing Company Inc.</w:t>
      </w:r>
    </w:p>
    <w:p>
      <w:pPr>
        <w:spacing w:after="0" w:line="166" w:lineRule="exact"/>
        <w:rPr>
          <w:sz w:val="20"/>
          <w:szCs w:val="20"/>
          <w:color w:val="auto"/>
        </w:rPr>
      </w:pPr>
    </w:p>
    <w:p>
      <w:pPr>
        <w:jc w:val="both"/>
        <w:ind w:left="2400"/>
        <w:spacing w:after="0" w:line="236" w:lineRule="auto"/>
        <w:rPr>
          <w:sz w:val="20"/>
          <w:szCs w:val="20"/>
          <w:color w:val="auto"/>
        </w:rPr>
      </w:pPr>
      <w:r>
        <w:rPr>
          <w:rFonts w:ascii="Arial" w:cs="Arial" w:eastAsia="Arial" w:hAnsi="Arial"/>
          <w:sz w:val="22"/>
          <w:szCs w:val="22"/>
          <w:color w:val="auto"/>
        </w:rPr>
        <w:t>Mr. Selig received a bachelor’s degree from the University of Wisconsin in 1956. After two years in the United States Army, Mr. Selig joined Selig Ford, Inc. He served as president of Selig Ford (which became Selig Chevrolet in 1982) from 1959 until 1990. Since 1970, he has served as Chairman of the Board and President of Selig Lease Company. Mr. Selig became President and Chief Executive Officer of the Milwaukee</w:t>
      </w:r>
    </w:p>
    <w:p>
      <w:pPr>
        <w:spacing w:after="0" w:line="2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Brewers Baseball Club, Inc. in 1970 and served in that capacity until 1998, when he was elected to the position of Commissioner of Major League Baseball. He also served as Chairman of the Executive Council of Major League Baseball from 1992 to 1998. He now holds the position of Commissioner Emeritus of Major League Baseball following his retirement as Commissioner in January of 2015. Mr. Selig is a director of Marcus Corporation and a director emeritus of the Green Bay Packers.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Mr. Selig’s individual qualifications include sound judgment, integrity and business management skills gained through his management of several businesses, including his long tenure as Commissioner of Major League Baseball and as chief executive of the Milwaukee Brewers Baseball Club and his family’s automobile businesses. Mr. Selig’s unique ability to manage by consensus brought change and growth in baseball despite economic and political challenges both inside and outside of baseball. In addition, Mr. Selig is a community leader and an active advisor to several philanthropic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400"/>
        <w:spacing w:after="0"/>
        <w:tabs>
          <w:tab w:leader="none" w:pos="4380" w:val="left"/>
          <w:tab w:leader="none" w:pos="5660" w:val="left"/>
        </w:tabs>
        <w:rPr>
          <w:sz w:val="20"/>
          <w:szCs w:val="20"/>
          <w:color w:val="auto"/>
        </w:rPr>
      </w:pPr>
      <w:r>
        <w:rPr>
          <w:rFonts w:ascii="Arial" w:cs="Arial" w:eastAsia="Arial" w:hAnsi="Arial"/>
          <w:sz w:val="22"/>
          <w:szCs w:val="22"/>
          <w:color w:val="auto"/>
        </w:rPr>
        <w:t>Paul E. Suckow</w:t>
      </w:r>
      <w:r>
        <w:rPr>
          <w:sz w:val="20"/>
          <w:szCs w:val="20"/>
          <w:color w:val="auto"/>
        </w:rPr>
        <w:tab/>
      </w:r>
      <w:r>
        <w:rPr>
          <w:rFonts w:ascii="Arial" w:cs="Arial" w:eastAsia="Arial" w:hAnsi="Arial"/>
          <w:sz w:val="22"/>
          <w:szCs w:val="22"/>
          <w:color w:val="auto"/>
        </w:rPr>
        <w:t>Age 68</w:t>
      </w:r>
      <w:r>
        <w:rPr>
          <w:sz w:val="20"/>
          <w:szCs w:val="20"/>
          <w:color w:val="auto"/>
        </w:rPr>
        <w:tab/>
      </w:r>
      <w:r>
        <w:rPr>
          <w:rFonts w:ascii="Arial" w:cs="Arial" w:eastAsia="Arial" w:hAnsi="Arial"/>
          <w:sz w:val="19"/>
          <w:szCs w:val="19"/>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1140460" cy="1663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0460" cy="1663700"/>
                    </a:xfrm>
                    <a:prstGeom prst="rect">
                      <a:avLst/>
                    </a:prstGeom>
                    <a:noFill/>
                  </pic:spPr>
                </pic:pic>
              </a:graphicData>
            </a:graphic>
          </wp:anchor>
        </w:drawing>
      </w:r>
    </w:p>
    <w:p>
      <w:pPr>
        <w:spacing w:after="0" w:line="146" w:lineRule="exact"/>
        <w:rPr>
          <w:sz w:val="20"/>
          <w:szCs w:val="20"/>
          <w:color w:val="auto"/>
        </w:rPr>
      </w:pPr>
    </w:p>
    <w:p>
      <w:pPr>
        <w:ind w:left="2400"/>
        <w:spacing w:after="0"/>
        <w:rPr>
          <w:sz w:val="20"/>
          <w:szCs w:val="20"/>
          <w:color w:val="auto"/>
        </w:rPr>
      </w:pPr>
      <w:r>
        <w:rPr>
          <w:rFonts w:ascii="Arial" w:cs="Arial" w:eastAsia="Arial" w:hAnsi="Arial"/>
          <w:sz w:val="22"/>
          <w:szCs w:val="22"/>
          <w:i w:val="1"/>
          <w:iCs w:val="1"/>
          <w:color w:val="auto"/>
        </w:rPr>
        <w:t>Business Fellow and Adjunct Professor,</w:t>
      </w:r>
    </w:p>
    <w:p>
      <w:pPr>
        <w:spacing w:after="0" w:line="166" w:lineRule="exact"/>
        <w:rPr>
          <w:sz w:val="20"/>
          <w:szCs w:val="20"/>
          <w:color w:val="auto"/>
        </w:rPr>
      </w:pPr>
    </w:p>
    <w:p>
      <w:pPr>
        <w:ind w:left="2400"/>
        <w:spacing w:after="0"/>
        <w:rPr>
          <w:sz w:val="20"/>
          <w:szCs w:val="20"/>
          <w:color w:val="auto"/>
        </w:rPr>
      </w:pPr>
      <w:r>
        <w:rPr>
          <w:rFonts w:ascii="Arial" w:cs="Arial" w:eastAsia="Arial" w:hAnsi="Arial"/>
          <w:sz w:val="22"/>
          <w:szCs w:val="22"/>
          <w:i w:val="1"/>
          <w:iCs w:val="1"/>
          <w:color w:val="auto"/>
        </w:rPr>
        <w:t>Finance and Economics, Villanova University</w:t>
      </w:r>
    </w:p>
    <w:p>
      <w:pPr>
        <w:spacing w:after="0" w:line="166" w:lineRule="exact"/>
        <w:rPr>
          <w:sz w:val="20"/>
          <w:szCs w:val="20"/>
          <w:color w:val="auto"/>
        </w:rPr>
      </w:pPr>
    </w:p>
    <w:p>
      <w:pPr>
        <w:jc w:val="both"/>
        <w:ind w:left="2400" w:right="20"/>
        <w:spacing w:after="0" w:line="235" w:lineRule="auto"/>
        <w:rPr>
          <w:sz w:val="20"/>
          <w:szCs w:val="20"/>
          <w:color w:val="auto"/>
        </w:rPr>
      </w:pPr>
      <w:r>
        <w:rPr>
          <w:rFonts w:ascii="Arial" w:cs="Arial" w:eastAsia="Arial" w:hAnsi="Arial"/>
          <w:sz w:val="22"/>
          <w:szCs w:val="22"/>
          <w:color w:val="auto"/>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w:t>
      </w:r>
    </w:p>
    <w:p>
      <w:pPr>
        <w:spacing w:after="0" w:line="27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Portfolio Manager for Delaware Investment Advisers. From 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p>
      <w:pPr>
        <w:spacing w:after="0" w:line="148"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and is an “audit committee financial expert” within the meaning of SEC rules.</w:t>
      </w:r>
    </w:p>
    <w:p>
      <w:pPr>
        <w:sectPr>
          <w:pgSz w:w="11900" w:h="16838" w:orient="portrait"/>
          <w:cols w:equalWidth="0" w:num="1">
            <w:col w:w="11360"/>
          </w:cols>
          <w:pgMar w:left="280" w:top="92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80" w:top="928" w:right="259" w:bottom="1440" w:gutter="0" w:footer="0" w:header="0"/>
          <w:type w:val="continuous"/>
        </w:sectPr>
      </w:pPr>
    </w:p>
    <w:bookmarkStart w:id="15" w:name="page16"/>
    <w:bookmarkEnd w:id="15"/>
    <w:p>
      <w:pPr>
        <w:ind w:left="2400"/>
        <w:spacing w:after="0"/>
        <w:tabs>
          <w:tab w:leader="none" w:pos="4900" w:val="left"/>
          <w:tab w:leader="none" w:pos="6180" w:val="left"/>
        </w:tabs>
        <w:rPr>
          <w:sz w:val="20"/>
          <w:szCs w:val="20"/>
          <w:color w:val="auto"/>
        </w:rPr>
      </w:pPr>
      <w:r>
        <w:rPr>
          <w:rFonts w:ascii="Arial" w:cs="Arial" w:eastAsia="Arial" w:hAnsi="Arial"/>
          <w:sz w:val="22"/>
          <w:szCs w:val="22"/>
          <w:color w:val="auto"/>
        </w:rPr>
        <w:t>Lawrence E. Washow</w:t>
      </w:r>
      <w:r>
        <w:rPr>
          <w:sz w:val="20"/>
          <w:szCs w:val="20"/>
          <w:color w:val="auto"/>
        </w:rPr>
        <w:tab/>
      </w:r>
      <w:r>
        <w:rPr>
          <w:rFonts w:ascii="Arial" w:cs="Arial" w:eastAsia="Arial" w:hAnsi="Arial"/>
          <w:sz w:val="22"/>
          <w:szCs w:val="22"/>
          <w:color w:val="auto"/>
        </w:rPr>
        <w:t>Age 62</w:t>
      </w:r>
      <w:r>
        <w:rPr>
          <w:sz w:val="20"/>
          <w:szCs w:val="20"/>
          <w:color w:val="auto"/>
        </w:rPr>
        <w:tab/>
      </w:r>
      <w:r>
        <w:rPr>
          <w:rFonts w:ascii="Arial" w:cs="Arial" w:eastAsia="Arial" w:hAnsi="Arial"/>
          <w:sz w:val="19"/>
          <w:szCs w:val="19"/>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-103505</wp:posOffset>
            </wp:positionV>
            <wp:extent cx="1020445" cy="1526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0445" cy="1526540"/>
                    </a:xfrm>
                    <a:prstGeom prst="rect">
                      <a:avLst/>
                    </a:prstGeom>
                    <a:noFill/>
                  </pic:spPr>
                </pic:pic>
              </a:graphicData>
            </a:graphic>
          </wp:anchor>
        </w:drawing>
      </w:r>
    </w:p>
    <w:p>
      <w:pPr>
        <w:spacing w:after="0" w:line="146" w:lineRule="exact"/>
        <w:rPr>
          <w:sz w:val="20"/>
          <w:szCs w:val="20"/>
          <w:color w:val="auto"/>
        </w:rPr>
      </w:pPr>
    </w:p>
    <w:p>
      <w:pPr>
        <w:ind w:left="2400"/>
        <w:spacing w:after="0"/>
        <w:rPr>
          <w:sz w:val="20"/>
          <w:szCs w:val="20"/>
          <w:color w:val="auto"/>
        </w:rPr>
      </w:pPr>
      <w:r>
        <w:rPr>
          <w:rFonts w:ascii="Arial" w:cs="Arial" w:eastAsia="Arial" w:hAnsi="Arial"/>
          <w:sz w:val="22"/>
          <w:szCs w:val="22"/>
          <w:i w:val="1"/>
          <w:iCs w:val="1"/>
          <w:color w:val="auto"/>
        </w:rPr>
        <w:t>Chairman, First Bauxite Corporation</w:t>
      </w:r>
    </w:p>
    <w:p>
      <w:pPr>
        <w:spacing w:after="0" w:line="166" w:lineRule="exact"/>
        <w:rPr>
          <w:sz w:val="20"/>
          <w:szCs w:val="20"/>
          <w:color w:val="auto"/>
        </w:rPr>
      </w:pPr>
    </w:p>
    <w:p>
      <w:pPr>
        <w:ind w:left="2400"/>
        <w:spacing w:after="0"/>
        <w:rPr>
          <w:sz w:val="20"/>
          <w:szCs w:val="20"/>
          <w:color w:val="auto"/>
        </w:rPr>
      </w:pPr>
      <w:r>
        <w:rPr>
          <w:rFonts w:ascii="Arial" w:cs="Arial" w:eastAsia="Arial" w:hAnsi="Arial"/>
          <w:sz w:val="22"/>
          <w:szCs w:val="22"/>
          <w:i w:val="1"/>
          <w:iCs w:val="1"/>
          <w:color w:val="auto"/>
        </w:rPr>
        <w:t>Board Member and Partner of Eudora Global, LLC</w:t>
      </w:r>
    </w:p>
    <w:p>
      <w:pPr>
        <w:spacing w:after="0" w:line="166" w:lineRule="exact"/>
        <w:rPr>
          <w:sz w:val="20"/>
          <w:szCs w:val="20"/>
          <w:color w:val="auto"/>
        </w:rPr>
      </w:pPr>
    </w:p>
    <w:p>
      <w:pPr>
        <w:jc w:val="both"/>
        <w:ind w:left="2400"/>
        <w:spacing w:after="0" w:line="236" w:lineRule="auto"/>
        <w:rPr>
          <w:sz w:val="20"/>
          <w:szCs w:val="20"/>
          <w:color w:val="auto"/>
        </w:rPr>
      </w:pPr>
      <w:r>
        <w:rPr>
          <w:rFonts w:ascii="Arial" w:cs="Arial" w:eastAsia="Arial" w:hAnsi="Arial"/>
          <w:sz w:val="22"/>
          <w:szCs w:val="22"/>
          <w:color w:val="auto"/>
        </w:rPr>
        <w:t>Mr. Washow received a bachelor’s degree from Miami University in Oxford, Ohio in 1975 and earned an M.B.A. from Kellogg Graduate School of Management of Northwestern University in 1981. Mr. Washow began his career at American Colloid Company (which subsequently became a subsidiary of AMCOL International Corporation, which is now Mineral Technologies Inc.) in the Personnel Department</w:t>
      </w:r>
    </w:p>
    <w:p>
      <w:pPr>
        <w:spacing w:after="0" w:line="2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1978 and was thereafter promoted to Industrial Relations Manager. In 1986, he was picked to build and lead Chemdal International, a stand-alone subsidiary of AMCOL International Corporation. Mr. Washow became Chief Operating Officer of AMCOL International Corporation in 1998 and President and Chief Executive Officer of AMCOL International Corporation in 2000 and served in these positions and as a director of AMCOL International Corporation until 2010. In 2011, Mr. Washow became a board member, and now serves as Chairman, of First Bauxite Corporation. He also serves as a board member and partner of Eudora Global, LLC and is a member of the Advisory Board of S&amp;B Minerals.</w:t>
      </w:r>
    </w:p>
    <w:p>
      <w:pPr>
        <w:spacing w:after="0" w:line="177"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Mr. Washow’s individual qualifications include his extensive global experience in minerals, mining, manufacturing and distribution. In addition, Mr. Washow is an “audit committee financial expert” within the meaning of SEC rules and brings to the Board his strong business acumen and broad experience in management, operations, public company governance and compliance obtained through the leadership positions, including president, chief executive officer and board member that he has held with public corporations.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928"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2. Ratification of Appointment of Independent Auditor</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Audit Committee of the Board of Directors appointed Grant Thornton as the Company’s independent auditor for the fiscal year ending July 31, 2016 at its meeting on October 6, 2015, and has further directed that we submit the appointment of the independent auditor for ratification by the stockholders at the 2015 Annual Meeting. Grant Thornton audited the Company’s consolidated financial statements for the fiscal year ended July 31, 2015. A representative of Grant Thornton is expected to be present at the 2015 Annual Meeting and will have an opportunity to make a statement if he or she so desires and will be available to respond to appropriate questions.</w:t>
      </w:r>
    </w:p>
    <w:p>
      <w:pPr>
        <w:spacing w:after="0" w:line="15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Stockholder ratification of the appointment of Grant Thornton as the Company’s independent auditor is not required by the Company’s Amended and Restated By-Laws or otherwise; however, our Board of Directors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 Our Audit Committee used such discretion during the fiscal year ended July 31, 2014 to appoint Grant Thornton to replace PricewaterhouseCoopers LLP (“PwC”) as the Company’s independent auditor effective on March 17,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RATIFICATION OF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 OF GRANT THORNTON LLP AS INDEPENDENT AUDITOR.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 Fees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aggregate fees (including reimbursed expenses) for professional services billed by PwC and Grant Thornton to us in the fiscal years ended July 31, 2015 (“fiscal 2015”) and 2014 (“fiscal 2014”)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jc w:val="right"/>
              <w:ind w:right="712"/>
              <w:spacing w:after="0"/>
              <w:rPr>
                <w:sz w:val="20"/>
                <w:szCs w:val="20"/>
                <w:color w:val="auto"/>
              </w:rPr>
            </w:pPr>
            <w:r>
              <w:rPr>
                <w:rFonts w:ascii="Arial" w:cs="Arial" w:eastAsia="Arial" w:hAnsi="Arial"/>
                <w:sz w:val="22"/>
                <w:szCs w:val="22"/>
                <w:color w:val="auto"/>
              </w:rPr>
              <w:t>2015</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right"/>
              <w:ind w:right="592"/>
              <w:spacing w:after="0"/>
              <w:rPr>
                <w:sz w:val="20"/>
                <w:szCs w:val="20"/>
                <w:color w:val="auto"/>
              </w:rPr>
            </w:pPr>
            <w:r>
              <w:rPr>
                <w:rFonts w:ascii="Arial" w:cs="Arial" w:eastAsia="Arial" w:hAnsi="Arial"/>
                <w:sz w:val="22"/>
                <w:szCs w:val="22"/>
                <w:color w:val="auto"/>
              </w:rPr>
              <w:t>2015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692"/>
              <w:spacing w:after="0"/>
              <w:rPr>
                <w:sz w:val="20"/>
                <w:szCs w:val="20"/>
                <w:color w:val="auto"/>
              </w:rPr>
            </w:pPr>
            <w:r>
              <w:rPr>
                <w:rFonts w:ascii="Arial" w:cs="Arial" w:eastAsia="Arial" w:hAnsi="Arial"/>
                <w:sz w:val="22"/>
                <w:szCs w:val="22"/>
                <w:color w:val="auto"/>
              </w:rPr>
              <w:t>2014</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60" w:type="dxa"/>
            <w:vAlign w:val="bottom"/>
          </w:tcPr>
          <w:p>
            <w:pPr>
              <w:jc w:val="right"/>
              <w:ind w:right="592"/>
              <w:spacing w:after="0"/>
              <w:rPr>
                <w:sz w:val="20"/>
                <w:szCs w:val="20"/>
                <w:color w:val="auto"/>
              </w:rPr>
            </w:pPr>
            <w:r>
              <w:rPr>
                <w:rFonts w:ascii="Arial" w:cs="Arial" w:eastAsia="Arial" w:hAnsi="Arial"/>
                <w:sz w:val="22"/>
                <w:szCs w:val="22"/>
                <w:color w:val="auto"/>
              </w:rPr>
              <w:t>2014</w:t>
            </w:r>
          </w:p>
        </w:tc>
      </w:tr>
      <w:tr>
        <w:trPr>
          <w:trHeight w:val="30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Type of Fees</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3"/>
              </w:rPr>
              <w:t>(Grant Thornton)</w:t>
            </w:r>
          </w:p>
        </w:tc>
        <w:tc>
          <w:tcPr>
            <w:tcW w:w="2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(PwC)</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3"/>
              </w:rPr>
              <w:t>(Grant Thornton)</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(PwC)</w:t>
            </w:r>
          </w:p>
        </w:tc>
      </w:tr>
      <w:tr>
        <w:trPr>
          <w:trHeight w:val="297"/>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Audit fees (1)</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536,769</w:t>
            </w: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278,139</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437,768</w:t>
            </w:r>
          </w:p>
        </w:tc>
      </w:tr>
      <w:tr>
        <w:trPr>
          <w:trHeight w:val="289"/>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Audit-related fees (2)</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6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5,800</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6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88,115</w:t>
            </w:r>
          </w:p>
        </w:tc>
      </w:tr>
      <w:tr>
        <w:trPr>
          <w:trHeight w:val="30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Tax fees (3)</w:t>
            </w:r>
          </w:p>
        </w:tc>
        <w:tc>
          <w:tcPr>
            <w:tcW w:w="2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89"/>
        </w:trPr>
        <w:tc>
          <w:tcPr>
            <w:tcW w:w="2960" w:type="dxa"/>
            <w:vAlign w:val="bottom"/>
            <w:gridSpan w:val="2"/>
          </w:tcPr>
          <w:p>
            <w:pPr>
              <w:ind w:left="380"/>
              <w:spacing w:after="0"/>
              <w:rPr>
                <w:sz w:val="20"/>
                <w:szCs w:val="20"/>
                <w:color w:val="auto"/>
              </w:rPr>
            </w:pPr>
            <w:r>
              <w:rPr>
                <w:rFonts w:ascii="Arial" w:cs="Arial" w:eastAsia="Arial" w:hAnsi="Arial"/>
                <w:sz w:val="22"/>
                <w:szCs w:val="22"/>
                <w:color w:val="auto"/>
              </w:rPr>
              <w:t>Tax compliance</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ind w:right="12"/>
              <w:spacing w:after="0"/>
              <w:rPr>
                <w:sz w:val="20"/>
                <w:szCs w:val="20"/>
                <w:color w:val="auto"/>
              </w:rPr>
            </w:pPr>
            <w:r>
              <w:rPr>
                <w:rFonts w:ascii="Arial" w:cs="Arial" w:eastAsia="Arial" w:hAnsi="Arial"/>
                <w:sz w:val="22"/>
                <w:szCs w:val="22"/>
                <w:color w:val="auto"/>
              </w:rPr>
              <w:t>175,889</w:t>
            </w:r>
          </w:p>
        </w:tc>
        <w:tc>
          <w:tcPr>
            <w:tcW w:w="200" w:type="dxa"/>
            <w:vAlign w:val="bottom"/>
          </w:tcPr>
          <w:p>
            <w:pPr>
              <w:spacing w:after="0"/>
              <w:rPr>
                <w:sz w:val="24"/>
                <w:szCs w:val="24"/>
                <w:color w:val="auto"/>
              </w:rPr>
            </w:pPr>
          </w:p>
        </w:tc>
        <w:tc>
          <w:tcPr>
            <w:tcW w:w="40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6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268,313</w:t>
            </w:r>
          </w:p>
        </w:tc>
      </w:tr>
      <w:tr>
        <w:trPr>
          <w:trHeight w:val="306"/>
        </w:trPr>
        <w:tc>
          <w:tcPr>
            <w:tcW w:w="2960" w:type="dxa"/>
            <w:vAlign w:val="bottom"/>
            <w:gridSpan w:val="2"/>
            <w:shd w:val="clear" w:color="auto" w:fill="CCEEFF"/>
          </w:tcPr>
          <w:p>
            <w:pPr>
              <w:ind w:left="380"/>
              <w:spacing w:after="0"/>
              <w:rPr>
                <w:sz w:val="20"/>
                <w:szCs w:val="20"/>
                <w:color w:val="auto"/>
              </w:rPr>
            </w:pPr>
            <w:r>
              <w:rPr>
                <w:rFonts w:ascii="Arial" w:cs="Arial" w:eastAsia="Arial" w:hAnsi="Arial"/>
                <w:sz w:val="22"/>
                <w:szCs w:val="22"/>
                <w:color w:val="auto"/>
              </w:rPr>
              <w:t>Tax planning</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8,500</w:t>
            </w: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39,356</w:t>
            </w:r>
          </w:p>
        </w:tc>
      </w:tr>
      <w:tr>
        <w:trPr>
          <w:trHeight w:val="291"/>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All other fees (4)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5,000</w:t>
            </w: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b w:val="1"/>
                <w:bCs w:val="1"/>
                <w:color w:val="auto"/>
                <w:w w:val="97"/>
              </w:rPr>
              <w:t>$</w:t>
            </w:r>
          </w:p>
        </w:tc>
        <w:tc>
          <w:tcPr>
            <w:tcW w:w="16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22"/>
                <w:szCs w:val="22"/>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7"/>
              </w:rPr>
              <w:t>$</w:t>
            </w:r>
          </w:p>
        </w:tc>
        <w:tc>
          <w:tcPr>
            <w:tcW w:w="20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22"/>
                <w:szCs w:val="22"/>
                <w:b w:val="1"/>
                <w:bCs w:val="1"/>
                <w:color w:val="auto"/>
              </w:rPr>
              <w:t>—</w:t>
            </w: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80"/>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Total</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ind w:right="12"/>
              <w:spacing w:after="0"/>
              <w:rPr>
                <w:sz w:val="20"/>
                <w:szCs w:val="20"/>
                <w:color w:val="auto"/>
              </w:rPr>
            </w:pPr>
            <w:r>
              <w:rPr>
                <w:rFonts w:ascii="Arial" w:cs="Arial" w:eastAsia="Arial" w:hAnsi="Arial"/>
                <w:sz w:val="22"/>
                <w:szCs w:val="22"/>
                <w:color w:val="auto"/>
              </w:rPr>
              <w:t>726,158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5,800</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40" w:type="dxa"/>
            <w:vAlign w:val="bottom"/>
          </w:tcPr>
          <w:p>
            <w:pPr>
              <w:jc w:val="right"/>
              <w:spacing w:after="0"/>
              <w:rPr>
                <w:sz w:val="20"/>
                <w:szCs w:val="20"/>
                <w:color w:val="auto"/>
              </w:rPr>
            </w:pPr>
            <w:r>
              <w:rPr>
                <w:rFonts w:ascii="Arial" w:cs="Arial" w:eastAsia="Arial" w:hAnsi="Arial"/>
                <w:sz w:val="22"/>
                <w:szCs w:val="22"/>
                <w:color w:val="auto"/>
              </w:rPr>
              <w:t>278,139</w:t>
            </w:r>
          </w:p>
        </w:tc>
        <w:tc>
          <w:tcPr>
            <w:tcW w:w="22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833,552</w:t>
            </w:r>
          </w:p>
        </w:tc>
      </w:tr>
    </w:tbl>
    <w:p>
      <w:pPr>
        <w:spacing w:after="0" w:line="200" w:lineRule="exact"/>
        <w:rPr>
          <w:sz w:val="20"/>
          <w:szCs w:val="20"/>
          <w:color w:val="auto"/>
        </w:rPr>
      </w:pPr>
    </w:p>
    <w:p>
      <w:pPr>
        <w:spacing w:after="0" w:line="241" w:lineRule="exact"/>
        <w:rPr>
          <w:sz w:val="20"/>
          <w:szCs w:val="20"/>
          <w:color w:val="auto"/>
        </w:rPr>
      </w:pPr>
    </w:p>
    <w:p>
      <w:pPr>
        <w:jc w:val="both"/>
        <w:ind w:right="20" w:firstLine="8"/>
        <w:spacing w:after="0" w:line="326" w:lineRule="auto"/>
        <w:tabs>
          <w:tab w:leader="none" w:pos="515" w:val="left"/>
        </w:tabs>
        <w:numPr>
          <w:ilvl w:val="0"/>
          <w:numId w:val="23"/>
        </w:numPr>
        <w:rPr>
          <w:rFonts w:ascii="Arial" w:cs="Arial" w:eastAsia="Arial" w:hAnsi="Arial"/>
          <w:sz w:val="19"/>
          <w:szCs w:val="19"/>
          <w:color w:val="auto"/>
        </w:rPr>
      </w:pPr>
      <w:r>
        <w:rPr>
          <w:rFonts w:ascii="Arial" w:cs="Arial" w:eastAsia="Arial" w:hAnsi="Arial"/>
          <w:sz w:val="19"/>
          <w:szCs w:val="19"/>
          <w:color w:val="auto"/>
        </w:rPr>
        <w:t>Audit fees consist of fees for professional services provided in connection with the audit of our annual financial statements and review of our quarterly financial statements and audit services provided in connection with other statutory or regulatory filings.</w:t>
      </w:r>
    </w:p>
    <w:p>
      <w:pPr>
        <w:jc w:val="both"/>
        <w:ind w:firstLine="8"/>
        <w:spacing w:after="0" w:line="253" w:lineRule="auto"/>
        <w:tabs>
          <w:tab w:leader="none" w:pos="561" w:val="left"/>
        </w:tabs>
        <w:numPr>
          <w:ilvl w:val="0"/>
          <w:numId w:val="23"/>
        </w:numPr>
        <w:rPr>
          <w:rFonts w:ascii="Arial" w:cs="Arial" w:eastAsia="Arial" w:hAnsi="Arial"/>
          <w:sz w:val="22"/>
          <w:szCs w:val="22"/>
          <w:color w:val="auto"/>
        </w:rPr>
      </w:pPr>
      <w:r>
        <w:rPr>
          <w:rFonts w:ascii="Arial" w:cs="Arial" w:eastAsia="Arial" w:hAnsi="Arial"/>
          <w:sz w:val="22"/>
          <w:szCs w:val="22"/>
          <w:color w:val="auto"/>
        </w:rPr>
        <w:t>PwC’s audit-related fees in fiscal 2015 were for services performed in connection with the Company’s Annual Report on Form 10-K for fiscal 2014. PwC’s audit-related fees in fiscal 2014 were for services related to the Company’s transition to Grant Thornton as its independent auditor and the acquisition of certain assets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74" w:right="23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22"/>
          <w:szCs w:val="22"/>
          <w:color w:val="auto"/>
        </w:rPr>
        <w:t>of MFM Industries, Inc. (the “MFM Acquisition”). See our Annual Report on Form 10-K for fiscal 2014 for further information on the MFM Acquisition.</w:t>
      </w:r>
    </w:p>
    <w:p>
      <w:pPr>
        <w:spacing w:after="0" w:line="40" w:lineRule="exact"/>
        <w:rPr>
          <w:sz w:val="20"/>
          <w:szCs w:val="20"/>
          <w:color w:val="auto"/>
        </w:rPr>
      </w:pPr>
    </w:p>
    <w:p>
      <w:pPr>
        <w:jc w:val="both"/>
        <w:ind w:firstLine="8"/>
        <w:spacing w:after="0" w:line="265" w:lineRule="auto"/>
        <w:tabs>
          <w:tab w:leader="none" w:pos="506" w:val="left"/>
        </w:tabs>
        <w:numPr>
          <w:ilvl w:val="0"/>
          <w:numId w:val="24"/>
        </w:numPr>
        <w:rPr>
          <w:rFonts w:ascii="Arial" w:cs="Arial" w:eastAsia="Arial" w:hAnsi="Arial"/>
          <w:sz w:val="21"/>
          <w:szCs w:val="21"/>
          <w:color w:val="auto"/>
        </w:rPr>
      </w:pPr>
      <w:r>
        <w:rPr>
          <w:rFonts w:ascii="Arial" w:cs="Arial" w:eastAsia="Arial" w:hAnsi="Arial"/>
          <w:sz w:val="21"/>
          <w:szCs w:val="21"/>
          <w:color w:val="auto"/>
        </w:rPr>
        <w:t>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primarily of research and advice regarding the effect of new tax laws and regulations.</w:t>
      </w:r>
    </w:p>
    <w:p>
      <w:pPr>
        <w:spacing w:after="0" w:line="135" w:lineRule="exact"/>
        <w:rPr>
          <w:rFonts w:ascii="Arial" w:cs="Arial" w:eastAsia="Arial" w:hAnsi="Arial"/>
          <w:sz w:val="21"/>
          <w:szCs w:val="21"/>
          <w:color w:val="auto"/>
        </w:rPr>
      </w:pPr>
    </w:p>
    <w:p>
      <w:pPr>
        <w:ind w:firstLine="8"/>
        <w:spacing w:after="0" w:line="263" w:lineRule="auto"/>
        <w:tabs>
          <w:tab w:leader="none" w:pos="484"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other fees consist of fees billed for non-audit related internal control procedures for our wholly-owned subsidiary, Amlan Trading (Shenzhen) Company, Ltd.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Pre-Approval of Independent Auditor Services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 services specifically prohibited by the Sarbanes-Oxley Act of 2002 will be provided to the Company by the independent auditor. Permitted services must be pre-approved by the Audit Committee of our Board of Directors. PwC, the former independent auditor of the Company, and Grant Thornton did not render any services relating to financial information systems design and implementation for fiscal 2015. None of the services described above were approved pursuant to the de minimus exception provided by Rule 2-01(c)(7)(i)(C) of SEC Regulation S-X.</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80" w:right="239" w:bottom="1440" w:gutter="0" w:footer="0" w:header="0"/>
        </w:sectPr>
      </w:pPr>
    </w:p>
    <w:bookmarkStart w:id="18" w:name="page19"/>
    <w:bookmarkEnd w:id="18"/>
    <w:p>
      <w:pPr>
        <w:ind w:left="1960" w:right="1940" w:firstLine="530"/>
        <w:spacing w:after="0" w:line="295" w:lineRule="auto"/>
        <w:tabs>
          <w:tab w:leader="none" w:pos="2711"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Approval of the Amendment to the Oil-Dri Corporation of America 2006 Long Term Incentive Plan to amend and approve the performance measures</w:t>
      </w:r>
    </w:p>
    <w:p>
      <w:pPr>
        <w:ind w:left="294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pursuant to which performance-based awards may be based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On October 15, 2015, the Board of Directors approved and adopted an amendment (the “Plan Amendment”) to the Oil-Dri Corporation of America 2006 Long Term Incentive Plan, as amended (the “Incentive Plan”), to enumerate the specific performance measures pursuant to which performance-based awards granted under the Incentive Plan may be based. Stockholders previously approved the Incentive Plan at the Company’s 2006 annual meeting. Stockholder approval of the Plan Amendment will allow performance-based awards made under the Incentive Plan to “covered” executive officers of the Company to be fully deductible by the Company for federal income tax purposes under Section 162(m) of the Internal Revenue Code (the “Code”) if and to the extent the Compensation Committee of the Board of Directors, the Board of Directors or another committee the Board of Directors appoints pursuant to its authority under the Incentive Plan (the “Compensation Committee”) determines that compliance with the performance-based exception to tax deductibility limitations under Section 162(m) is desirable and complies with such requirements.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Presently, the Incentive Plan provides that performance goals with respect to any performance awards that may be granted by the Compensation Committee will be specified in the applicable award agreement. The Plan Amendment specifically enumerates the categories of strategic, financial, operating, net asset and share price performance criteria that may be used as performance measures with respect to any performance award.</w:t>
      </w:r>
    </w:p>
    <w:p>
      <w:pPr>
        <w:spacing w:after="0" w:line="18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Stockholders are not being asked to approve any additional shares for issuance under the Incentive Plan</w:t>
      </w:r>
      <w:r>
        <w:rPr>
          <w:rFonts w:ascii="Arial" w:cs="Arial" w:eastAsia="Arial" w:hAnsi="Arial"/>
          <w:sz w:val="19"/>
          <w:szCs w:val="19"/>
          <w:color w:val="auto"/>
        </w:rPr>
        <w:t>.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as set forth above, approval of the Plan Amendment will not impact any other terms and conditions of the Incentive Plan.</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The following is a description of the specific performance measures to be set forth in the Incentive Plan through the Plan Amendment, followed by a description of other material terms of the Incentive Plan. These descriptions do not purport to be complete and are qualified in their entirety by reference to the Plan Amendment, a copy of which is included as </w:t>
      </w:r>
      <w:r>
        <w:rPr>
          <w:rFonts w:ascii="Arial" w:cs="Arial" w:eastAsia="Arial" w:hAnsi="Arial"/>
          <w:sz w:val="21"/>
          <w:szCs w:val="21"/>
          <w:i w:val="1"/>
          <w:iCs w:val="1"/>
          <w:color w:val="auto"/>
        </w:rPr>
        <w:t>Appendix A</w:t>
      </w:r>
      <w:r>
        <w:rPr>
          <w:rFonts w:ascii="Arial" w:cs="Arial" w:eastAsia="Arial" w:hAnsi="Arial"/>
          <w:sz w:val="21"/>
          <w:szCs w:val="21"/>
          <w:color w:val="auto"/>
        </w:rPr>
        <w:t xml:space="preserve"> to this proxy statement, as well as to the 2006 Long Term Incentive Plan, a copy of which was included as Appendix A to the Company’s Definitive Proxy Statement on Schedule 14A filed with the SEC on November 3, 2006, and the First Amendment to the 2006 Long Term Incentive Plan, effective as of January 1, 2008, a copy of which was filed as Exhibit 10.5 to the Company’s Quarterly Report on Form 10-Q for the quarter ended January 31, 2008.</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 Criteria - Performance Awards and Performance Measures</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i w:val="1"/>
          <w:iCs w:val="1"/>
          <w:color w:val="auto"/>
        </w:rPr>
        <w:t>Performance Awards</w:t>
      </w:r>
      <w:r>
        <w:rPr>
          <w:rFonts w:ascii="Arial" w:cs="Arial" w:eastAsia="Arial" w:hAnsi="Arial"/>
          <w:sz w:val="19"/>
          <w:szCs w:val="19"/>
          <w:color w:val="auto"/>
        </w:rPr>
        <w:t>. Performance awards granted under the Incentive Plan will be earned only if performance goals over</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periods established by or under the direction of the Compensation Committee are met, and the Compensation Committee will determine whether the performance targets or goals that have been chosen for a particular performance award have been met. Section 162(m) of the Code requires that performance awards be based upon objective performance measures in order to be deductible if they and other non-performance-based remuneration paid to a “covered” executive officer in any year exceeds $1 million. The Compensation Committee may designate whether any such award being granted to any participant is intended to be “performance-based compensation” as that term is used in Section 162(m). The performance goals for any performance award may vary from participant to participant, group to group, and period to period. Performance awards may be paid in the form of cash, shares of stock, or in any combination, as determined by the Compensation Committee.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74" w:right="239" w:bottom="1440" w:gutter="0" w:footer="0" w:header="0"/>
        </w:sectPr>
      </w:pPr>
    </w:p>
    <w:bookmarkStart w:id="19" w:name="page20"/>
    <w:bookmarkEnd w:id="19"/>
    <w:p>
      <w:pPr>
        <w:jc w:val="both"/>
        <w:ind w:firstLine="648"/>
        <w:spacing w:after="0" w:line="253" w:lineRule="auto"/>
        <w:rPr>
          <w:sz w:val="20"/>
          <w:szCs w:val="20"/>
          <w:color w:val="auto"/>
        </w:rPr>
      </w:pPr>
      <w:r>
        <w:rPr>
          <w:rFonts w:ascii="Arial" w:cs="Arial" w:eastAsia="Arial" w:hAnsi="Arial"/>
          <w:sz w:val="22"/>
          <w:szCs w:val="22"/>
          <w:i w:val="1"/>
          <w:iCs w:val="1"/>
          <w:color w:val="auto"/>
        </w:rPr>
        <w:t>Performance Measures</w:t>
      </w:r>
      <w:r>
        <w:rPr>
          <w:rFonts w:ascii="Arial" w:cs="Arial" w:eastAsia="Arial" w:hAnsi="Arial"/>
          <w:sz w:val="22"/>
          <w:szCs w:val="22"/>
          <w:color w:val="auto"/>
        </w:rPr>
        <w:t>. The vesting or payment of any performance awards will be subject to the satisfaction of certain</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goals. Under the Incentive Plan as amended by the Plan Amendment, the performance goals may be based on one or more of the following measures:</w:t>
      </w:r>
    </w:p>
    <w:p>
      <w:pPr>
        <w:spacing w:after="0" w:line="18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22"/>
          <w:szCs w:val="22"/>
          <w:color w:val="auto"/>
        </w:rPr>
        <w:t>net sales or revenue growth</w:t>
      </w:r>
    </w:p>
    <w:p>
      <w:pPr>
        <w:spacing w:after="0" w:line="57"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return measures (including, but not limited to return on invested capital, assets, capital, equity, sales)</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gross profit margin</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operating expense ratios</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operating expense targets</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productivity ratios</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operating income</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gross or operating margins</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earnings before or after taxes, interest, depreciation, and/or amortization</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net earnings or net income (before or after taxes)</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57" w:lineRule="exact"/>
        <w:rPr>
          <w:rFonts w:ascii="Arial" w:cs="Arial" w:eastAsia="Arial" w:hAnsi="Arial"/>
          <w:sz w:val="22"/>
          <w:szCs w:val="22"/>
          <w:color w:val="auto"/>
        </w:rPr>
      </w:pPr>
    </w:p>
    <w:p>
      <w:pPr>
        <w:ind w:left="340" w:right="80" w:hanging="332"/>
        <w:spacing w:after="0" w:line="263" w:lineRule="auto"/>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cash flow (including, but not limited to, operating cash flow, free cash flow, cash flow return on equity, and cash flow return on investment)</w:t>
      </w:r>
    </w:p>
    <w:p>
      <w:pPr>
        <w:spacing w:after="0" w:line="12"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working capital targets</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capital expenditures</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share price (including, but not limited to, growth measures and total shareholder return)</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appreciation in the fair market value or book value of a share</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economic value added (net operating profit after tax minus the sum of capital multiplied by the cost of the capital)</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total stockholder return</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debt to equity ratio/debt levels</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customer satisfaction/service (relative improvement);</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market share</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employee satisfaction/engagement</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employee retention/attrition</w:t>
      </w:r>
    </w:p>
    <w:p>
      <w:pPr>
        <w:spacing w:after="0" w:line="57" w:lineRule="exact"/>
        <w:rPr>
          <w:rFonts w:ascii="Arial" w:cs="Arial" w:eastAsia="Arial" w:hAnsi="Arial"/>
          <w:sz w:val="22"/>
          <w:szCs w:val="22"/>
          <w:color w:val="auto"/>
        </w:rPr>
      </w:pPr>
    </w:p>
    <w:p>
      <w:pPr>
        <w:ind w:left="340" w:hanging="332"/>
        <w:spacing w:after="0"/>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inventory control/efficiency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performance measure(s) may be used to compare the performance of the Company against the performance of a group of comparison companies, or published or special index that the Compensation Committee, in its sole discretion, deems appropriate, or the Compensation Committee may select any performance measure(s) above as compared to various stock market indices.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Material Terms of the Incentive Plan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Purpose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Incentive Plan is intended to advance the interests of the Company and its stockholders by encouraging and providing for the acquisition by employees and non-employee directors of an equity interest in the success of the Company and its subsidiaries, by providing additional incentives and motivation toward superior performance of the Company and by enabling the Company to attract and retain the services of employees and directors upon whose judgment, interest and special effort the successful conduct of its</w:t>
      </w:r>
    </w:p>
    <w:p>
      <w:pPr>
        <w:sectPr>
          <w:pgSz w:w="11900" w:h="16838" w:orient="portrait"/>
          <w:cols w:equalWidth="0" w:num="1">
            <w:col w:w="11420"/>
          </w:cols>
          <w:pgMar w:left="240" w:top="780"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80"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2"/>
          <w:szCs w:val="22"/>
          <w:color w:val="auto"/>
        </w:rPr>
        <w:t>operations is largely dependent.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Eligibility</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Under the Incentive Plan, the Compensation Committee at its discretion may grant awards to present and future employees (including officers and directors who are also employees) of the Company or its subsidiaries and to present and future non-employee directors of the Company whom the Compensation Committee believes are in a position to contribute materially to the Company’s growth, development and long-term financial growth. As of September 30, 2015, the Company and its subsidiaries had approximately 694 full-time employees (including officers and directors who are also employees) and six non-employee directors, all of whom are eligible to participate in the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Offering of Stock</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 total of 919,500 shares of the Company’s stock are reserved for issuance under the Incentive Plan, of which 413,848 remain available as of September 30, 2015 for future awards under the Incentive Plan. “Stock” means the Company’s: (a) Class A Common Stock, or (b) if no Class A Common Stock is issued and publicly traded on any securities market, then Common Stock; and (c) in the case of any award made in shares of Class B Stock to a member of the Jaffee family, Class B Stock; and, (d) with respect to any award specifically made in shares of Common Stock, Common Stock. The term “shares” or “stock” in this summary refer to “Stock” as defined above.</w:t>
      </w:r>
    </w:p>
    <w:p>
      <w:pPr>
        <w:spacing w:after="0" w:line="1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stock delivered to settle awards made under the Incentive Plan may be authorized and unissued shares or treasury shares, not reserved for any other purpose. If any shares subject to any award granted under the Incentive Plan are forfeited or otherwise terminated without delivery of shares, the shares subject to such awards will again be available for issuance under the Incentive Plan. In addition, any shares withheld or applied as payment for shares issued upon exercise of an award or for the withholding or payment of taxes due upon exercise of the award will again be available for grant under the Incentive Plan.</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Incentive Plan will remain in effect until all stock subject to it has been purchased or acquired pursuant to the provisions of the Incentive Plan, subject to the Board’s right to earlier terminate the Incentive Plan.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a stock dividend or split, recapitalization, merger, consolidation, combination, separation (including a spinoff), exchange of shares, or other similar corporate change or distribution of stock or property by the Company occurs, the number and class of and/or price of shares of stock subject to each outstanding award, the number and class of shares of stock available for awards, and the number and class of shares of the aggregate and individual participation limitations will be adjusted appropriately by the Compensation Committee to prevent dilution or enlargement of the rights of grantees.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Limits on Individual Awards</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Incentive Plan limits the number of shares which may be granted in any calendar year with respect to awards to any individual to 125,000.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Summary of Awards under the Incentive Plan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Incentive Plan permits the grant of stock options including incentive stock options (“ISOs”); stock appreciation rights (“SARs”); restricted stock and restricted stock units; performance awards (which are described above under the caption “Description of Business Criteria - Performance Awards and Performance Measures”) and other stock-based and cash-based awards.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80" w:right="239" w:bottom="1440" w:gutter="0" w:footer="0" w:header="0"/>
        </w:sectPr>
      </w:pPr>
    </w:p>
    <w:bookmarkStart w:id="21" w:name="page22"/>
    <w:bookmarkEnd w:id="21"/>
    <w:p>
      <w:pPr>
        <w:jc w:val="both"/>
        <w:ind w:firstLine="648"/>
        <w:spacing w:after="0" w:line="292" w:lineRule="auto"/>
        <w:rPr>
          <w:sz w:val="20"/>
          <w:szCs w:val="20"/>
          <w:color w:val="auto"/>
        </w:rPr>
      </w:pPr>
      <w:r>
        <w:rPr>
          <w:rFonts w:ascii="Arial" w:cs="Arial" w:eastAsia="Arial" w:hAnsi="Arial"/>
          <w:sz w:val="19"/>
          <w:szCs w:val="19"/>
          <w:i w:val="1"/>
          <w:iCs w:val="1"/>
          <w:color w:val="auto"/>
        </w:rPr>
        <w:t>Stock Options</w:t>
      </w:r>
      <w:r>
        <w:rPr>
          <w:rFonts w:ascii="Arial" w:cs="Arial" w:eastAsia="Arial" w:hAnsi="Arial"/>
          <w:sz w:val="19"/>
          <w:szCs w:val="19"/>
          <w:color w:val="auto"/>
        </w:rPr>
        <w:t>. The Compensation Committee may grant both incentive stock options (“ISOs”) and nonqualified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options (“NQSOs”) under the Incentive Plan. A stock option allows a grantee to purchase a specified number of shares at a predetermined price during a fixed period measured from the date of grant. The purchase price per share of stock subject to a stock option is determined by the Compensation Committee and set forth in the award agreement but cannot be less than the fair market value of the stock on the date of grant. The expiration date cannot be later than the tenth anniversary of the date of grant. The exercise price may be paid with cash or its equivalent, with previously acquired shares of the Company’s Common Stock, Class A Common Stock or Class B Stock, or by other means approved by the Compensation Committee.</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Eligibility for ISOs is limited to employees of the Company and its subsidiaries. ISOs cannot be granted after the tenth anniversary of the date on which the Incentive Plan was adopted by the Board. In the case of an employee who owns or is deemed to own stock representing more than 10% of the total combined voting power of the classes of stock of the Company, the exercise price of an ISO must be at least 110% of the fair market value on the date of grant and an ISO cannot be exercisable after the expiration of five years from the date of grant. The aggregate fair market value (determined on the date of grant) of the shares of stock with respect to which ISOs are exercisable for the first time by any participant during any calendar year may not exceed $100,000 (if exceeded, any excess options are deemed to be NQSOs). Any participant must notify the Compensation Committee of any disposition of stock issued pursuant to the exercise of an ISO under the circumstances described in Code Section 421(b) within 10 days of the disposition.</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i w:val="1"/>
          <w:iCs w:val="1"/>
          <w:color w:val="auto"/>
        </w:rPr>
        <w:t>Restricted Stock and Restricted Stock Units</w:t>
      </w:r>
      <w:r>
        <w:rPr>
          <w:rFonts w:ascii="Arial" w:cs="Arial" w:eastAsia="Arial" w:hAnsi="Arial"/>
          <w:sz w:val="19"/>
          <w:szCs w:val="19"/>
          <w:color w:val="auto"/>
        </w:rPr>
        <w:t>. The Compensation Committee may award restricted stock and restricted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units. Restricted stock awards consist of shares of stock that are transferred to the participant subject to restrictions that may result in forfeiture if specified conditions are not satisfied. Restricted stock unit awards result in the transfer of shares of stock to the participant only after specified conditions are satisfied. A holder of restricted stock is treated as a current stockholder and is entitled to dividend and voting rights, whereas the holder of a restricted stock unit award is treated as a stockholder with respect to the award only when the shares of stock are delivered in the future. The Compensation Committee will determine and set forth in the award agreement the restrictions and conditions applicable to each award of restricted stock or restricted stock units.</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i w:val="1"/>
          <w:iCs w:val="1"/>
          <w:color w:val="auto"/>
        </w:rPr>
        <w:t>Stock Appreciation Rights</w:t>
      </w:r>
      <w:r>
        <w:rPr>
          <w:rFonts w:ascii="Arial" w:cs="Arial" w:eastAsia="Arial" w:hAnsi="Arial"/>
          <w:sz w:val="21"/>
          <w:szCs w:val="21"/>
          <w:color w:val="auto"/>
        </w:rPr>
        <w:t>. The Compensation Committee may grant SARs under the Incentive Plan. Upon exercise of a</w:t>
      </w:r>
      <w:r>
        <w:rPr>
          <w:rFonts w:ascii="Arial" w:cs="Arial" w:eastAsia="Arial" w:hAnsi="Arial"/>
          <w:sz w:val="21"/>
          <w:szCs w:val="21"/>
          <w:i w:val="1"/>
          <w:iCs w:val="1"/>
          <w:color w:val="auto"/>
        </w:rPr>
        <w:t xml:space="preserve"> </w:t>
      </w:r>
      <w:r>
        <w:rPr>
          <w:rFonts w:ascii="Arial" w:cs="Arial" w:eastAsia="Arial" w:hAnsi="Arial"/>
          <w:sz w:val="21"/>
          <w:szCs w:val="21"/>
          <w:color w:val="auto"/>
        </w:rPr>
        <w:t>SAR, the holder will receive from the Company the difference between the fair market value of the stock subject to the SAR, determined on the date of exercise, and the grant price. The benefit upon exercise of a SAR is generally paid in cash, except that the Compensation Committee may, in its discretion, pay the benefit wholly or partially in stock. The grant price of a SAR is determined by the Compensation Committee and set forth in the award agreement, but cannot be less than the fair market value of the stock as of the date of grant. SARs may be exercised on such terms as the Compensation Committee determines but cannot be exercised later than the tenth anniversary of the date of grant.</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i w:val="1"/>
          <w:iCs w:val="1"/>
          <w:color w:val="auto"/>
        </w:rPr>
        <w:t xml:space="preserve">Other Awards. </w:t>
      </w:r>
      <w:r>
        <w:rPr>
          <w:rFonts w:ascii="Arial" w:cs="Arial" w:eastAsia="Arial" w:hAnsi="Arial"/>
          <w:sz w:val="22"/>
          <w:szCs w:val="22"/>
          <w:color w:val="auto"/>
        </w:rPr>
        <w:t>The Compensation Committee may grant other cash-based or equity-based awards, referred to as “other</w:t>
      </w:r>
      <w:r>
        <w:rPr>
          <w:rFonts w:ascii="Arial" w:cs="Arial" w:eastAsia="Arial" w:hAnsi="Arial"/>
          <w:sz w:val="22"/>
          <w:szCs w:val="22"/>
          <w:i w:val="1"/>
          <w:iCs w:val="1"/>
          <w:color w:val="auto"/>
        </w:rPr>
        <w:t xml:space="preserve"> </w:t>
      </w:r>
      <w:r>
        <w:rPr>
          <w:rFonts w:ascii="Arial" w:cs="Arial" w:eastAsia="Arial" w:hAnsi="Arial"/>
          <w:sz w:val="22"/>
          <w:szCs w:val="22"/>
          <w:color w:val="auto"/>
        </w:rPr>
        <w:t>cash-based awards” or “other stock-based awards,” other than options, SARs, restricted stock, restricted stock units, or performance awards. The terms and conditions of any other cash-based or stock-based award will be determined by the Compensation Committee. Payment under any other cash-based or stock-based award will be made in cash or stock, as determined by the Compensation Committee.</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i w:val="1"/>
          <w:iCs w:val="1"/>
          <w:color w:val="auto"/>
        </w:rPr>
        <w:t xml:space="preserve">Transfer Limitations on Awards. </w:t>
      </w:r>
      <w:r>
        <w:rPr>
          <w:rFonts w:ascii="Arial" w:cs="Arial" w:eastAsia="Arial" w:hAnsi="Arial"/>
          <w:sz w:val="22"/>
          <w:szCs w:val="22"/>
          <w:color w:val="auto"/>
        </w:rPr>
        <w:t>The Compensation Committee will impose any transfer restrictions on any shares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the awards under the Incentive Plan as it deems advisable. Generally no award may be transferred other than by designation of beneficiary, by will or by the laws of descent and distribution. Further, all awards granted to a participant under the Incentive Plan will be exercisable during his lifetime only by such participant. Notwithstanding the foregoing, a participant may transfer all or a portion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80" w:right="239" w:bottom="1440" w:gutter="0" w:footer="0" w:header="0"/>
        </w:sectPr>
      </w:pPr>
    </w:p>
    <w:bookmarkStart w:id="22" w:name="page23"/>
    <w:bookmarkEnd w:id="22"/>
    <w:p>
      <w:pPr>
        <w:jc w:val="both"/>
        <w:spacing w:after="0" w:line="297" w:lineRule="auto"/>
        <w:rPr>
          <w:sz w:val="20"/>
          <w:szCs w:val="20"/>
          <w:color w:val="auto"/>
        </w:rPr>
      </w:pPr>
      <w:r>
        <w:rPr>
          <w:rFonts w:ascii="Arial" w:cs="Arial" w:eastAsia="Arial" w:hAnsi="Arial"/>
          <w:sz w:val="19"/>
          <w:szCs w:val="19"/>
          <w:color w:val="auto"/>
        </w:rPr>
        <w:t>of an award (other than an ISO or restricted stock) to Immediate Family Members (defined in the Incentive Plan as a participant’s spouse, parent and any lineal descendents, including any adopted child, of a parent of the participant or of a parent of the participant’s spouse, and any trustee, guardian or custodian for any of the foregoing), a trust for the exclusive benefit of the Immediate Family Members, a partnership of Immediate Family Members, and such other person or entity as the Compensation Committee may permit. Under no circumstances may a participant transfer awards under the Incentive Plan for consideration.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Exercise of Awards after Termination of Service</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a participant’s employment or service as a director terminates for any reason other than death, disability, retirement or for cause, any option or SAR which was immediately exercisable on the termination date may be exercised until the earlier of (i) the expiration date or (ii) 90 days after such termination or for such longer period as may be specified in the participant’s award agreement. Any unvested award will expire without value and be forfeited on the date of termination.</w:t>
      </w:r>
    </w:p>
    <w:p>
      <w:pPr>
        <w:spacing w:after="0" w:line="1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a participant’s employment or service terminates because of death or disability, any outstanding option or SAR will become fully exercisable, and any outstanding restricted stock, restricted stock units, other stock-based awards or other award that was forfeitable will become nonforfeitable and fully vested. The participant, or deceased participant’s representative or beneficiary, will have until the expiration date or three years from the date of the participant’s termination of employment or service, whichever occurs first, to exercise the options or SARs. However, in the case of ISOs, the favorable tax treatment described under Code Section 422 will not be available if the option is not exercised within 12 months after the date of termination.</w:t>
      </w:r>
    </w:p>
    <w:p>
      <w:pPr>
        <w:spacing w:after="0" w:line="15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a participant retires (as defined in the Incentive Plan), all unvested awards (with the exception of restricted stock awards unless vesting is approved by the Compensation Committee at the time of retirement) will become immediately vested and options and SARs will become immediately exercisable. A retired participant will have until the expiration date or three years from the date of the participant’s retirement, whichever occurs first, to exercise the options and SARs. However, in the case of ISOs, the favorable tax treatment described under Code Section 422 will not be available if the option is not exercised within three months after the date of termination.</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 participant is terminated for cause, an unexercised option, SAR, performance-based award, or share of restricted stock that is forfeitable will terminate upon the termination of employment or service.</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the event of a change in control (as defined in the Incentive Plan) of the Company, all unvested awards will become immediately vested and exercisable, subject to additional conditions with respect to certain awards subject to Section 409A of the Code. In the case of ISOs, the favorable tax treatment described under Code Section 422 will not be available if the option is not exercised within three months after the date of termination if termination is not for death or disability. The benefit payable for any performance award for which the performance period has not ended on the date of the change of control will be calculated pursuant to a formula set forth in the Incentive Plan.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Amendment and Termination of the Incentive Plan</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Board may terminate the Incentive Plan at any time and may amend or modify it from time to time but no such action shall adversely affect any award already granted under the Incentive Plan without the consent of the grantee. However, unless approved by the stockholders of the Company, no amendment or modification of the Incentive Plan may increase the total amount of stock which may be issued under the Incentive Plan, increase the maximum number of shares which may be subject to awards granted under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80" w:right="239" w:bottom="1440" w:gutter="0" w:footer="0" w:header="0"/>
        </w:sectPr>
      </w:pPr>
    </w:p>
    <w:bookmarkStart w:id="23" w:name="page24"/>
    <w:bookmarkEnd w:id="23"/>
    <w:p>
      <w:pPr>
        <w:jc w:val="both"/>
        <w:spacing w:after="0" w:line="248" w:lineRule="auto"/>
        <w:rPr>
          <w:sz w:val="20"/>
          <w:szCs w:val="20"/>
          <w:color w:val="auto"/>
        </w:rPr>
      </w:pPr>
      <w:r>
        <w:rPr>
          <w:rFonts w:ascii="Arial" w:cs="Arial" w:eastAsia="Arial" w:hAnsi="Arial"/>
          <w:sz w:val="22"/>
          <w:szCs w:val="22"/>
          <w:color w:val="auto"/>
        </w:rPr>
        <w:t>Incentive Plan to a participant during a calendar year or extend the maximum period during which awards may be made under the Incentive Plan. Adjustments made pursuant to a change in capitalization as described under the heading “Offering of Stock” above, do not constitute an amendment or modification of the Incentive Plan. After the Incentive Plan is terminated, no further awards can be granted under the Incentive Plan, but any awards previously granted under the Incentive Plan will remain outstanding in accordance with their applicable terms and conditions.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Except as noted below, the benefits and amounts that will be received by or allocated to participants under the Incentive Plan in the future are not determinable because the types and amounts of awards and selection of participants are subject to the Compensation Committee’s future determination. On September 9, 2015, the Compensation Committee granted to Daniel S. Jaffee, the Company’s President and Chief Executive Officer, an award of 125,000 restricted shares of Class B Stock under the Incentive Plan, which award is conditioned upon approval of the Plan Amendment. The shares will vest in 20% increments beginning no earlier than on October 19, 2016 and no earlier than on each of the four subsequent anniversaries of that date, provided Mr. Jaffee is employed by the Company on those dates and meets set annual or cumulative earnings-per-share performance-based criteria.</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Approval</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affirmative vote of the holders of a majority of the voting power of the Company’s Common Stock and Class B Stock, voting together as one class, that are present in person or by proxy at the 2015 Annual Meeting is required for approval of the Plan Amendment proposal.</w:t>
      </w:r>
    </w:p>
    <w:p>
      <w:pPr>
        <w:spacing w:after="0" w:line="180" w:lineRule="exact"/>
        <w:rPr>
          <w:sz w:val="20"/>
          <w:szCs w:val="20"/>
          <w:color w:val="auto"/>
        </w:rPr>
      </w:pPr>
    </w:p>
    <w:p>
      <w:pPr>
        <w:jc w:val="center"/>
        <w:ind w:left="260" w:right="80"/>
        <w:spacing w:after="0" w:line="269" w:lineRule="auto"/>
        <w:rPr>
          <w:sz w:val="20"/>
          <w:szCs w:val="20"/>
          <w:color w:val="auto"/>
        </w:rPr>
      </w:pPr>
      <w:r>
        <w:rPr>
          <w:rFonts w:ascii="Arial" w:cs="Arial" w:eastAsia="Arial" w:hAnsi="Arial"/>
          <w:sz w:val="22"/>
          <w:szCs w:val="22"/>
          <w:b w:val="1"/>
          <w:bCs w:val="1"/>
          <w:color w:val="auto"/>
        </w:rPr>
        <w:t>THE BOARD OF DIRECTORS RECOMMENDS A VOTE “FOR” THE APPROVAL OF THE AMENDMENT TO THE INCENTIVE PLAN TO AMEND AND APPROVE THE PERFORMANCE MEASURES.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4. Other Matters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At this time, our Board of Directors is not aware of any matters not referred to herein that might be presented for action at the 2015 Annual Meeting; however, if any other business should properly come before the meeting, votes may be cast in respect to such matters in accordance with the best judgment of the person or persons acting under the proxies.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8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CORPORATE GOVERNANCE MATTERS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Controlled Company Status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Jaffee Investment Partnership, L.P., a Delaware limited partnership of which Richard M. Jaffee, his spouse Shirley H. Jaffee and Daniel S. Jaffee are general partners. The remaining three general partners are all children of Richard M. and Shirley H. Jaffee. Richard M. Jaffee has eight of the 20 total votes of the general partners and his spouse also has eight votes.</w:t>
      </w:r>
    </w:p>
    <w:p>
      <w:pPr>
        <w:spacing w:after="0" w:line="1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As a “controlled company” we are entitled to rely on exemptions from the NYSE Corporate Governance Standards that would otherwise require the Company to: (a) have a board of directors the majority of which is comprised of independent directors;</w:t>
      </w:r>
    </w:p>
    <w:p>
      <w:pPr>
        <w:spacing w:after="0" w:line="1" w:lineRule="exact"/>
        <w:rPr>
          <w:sz w:val="20"/>
          <w:szCs w:val="20"/>
          <w:color w:val="auto"/>
        </w:rPr>
      </w:pPr>
    </w:p>
    <w:p>
      <w:pPr>
        <w:ind w:firstLine="8"/>
        <w:spacing w:after="0" w:line="323" w:lineRule="auto"/>
        <w:tabs>
          <w:tab w:leader="none" w:pos="3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have a nominating/corporate governance committee comprised entirely of independent directors; and (c) have a compensation committee comprised entirely of independent directors. We have elected to rely on all three of these exemptions.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Independence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Our Board of Directors has determined that the directors listed below are independent from our management within the meaning of the SEC’s rules and the NYSE Corporate Governance Standards:</w:t>
      </w:r>
    </w:p>
    <w:p>
      <w:pPr>
        <w:sectPr>
          <w:pgSz w:w="11900" w:h="16838" w:orient="portrait"/>
          <w:cols w:equalWidth="0" w:num="1">
            <w:col w:w="11420"/>
          </w:cols>
          <w:pgMar w:left="240" w:top="774"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J. Steven Cole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Paul E. Suckow</w:t>
      </w:r>
    </w:p>
    <w:p>
      <w:pPr>
        <w:spacing w:after="0" w:line="200" w:lineRule="exact"/>
        <w:rPr>
          <w:sz w:val="20"/>
          <w:szCs w:val="20"/>
          <w:color w:val="auto"/>
        </w:rPr>
      </w:pPr>
    </w:p>
    <w:p>
      <w:pPr>
        <w:sectPr>
          <w:pgSz w:w="11900" w:h="16838" w:orient="portrait"/>
          <w:cols w:equalWidth="0" w:num="2">
            <w:col w:w="5020" w:space="720"/>
            <w:col w:w="5680"/>
          </w:cols>
          <w:pgMar w:left="240" w:top="774" w:right="239" w:bottom="1440" w:gutter="0" w:footer="0" w:header="0"/>
          <w:type w:val="continuous"/>
        </w:sectPr>
      </w:pPr>
    </w:p>
    <w:p>
      <w:pPr>
        <w:spacing w:after="0" w:line="95"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Allan H. Selig</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Lawrence E. Washow</w:t>
      </w:r>
    </w:p>
    <w:p>
      <w:pPr>
        <w:spacing w:after="0" w:line="200" w:lineRule="exact"/>
        <w:rPr>
          <w:sz w:val="20"/>
          <w:szCs w:val="20"/>
          <w:color w:val="auto"/>
        </w:rPr>
      </w:pPr>
    </w:p>
    <w:p>
      <w:pPr>
        <w:sectPr>
          <w:pgSz w:w="11900" w:h="16838" w:orient="portrait"/>
          <w:cols w:equalWidth="0" w:num="2">
            <w:col w:w="5020" w:space="720"/>
            <w:col w:w="5680"/>
          </w:cols>
          <w:pgMar w:left="240" w:top="774" w:right="2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While our Board of Directors has not adopted any categorical standards for independence, in making these determinations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noted that none of Messrs. Cole, Selig, Suckow and Washow:</w:t>
      </w:r>
    </w:p>
    <w:p>
      <w:pPr>
        <w:spacing w:after="0" w:line="161" w:lineRule="exact"/>
        <w:rPr>
          <w:sz w:val="20"/>
          <w:szCs w:val="20"/>
          <w:color w:val="auto"/>
        </w:rPr>
      </w:pPr>
    </w:p>
    <w:p>
      <w:pPr>
        <w:ind w:left="980" w:right="20" w:hanging="324"/>
        <w:spacing w:after="0" w:line="263" w:lineRule="auto"/>
        <w:tabs>
          <w:tab w:leader="none" w:pos="9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receives direct compensation from the Company other than director annual retainers and meeting fees paid to current directors;</w:t>
      </w:r>
    </w:p>
    <w:p>
      <w:pPr>
        <w:spacing w:after="0" w:line="66"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has any relationship with the Company or a third party that would preclude independence under the NYSE Corporate Governance Standards; or</w:t>
      </w:r>
    </w:p>
    <w:p>
      <w:pPr>
        <w:spacing w:after="0" w:line="66" w:lineRule="exact"/>
        <w:rPr>
          <w:rFonts w:ascii="Arial" w:cs="Arial" w:eastAsia="Arial" w:hAnsi="Arial"/>
          <w:sz w:val="22"/>
          <w:szCs w:val="22"/>
          <w:color w:val="auto"/>
        </w:rPr>
      </w:pPr>
    </w:p>
    <w:p>
      <w:pPr>
        <w:ind w:left="980" w:hanging="324"/>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has any other material relationship with the Company and its management.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the last three years, we have not made any contributions in excess of $1 million or 2% of our consolidated gross revenues to any tax-exempt organization in which an independent director serves as an executive officer.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Sessions of Non-Management Directors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Non-management directors meet in executive sessions of our Board of Directors in which management directors (Messrs. Richard M. and Daniel S. Jaffee) and other members of management do not participate. These sessions are scheduled for non-management directors at all regular meetings of our Board of Directors. Under our Corporate Governance Guidelines, the chairman of our Audit Committee (currently Mr. Suckow) presides at all executive sessions of non-management and independent directors unless otherwise determined by the directors attending any given executive session.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74" w:right="239" w:bottom="1440" w:gutter="0" w:footer="0" w:header="0"/>
          <w:type w:val="continuous"/>
        </w:sectPr>
      </w:pPr>
    </w:p>
    <w:bookmarkStart w:id="25" w:name="page26"/>
    <w:bookmarkEnd w:id="25"/>
    <w:p>
      <w:pPr>
        <w:ind w:left="3060"/>
        <w:spacing w:after="0"/>
        <w:rPr>
          <w:sz w:val="20"/>
          <w:szCs w:val="20"/>
          <w:color w:val="auto"/>
        </w:rPr>
      </w:pPr>
      <w:r>
        <w:rPr>
          <w:rFonts w:ascii="Arial" w:cs="Arial" w:eastAsia="Arial" w:hAnsi="Arial"/>
          <w:sz w:val="22"/>
          <w:szCs w:val="22"/>
          <w:b w:val="1"/>
          <w:bCs w:val="1"/>
          <w:color w:val="auto"/>
        </w:rPr>
        <w:t>Board of Directors Committee Membership and Meetings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the current membership of the committees of our Board of Directors.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120" w:type="dxa"/>
            <w:vAlign w:val="bottom"/>
            <w:tcBorders>
              <w:bottom w:val="single" w:sz="8" w:color="CCEEFF"/>
            </w:tcBorders>
          </w:tcPr>
          <w:p>
            <w:pPr>
              <w:spacing w:after="0"/>
              <w:rPr>
                <w:sz w:val="24"/>
                <w:szCs w:val="2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Audit</w:t>
            </w:r>
          </w:p>
        </w:tc>
        <w:tc>
          <w:tcPr>
            <w:tcW w:w="12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Compensation</w:t>
            </w:r>
          </w:p>
        </w:tc>
        <w:tc>
          <w:tcPr>
            <w:tcW w:w="100" w:type="dxa"/>
            <w:vAlign w:val="bottom"/>
            <w:tcBorders>
              <w:bottom w:val="single" w:sz="8" w:color="CCEEFF"/>
            </w:tcBorders>
          </w:tcPr>
          <w:p>
            <w:pPr>
              <w:spacing w:after="0"/>
              <w:rPr>
                <w:sz w:val="24"/>
                <w:szCs w:val="2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Executive</w:t>
            </w:r>
          </w:p>
        </w:tc>
      </w:tr>
      <w:tr>
        <w:trPr>
          <w:trHeight w:val="297"/>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J. Steven Cole</w:t>
            </w:r>
          </w:p>
        </w:tc>
        <w:tc>
          <w:tcPr>
            <w:tcW w:w="252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2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ind w:left="720"/>
              <w:spacing w:after="0"/>
              <w:rPr>
                <w:sz w:val="20"/>
                <w:szCs w:val="20"/>
                <w:color w:val="auto"/>
              </w:rPr>
            </w:pPr>
            <w:r>
              <w:rPr>
                <w:rFonts w:ascii="Arial" w:cs="Arial" w:eastAsia="Arial" w:hAnsi="Arial"/>
                <w:sz w:val="22"/>
                <w:szCs w:val="22"/>
                <w:color w:val="auto"/>
              </w:rPr>
              <w:t>X</w:t>
            </w:r>
          </w:p>
        </w:tc>
      </w:tr>
      <w:tr>
        <w:trPr>
          <w:trHeight w:val="289"/>
        </w:trPr>
        <w:tc>
          <w:tcPr>
            <w:tcW w:w="4020" w:type="dxa"/>
            <w:vAlign w:val="bottom"/>
            <w:gridSpan w:val="2"/>
          </w:tcPr>
          <w:p>
            <w:pPr>
              <w:ind w:left="40"/>
              <w:spacing w:after="0"/>
              <w:rPr>
                <w:sz w:val="20"/>
                <w:szCs w:val="20"/>
                <w:color w:val="auto"/>
              </w:rPr>
            </w:pPr>
            <w:r>
              <w:rPr>
                <w:rFonts w:ascii="Arial" w:cs="Arial" w:eastAsia="Arial" w:hAnsi="Arial"/>
                <w:sz w:val="22"/>
                <w:szCs w:val="22"/>
                <w:color w:val="auto"/>
              </w:rPr>
              <w:t>Daniel S. Jaffee</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ind w:left="720"/>
              <w:spacing w:after="0"/>
              <w:rPr>
                <w:sz w:val="20"/>
                <w:szCs w:val="20"/>
                <w:color w:val="auto"/>
              </w:rPr>
            </w:pPr>
            <w:r>
              <w:rPr>
                <w:rFonts w:ascii="Arial" w:cs="Arial" w:eastAsia="Arial" w:hAnsi="Arial"/>
                <w:sz w:val="22"/>
                <w:szCs w:val="22"/>
                <w:color w:val="auto"/>
              </w:rPr>
              <w:t>X</w:t>
            </w:r>
          </w:p>
        </w:tc>
      </w:tr>
      <w:tr>
        <w:trPr>
          <w:trHeight w:val="30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Richard M. Jaffee</w:t>
            </w: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ind w:left="720"/>
              <w:spacing w:after="0"/>
              <w:rPr>
                <w:sz w:val="20"/>
                <w:szCs w:val="20"/>
                <w:color w:val="auto"/>
              </w:rPr>
            </w:pPr>
            <w:r>
              <w:rPr>
                <w:rFonts w:ascii="Arial" w:cs="Arial" w:eastAsia="Arial" w:hAnsi="Arial"/>
                <w:sz w:val="22"/>
                <w:szCs w:val="22"/>
                <w:color w:val="auto"/>
              </w:rPr>
              <w:t>X*</w:t>
            </w:r>
          </w:p>
        </w:tc>
      </w:tr>
      <w:tr>
        <w:trPr>
          <w:trHeight w:val="289"/>
        </w:trPr>
        <w:tc>
          <w:tcPr>
            <w:tcW w:w="4020" w:type="dxa"/>
            <w:vAlign w:val="bottom"/>
            <w:gridSpan w:val="2"/>
          </w:tcPr>
          <w:p>
            <w:pPr>
              <w:ind w:left="40"/>
              <w:spacing w:after="0"/>
              <w:rPr>
                <w:sz w:val="20"/>
                <w:szCs w:val="20"/>
                <w:color w:val="auto"/>
              </w:rPr>
            </w:pPr>
            <w:r>
              <w:rPr>
                <w:rFonts w:ascii="Arial" w:cs="Arial" w:eastAsia="Arial" w:hAnsi="Arial"/>
                <w:sz w:val="22"/>
                <w:szCs w:val="22"/>
                <w:color w:val="auto"/>
              </w:rPr>
              <w:t>Joseph C. Miller</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2400" w:type="dxa"/>
            <w:vAlign w:val="bottom"/>
          </w:tcPr>
          <w:p>
            <w:pPr>
              <w:spacing w:after="0"/>
              <w:rPr>
                <w:sz w:val="24"/>
                <w:szCs w:val="24"/>
                <w:color w:val="auto"/>
              </w:rPr>
            </w:pPr>
          </w:p>
        </w:tc>
      </w:tr>
      <w:tr>
        <w:trPr>
          <w:trHeight w:val="30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Michael A. Nemeroff</w:t>
            </w: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2400" w:type="dxa"/>
            <w:vAlign w:val="bottom"/>
            <w:shd w:val="clear" w:color="auto" w:fill="CCEEFF"/>
          </w:tcPr>
          <w:p>
            <w:pPr>
              <w:spacing w:after="0"/>
              <w:rPr>
                <w:sz w:val="24"/>
                <w:szCs w:val="24"/>
                <w:color w:val="auto"/>
              </w:rPr>
            </w:pPr>
          </w:p>
        </w:tc>
      </w:tr>
      <w:tr>
        <w:trPr>
          <w:trHeight w:val="289"/>
        </w:trPr>
        <w:tc>
          <w:tcPr>
            <w:tcW w:w="4020" w:type="dxa"/>
            <w:vAlign w:val="bottom"/>
            <w:gridSpan w:val="2"/>
          </w:tcPr>
          <w:p>
            <w:pPr>
              <w:ind w:left="40"/>
              <w:spacing w:after="0"/>
              <w:rPr>
                <w:sz w:val="20"/>
                <w:szCs w:val="20"/>
                <w:color w:val="auto"/>
              </w:rPr>
            </w:pPr>
            <w:r>
              <w:rPr>
                <w:rFonts w:ascii="Arial" w:cs="Arial" w:eastAsia="Arial" w:hAnsi="Arial"/>
                <w:sz w:val="22"/>
                <w:szCs w:val="22"/>
                <w:color w:val="auto"/>
              </w:rPr>
              <w:t>Allan H. Selig</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2400" w:type="dxa"/>
            <w:vAlign w:val="bottom"/>
          </w:tcPr>
          <w:p>
            <w:pPr>
              <w:spacing w:after="0"/>
              <w:rPr>
                <w:sz w:val="24"/>
                <w:szCs w:val="24"/>
                <w:color w:val="auto"/>
              </w:rPr>
            </w:pPr>
          </w:p>
        </w:tc>
      </w:tr>
      <w:tr>
        <w:trPr>
          <w:trHeight w:val="30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Paul E. Suckow</w:t>
            </w:r>
          </w:p>
        </w:tc>
        <w:tc>
          <w:tcPr>
            <w:tcW w:w="252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2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91"/>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Lawrence E. Washow</w:t>
            </w:r>
          </w:p>
        </w:tc>
        <w:tc>
          <w:tcPr>
            <w:tcW w:w="120" w:type="dxa"/>
            <w:vAlign w:val="bottom"/>
            <w:tcBorders>
              <w:bottom w:val="single" w:sz="8" w:color="CCEEFF"/>
            </w:tcBorders>
          </w:tcPr>
          <w:p>
            <w:pPr>
              <w:spacing w:after="0"/>
              <w:rPr>
                <w:sz w:val="24"/>
                <w:szCs w:val="24"/>
                <w:color w:val="auto"/>
              </w:rPr>
            </w:pPr>
          </w:p>
        </w:tc>
        <w:tc>
          <w:tcPr>
            <w:tcW w:w="2400" w:type="dxa"/>
            <w:vAlign w:val="bottom"/>
            <w:tcBorders>
              <w:bottom w:val="single" w:sz="8" w:color="auto"/>
            </w:tcBorders>
          </w:tcPr>
          <w:p>
            <w:pPr>
              <w:ind w:left="700"/>
              <w:spacing w:after="0"/>
              <w:rPr>
                <w:sz w:val="20"/>
                <w:szCs w:val="20"/>
                <w:color w:val="auto"/>
              </w:rPr>
            </w:pPr>
            <w:r>
              <w:rPr>
                <w:rFonts w:ascii="Arial" w:cs="Arial" w:eastAsia="Arial" w:hAnsi="Arial"/>
                <w:sz w:val="22"/>
                <w:szCs w:val="22"/>
                <w:color w:val="auto"/>
              </w:rPr>
              <w:t>X</w:t>
            </w:r>
          </w:p>
        </w:tc>
        <w:tc>
          <w:tcPr>
            <w:tcW w:w="12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49"/>
        </w:trPr>
        <w:tc>
          <w:tcPr>
            <w:tcW w:w="4020" w:type="dxa"/>
            <w:vAlign w:val="bottom"/>
            <w:gridSpan w:val="2"/>
            <w:shd w:val="clear" w:color="auto" w:fill="CCEEFF"/>
          </w:tcPr>
          <w:p>
            <w:pPr>
              <w:ind w:left="40"/>
              <w:spacing w:after="0" w:line="248" w:lineRule="exact"/>
              <w:rPr>
                <w:sz w:val="20"/>
                <w:szCs w:val="20"/>
                <w:color w:val="auto"/>
              </w:rPr>
            </w:pPr>
            <w:r>
              <w:rPr>
                <w:rFonts w:ascii="Arial" w:cs="Arial" w:eastAsia="Arial" w:hAnsi="Arial"/>
                <w:sz w:val="22"/>
                <w:szCs w:val="22"/>
                <w:color w:val="auto"/>
              </w:rPr>
              <w:t>Number of Meetings</w:t>
            </w:r>
          </w:p>
        </w:tc>
        <w:tc>
          <w:tcPr>
            <w:tcW w:w="2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r>
      <w:tr>
        <w:trPr>
          <w:trHeight w:val="292"/>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in Fiscal 2015</w:t>
            </w:r>
          </w:p>
        </w:tc>
        <w:tc>
          <w:tcPr>
            <w:tcW w:w="2400" w:type="dxa"/>
            <w:vAlign w:val="bottom"/>
            <w:shd w:val="clear" w:color="auto" w:fill="CCEEFF"/>
          </w:tcPr>
          <w:p>
            <w:pPr>
              <w:jc w:val="right"/>
              <w:ind w:right="1032"/>
              <w:spacing w:after="0"/>
              <w:rPr>
                <w:sz w:val="20"/>
                <w:szCs w:val="20"/>
                <w:color w:val="auto"/>
              </w:rPr>
            </w:pPr>
            <w:r>
              <w:rPr>
                <w:rFonts w:ascii="Arial" w:cs="Arial" w:eastAsia="Arial" w:hAnsi="Arial"/>
                <w:sz w:val="22"/>
                <w:szCs w:val="22"/>
                <w:color w:val="auto"/>
              </w:rPr>
              <w:t>4</w:t>
            </w:r>
          </w:p>
        </w:tc>
        <w:tc>
          <w:tcPr>
            <w:tcW w:w="120" w:type="dxa"/>
            <w:vAlign w:val="bottom"/>
            <w:shd w:val="clear" w:color="auto" w:fill="CCEEFF"/>
          </w:tcPr>
          <w:p>
            <w:pPr>
              <w:spacing w:after="0"/>
              <w:rPr>
                <w:sz w:val="24"/>
                <w:szCs w:val="24"/>
                <w:color w:val="auto"/>
              </w:rPr>
            </w:pPr>
          </w:p>
        </w:tc>
        <w:tc>
          <w:tcPr>
            <w:tcW w:w="2380" w:type="dxa"/>
            <w:vAlign w:val="bottom"/>
            <w:shd w:val="clear" w:color="auto" w:fill="CCEEFF"/>
          </w:tcPr>
          <w:p>
            <w:pPr>
              <w:jc w:val="right"/>
              <w:ind w:right="1032"/>
              <w:spacing w:after="0"/>
              <w:rPr>
                <w:sz w:val="20"/>
                <w:szCs w:val="20"/>
                <w:color w:val="auto"/>
              </w:rPr>
            </w:pPr>
            <w:r>
              <w:rPr>
                <w:rFonts w:ascii="Arial" w:cs="Arial" w:eastAsia="Arial" w:hAnsi="Arial"/>
                <w:sz w:val="22"/>
                <w:szCs w:val="22"/>
                <w:color w:val="auto"/>
              </w:rPr>
              <w:t>1</w:t>
            </w: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9"/>
              </w:rPr>
              <w:t>—</w:t>
            </w:r>
          </w:p>
        </w:tc>
      </w:tr>
      <w:tr>
        <w:trPr>
          <w:trHeight w:val="280"/>
        </w:trPr>
        <w:tc>
          <w:tcPr>
            <w:tcW w:w="4020" w:type="dxa"/>
            <w:vAlign w:val="bottom"/>
            <w:gridSpan w:val="2"/>
          </w:tcPr>
          <w:p>
            <w:pPr>
              <w:ind w:left="40"/>
              <w:spacing w:after="0"/>
              <w:rPr>
                <w:sz w:val="20"/>
                <w:szCs w:val="20"/>
                <w:color w:val="auto"/>
              </w:rPr>
            </w:pPr>
            <w:r>
              <w:rPr>
                <w:rFonts w:ascii="Arial" w:cs="Arial" w:eastAsia="Arial" w:hAnsi="Arial"/>
                <w:sz w:val="22"/>
                <w:szCs w:val="22"/>
                <w:color w:val="auto"/>
              </w:rPr>
              <w:t>* Chairman</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fiscal 2015, our Board of Directors held four meetings. Each director attended 100% of the aggregate number of meetings of our Board of Directors, and each director attended 100% of the aggregate number of meetings of the committees on which he served.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Audit Committee Charter sets out the duties and responsibilities of our Audit Committee. Those duties include, without limitation:</w:t>
      </w:r>
    </w:p>
    <w:p>
      <w:pPr>
        <w:spacing w:after="0" w:line="40" w:lineRule="exact"/>
        <w:rPr>
          <w:sz w:val="20"/>
          <w:szCs w:val="20"/>
          <w:color w:val="auto"/>
        </w:rPr>
      </w:pPr>
    </w:p>
    <w:p>
      <w:pPr>
        <w:ind w:left="980" w:right="20" w:hanging="324"/>
        <w:spacing w:after="0" w:line="263" w:lineRule="auto"/>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selection and appointment of the independent auditor, review of its independence and of other services provided by it, and of the fees and other arrangements regarding its services;</w:t>
      </w:r>
    </w:p>
    <w:p>
      <w:pPr>
        <w:spacing w:after="0" w:line="12"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scope of the audit, and of significant financial reporting issues and judgments;</w:t>
      </w:r>
    </w:p>
    <w:p>
      <w:pPr>
        <w:spacing w:after="0" w:line="12"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annual audited financial statements and of the quarterly financial statements and press releases;</w:t>
      </w:r>
    </w:p>
    <w:p>
      <w:pPr>
        <w:spacing w:after="0" w:line="12" w:lineRule="exact"/>
        <w:rPr>
          <w:rFonts w:ascii="Arial" w:cs="Arial" w:eastAsia="Arial" w:hAnsi="Arial"/>
          <w:sz w:val="22"/>
          <w:szCs w:val="22"/>
          <w:color w:val="auto"/>
        </w:rPr>
      </w:pPr>
    </w:p>
    <w:p>
      <w:pPr>
        <w:ind w:left="980" w:hanging="324"/>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quality and adequacy of internal controls; and</w:t>
      </w:r>
    </w:p>
    <w:p>
      <w:pPr>
        <w:spacing w:after="0" w:line="57" w:lineRule="exact"/>
        <w:rPr>
          <w:rFonts w:ascii="Arial" w:cs="Arial" w:eastAsia="Arial" w:hAnsi="Arial"/>
          <w:sz w:val="22"/>
          <w:szCs w:val="22"/>
          <w:color w:val="auto"/>
        </w:rPr>
      </w:pPr>
    </w:p>
    <w:p>
      <w:pPr>
        <w:ind w:left="980" w:hanging="324"/>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preparation of the report required by SEC rules to be included in this Proxy Statement.</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Board of Directors has determined that each member of our Audit Committee meets the independence and experience requirements of the NYSE. Our Board of Directors also has determined that each member of our Audit Committee is an “audit committee financial expert” within the meaning of SEC rules and that each member meets the accounting or related financial management expertise standard required by NYSE rules.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74" w:right="2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i w:val="1"/>
          <w:iCs w:val="1"/>
          <w:color w:val="auto"/>
        </w:rPr>
        <w:t>Compensation Committee</w:t>
      </w:r>
    </w:p>
    <w:p>
      <w:pPr>
        <w:spacing w:after="0" w:line="179" w:lineRule="exact"/>
        <w:rPr>
          <w:sz w:val="20"/>
          <w:szCs w:val="20"/>
          <w:color w:val="auto"/>
        </w:rPr>
      </w:pPr>
    </w:p>
    <w:p>
      <w:pPr>
        <w:ind w:firstLine="648"/>
        <w:spacing w:after="0" w:line="326" w:lineRule="auto"/>
        <w:rPr>
          <w:sz w:val="20"/>
          <w:szCs w:val="20"/>
          <w:color w:val="auto"/>
        </w:rPr>
      </w:pPr>
      <w:r>
        <w:rPr>
          <w:rFonts w:ascii="Arial" w:cs="Arial" w:eastAsia="Arial" w:hAnsi="Arial"/>
          <w:sz w:val="19"/>
          <w:szCs w:val="19"/>
          <w:color w:val="auto"/>
        </w:rPr>
        <w:t>Our Compensation Committee is responsible for review and general oversight of our compensation programs, including all programs in which our executive officers participate. Specifically, our Compensation Committee is responsible for:</w:t>
      </w:r>
    </w:p>
    <w:p>
      <w:pPr>
        <w:spacing w:after="0" w:line="1" w:lineRule="exact"/>
        <w:rPr>
          <w:sz w:val="20"/>
          <w:szCs w:val="20"/>
          <w:color w:val="auto"/>
        </w:rPr>
      </w:pPr>
    </w:p>
    <w:p>
      <w:pPr>
        <w:ind w:left="980" w:right="20" w:hanging="324"/>
        <w:spacing w:after="0" w:line="263"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determining the compensation, including benefits, of our CEO after reviewing the recommendation of the Chairman of the Board;</w:t>
      </w:r>
    </w:p>
    <w:p>
      <w:pPr>
        <w:spacing w:after="0" w:line="66"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determining the reasonableness of and approving the compensation of our other executive officers as recommended by our CEO (subject to our CEO’s authority to make changes in compensation under certain circumstances during the course of a fiscal year);</w:t>
      </w:r>
    </w:p>
    <w:p>
      <w:pPr>
        <w:spacing w:after="0" w:line="77"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and setting payout ranges for our CEO;</w:t>
      </w:r>
    </w:p>
    <w:p>
      <w:pPr>
        <w:spacing w:after="0" w:line="80" w:lineRule="exact"/>
        <w:rPr>
          <w:rFonts w:ascii="Arial" w:cs="Arial" w:eastAsia="Arial" w:hAnsi="Arial"/>
          <w:sz w:val="22"/>
          <w:szCs w:val="22"/>
          <w:color w:val="auto"/>
        </w:rPr>
      </w:pPr>
    </w:p>
    <w:p>
      <w:pPr>
        <w:ind w:left="980" w:hanging="324"/>
        <w:spacing w:after="0" w:line="287" w:lineRule="auto"/>
        <w:tabs>
          <w:tab w:leader="none" w:pos="980" w:val="left"/>
        </w:tabs>
        <w:numPr>
          <w:ilvl w:val="0"/>
          <w:numId w:val="30"/>
        </w:numPr>
        <w:rPr>
          <w:rFonts w:ascii="Arial" w:cs="Arial" w:eastAsia="Arial" w:hAnsi="Arial"/>
          <w:sz w:val="21"/>
          <w:szCs w:val="21"/>
          <w:color w:val="auto"/>
        </w:rPr>
      </w:pPr>
      <w:r>
        <w:rPr>
          <w:rFonts w:ascii="Arial" w:cs="Arial" w:eastAsia="Arial" w:hAnsi="Arial"/>
          <w:sz w:val="21"/>
          <w:szCs w:val="21"/>
          <w:color w:val="auto"/>
        </w:rPr>
        <w:t>administration of our equity incentive plans with assistance from our human resources staff and granting awards under those plans to employees, including our executive officers, and to non-employee directors; and</w:t>
      </w:r>
    </w:p>
    <w:p>
      <w:pPr>
        <w:spacing w:after="0" w:line="43" w:lineRule="exact"/>
        <w:rPr>
          <w:rFonts w:ascii="Arial" w:cs="Arial" w:eastAsia="Arial" w:hAnsi="Arial"/>
          <w:sz w:val="21"/>
          <w:szCs w:val="21"/>
          <w:color w:val="auto"/>
        </w:rPr>
      </w:pPr>
    </w:p>
    <w:p>
      <w:pPr>
        <w:ind w:left="980" w:hanging="324"/>
        <w:spacing w:after="0"/>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making recommendations to our Board of Directors or stockholders on compensation-related matters.</w:t>
      </w:r>
    </w:p>
    <w:p>
      <w:pPr>
        <w:spacing w:after="0" w:line="1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carrying out these responsibilities, our Compensation Committee acts on recommendations from and consults with the Chairman of the Board and our CEO. During fiscal 2015, our Compensation Committee did not retain an executive compensation consultant. Additional details of our processes and procedures for considering and determining executive compensation are in the Compensation Discussion and Analysis.</w:t>
      </w:r>
    </w:p>
    <w:p>
      <w:pPr>
        <w:spacing w:after="0" w:line="8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spacing w:after="0" w:line="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allowed by a “controlled company” exemption from the NYSE Corporate Governance Standards, our Compensation Committee is not comprised entirely of independent directors; two members, Messrs. Miller and Nemeroff, have not been determined by our Board of Directors to be independent directors. As also allowed by this “controlled company” exemption, our Compensation Committee does not have a written charter.</w:t>
      </w:r>
    </w:p>
    <w:p>
      <w:pPr>
        <w:spacing w:after="0" w:line="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Two members of our Compensation Committee, Messrs. Selig and Miller, are non-employee directors within the meaning of Rule 16b-3 under the Securities Exchange Act of 1934, as amended, and are authorized to act independently with respect to awards made under our equity incentive plans to individuals subject to Section 16 of that act, including our executive officers and directors.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With the exception of Mr. Miller, who served as an officer of the Company from 1989 to 2000, none of the members of our Compensation Committee is or ever has been an executive officer or employee of the Company. Mr. Nemeroff, a member of our Compensation Committee, is President and Chief Executive Officer of Vedder Price P.C., a law firm that regularly provides services to the Company. There are no Compensation Committee interlocks as defined by SEC rules.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80"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i w:val="1"/>
          <w:iCs w:val="1"/>
          <w:color w:val="auto"/>
        </w:rPr>
        <w:t>Executive Committee</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Executive Committee has all of the powers and authority of our Board of Directors in the management of our business and other affairs, subject only to any limitations provided for in our Certificate of Incorporation and Amended and Restated By-Laws (each as amended from time to time) or imposed by applicable law or the NYSE Corporate Governance Standards. Our Executive Committee does not have a written charter. Our Executive Committee did not hold any meetings during fiscal 2015 and historically has only exercised its authority to act on behalf of the Board of Directors in limited circumstances.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Nominations</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As allowed by a “controlled company” exemption from the NYSE Corporate Governance Standards, we do not have a standing nominating committee or other committee of our Board of Directors performing a similar function. As a “controlled company,” and with six of our eight current directors having served on our Board of Directors for at least 10 years, the Board of Directors believes it is appropriate for the Company not to have a nominating committee. It has been our practice, as reflected in our Corporate Governance Guidelines, that our Chairman, Richard M. Jaffee, recommends to the entire Board of Directors candidates for nomination to the Board of Directors. Directors Richard M. Jaffee, Daniel S. Jaffee, Joseph C. Miller and Michael A. Nemeroff, who have not been determined by the Board of Directors to be independent, participate along with the independent directors in the nominating process. Our Board of Directors may also solicit ideas for possible candidates from a number of sources, including our executives, individuals personally known to members of the Board of Directors and executive search firms.</w:t>
      </w:r>
    </w:p>
    <w:p>
      <w:pPr>
        <w:spacing w:after="0" w:line="11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Our Corporate Governance Guidelines provide that a director who would be 75 years of age or older at the time of election may not stand for re-election unless our Board of Directors postpones or otherwise waives the age 75 service limit as to that director. At its October 15, 2015 meeting, our Board of Directors granted such a waiver with respect to Richard M. Jaffee, our Chairman, J. Steven Cole and Allan H. Selig, chairman of our Compensation Committee. Our Board of Directors considered a waiver of the age 75 service limit in these cases appropriate and in the best interests of the Company in light of Messrs. Jaffee’s, Cole’s and Selig’s valuable expertise and experience.</w:t>
      </w:r>
    </w:p>
    <w:p>
      <w:pPr>
        <w:spacing w:after="0" w:line="1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We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80" w:right="2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22"/>
          <w:szCs w:val="22"/>
          <w:color w:val="auto"/>
        </w:rPr>
        <w:t>stockholder in support of the candidate, references for the candidate and an indication of the candidate’s willingness to serve, if elected.</w:t>
      </w:r>
    </w:p>
    <w:p>
      <w:pPr>
        <w:spacing w:after="0" w:line="13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1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 Although we do not have a formal diversity policy, our Board of Directors considers diversity in evaluating candidates 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Leadership Structure and Role in Risk Oversight</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Board of Directors does not have a policy regarding the separation of the roles of Chairman of the Board and Chief Executive Officer. Currently the roles are separate, but have been combined in the past. Under our Corporate Governance Guidelines, we believe that this issue is simply a part of the larger succession planning process and that it is in the best interests of the Company for the Board of Directors to make a specific determination whenever either office becomes vacant. Our Board of Directors receives regular reports from our CEO, COO, CFO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of Directors as appropriate. For example, our internal audit function, which identifies and manages a wide area of risk company-wide, reports to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the Compensation Committee and senior management, who in turn report significant developments to the full Board of Directors.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8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Communication with the Board of Directors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All but one of the members of the Board of Directors attended the 2014 annual meeting in person.</w:t>
      </w:r>
    </w:p>
    <w:p>
      <w:pPr>
        <w:spacing w:after="0" w:line="1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at Oil-Dri Corporation of America, c/o Corporate Secretary, 410 North Michigan Avenue, Suite 400, Chicago, Illinois 60611-4213. Stockholders may also report concerns anonymously in this manner.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We seek to provide a competitive compensation program to attract and retain quality non-employee directors. The compensation received by our non-employee directors, other than Richard M. Jaffee (whose consulting agreement is described in the following paragraph), consists of an annual cash retainer of $20,000 and a $3,000 fee for each Board or committee meeting attended in person ($1,500 for attendance by phone). In addition, Mr. Suckow received an annual cash retainer of $15,000 as chairman of our Audit Committee and Mr. Selig received an annual cash retainer of $7,500 as chairman of our Compensation Committee. Employee directors do not receive additional compensation for their service on our Board of Directors. Mr. Miller also receives a pension benefit under our pension plan earned during his years of service as an employee. Directors are also reimbursed for expenses incurred in connection with attendance at meetings.</w:t>
      </w:r>
    </w:p>
    <w:p>
      <w:pPr>
        <w:spacing w:after="0" w:line="1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We have a consulting agreement with Richard M. Jaffee, Chairman of our Board of Directors, that was originally entered into in October 1989 and has since been amended four times. The initial term of the agreement (as amended) expired on January 31, 2011; however, pursuant to the terms thereof, it automatically renews for successive one-year periods thereafter unless either party gives the other at least 90 days’ prior written notice of termination. No termination notice has been given by either party and thus the current renewal term of the agreement expires on January 31, 2016. Under the terms of the agreement, Mr. Jaffee performs all assignments given him from time to time by our Board of Directors or our CEO. He receives an annual consulting fee of $240,000; he does not receive a retainer or any meeting fees as director. We also provide him with an office and administrative support. In addition, we provide lifetime coverage to Mr. Jaffee and his spouse under our medical plan at no cost to them. This coverage is secondary to the coverage provided to them by Medicare. Because we have a self-insured medical plan, our cost for this coverage is the amount of any actual medical claims we pay. We also pay Mr. Jaffee an annuity of $45,725 annually that he earned during an earlier five years (2001 to 2006) of his consulting agreement. All directors are eligible to defer cash compensation that they receive from the Company into our executive deferred compensation plan. Mr. Jaffee chose to defer the full amount of his consulting fees and his annuity into our executive deferred compensation plan in fiscal 2015. Mr. Jaffee also receives a pension benefit under our pension plan earned during his years of service as an employee.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74"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21"/>
          <w:szCs w:val="21"/>
          <w:color w:val="auto"/>
        </w:rPr>
        <w:t>The following table sets forth information about compensation paid to our directors for their service in fiscal 2015.</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 Table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Change in Pension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Value and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Nonqualified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Deferred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Fees Earned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Option</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Non-Equity</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Compensation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or Paid in</w:t>
            </w:r>
          </w:p>
        </w:tc>
        <w:tc>
          <w:tcPr>
            <w:tcW w:w="16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 Awards</w:t>
            </w:r>
          </w:p>
        </w:tc>
        <w:tc>
          <w:tcPr>
            <w:tcW w:w="16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Awards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Incentive</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Earnings</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All Other</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Cash</w:t>
            </w:r>
          </w:p>
        </w:tc>
        <w:tc>
          <w:tcPr>
            <w:tcW w:w="16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ind w:right="7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Compensation</w:t>
            </w:r>
          </w:p>
        </w:tc>
        <w:tc>
          <w:tcPr>
            <w:tcW w:w="180" w:type="dxa"/>
            <w:vAlign w:val="bottom"/>
          </w:tcPr>
          <w:p>
            <w:pPr>
              <w:spacing w:after="0"/>
              <w:rPr>
                <w:sz w:val="17"/>
                <w:szCs w:val="17"/>
                <w:color w:val="auto"/>
              </w:rPr>
            </w:pPr>
          </w:p>
        </w:tc>
        <w:tc>
          <w:tcPr>
            <w:tcW w:w="12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Compensation</w:t>
            </w:r>
          </w:p>
        </w:tc>
        <w:tc>
          <w:tcPr>
            <w:tcW w:w="220" w:type="dxa"/>
            <w:vAlign w:val="bottom"/>
          </w:tcPr>
          <w:p>
            <w:pPr>
              <w:spacing w:after="0"/>
              <w:rPr>
                <w:sz w:val="17"/>
                <w:szCs w:val="17"/>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r>
      <w:tr>
        <w:trPr>
          <w:trHeight w:val="210"/>
        </w:trPr>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18"/>
                <w:szCs w:val="18"/>
                <w:color w:val="auto"/>
              </w:rPr>
            </w:pPr>
          </w:p>
        </w:tc>
        <w:tc>
          <w:tcPr>
            <w:tcW w:w="900" w:type="dxa"/>
            <w:vAlign w:val="bottom"/>
          </w:tcPr>
          <w:p>
            <w:pPr>
              <w:jc w:val="center"/>
              <w:ind w:right="5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6"/>
                <w:szCs w:val="16"/>
                <w:b w:val="1"/>
                <w:bCs w:val="1"/>
                <w:color w:val="auto"/>
              </w:rPr>
              <w:t>(1)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73"/>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r>
      <w:tr>
        <w:trPr>
          <w:trHeight w:val="33"/>
        </w:trPr>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Jaffee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314,014</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Daniel S. Jaffee (4)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Steven Cole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42,500</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Joseph C. Miller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33,500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33,500</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A. Nemeroff</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33,500</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Allan H. Selig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39,500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39,500</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Suckow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59,000</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Lawrence E. Washow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42,500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43,215</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85,715</w:t>
            </w:r>
          </w:p>
        </w:tc>
      </w:tr>
    </w:tbl>
    <w:p>
      <w:pPr>
        <w:spacing w:after="0" w:line="100" w:lineRule="exact"/>
        <w:rPr>
          <w:sz w:val="20"/>
          <w:szCs w:val="20"/>
          <w:color w:val="auto"/>
        </w:rPr>
      </w:pPr>
    </w:p>
    <w:p>
      <w:pPr>
        <w:ind w:right="20" w:firstLine="8"/>
        <w:spacing w:after="0" w:line="343" w:lineRule="auto"/>
        <w:tabs>
          <w:tab w:leader="none" w:pos="469"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amounts reported reflect the grant date fair value of awards computed in accordance with ASC 718. For stock awards, the grant date fair value is the number of shares granted multiplied by the closing price of our Common Stock on the award date.</w:t>
      </w:r>
    </w:p>
    <w:p>
      <w:pPr>
        <w:spacing w:after="0" w:line="50" w:lineRule="exact"/>
        <w:rPr>
          <w:rFonts w:ascii="Arial" w:cs="Arial" w:eastAsia="Arial" w:hAnsi="Arial"/>
          <w:sz w:val="19"/>
          <w:szCs w:val="19"/>
          <w:color w:val="auto"/>
        </w:rPr>
      </w:pPr>
    </w:p>
    <w:p>
      <w:pPr>
        <w:ind w:firstLine="8"/>
        <w:spacing w:after="0" w:line="263" w:lineRule="auto"/>
        <w:tabs>
          <w:tab w:leader="none" w:pos="551"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There were no option awards to directors in fiscal 2015. Option awards outstanding as of July 31, 2015 are shown in the Directors’ Option Awards Outstanding Table below.</w:t>
      </w:r>
    </w:p>
    <w:p>
      <w:pPr>
        <w:spacing w:after="0" w:line="39" w:lineRule="exact"/>
        <w:rPr>
          <w:rFonts w:ascii="Arial" w:cs="Arial" w:eastAsia="Arial" w:hAnsi="Arial"/>
          <w:sz w:val="22"/>
          <w:szCs w:val="22"/>
          <w:color w:val="auto"/>
        </w:rPr>
      </w:pPr>
    </w:p>
    <w:p>
      <w:pPr>
        <w:jc w:val="both"/>
        <w:ind w:firstLine="8"/>
        <w:spacing w:after="0" w:line="261" w:lineRule="auto"/>
        <w:tabs>
          <w:tab w:leader="none" w:pos="552"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amount shown consists of earnings in excess of 120% of the applicable federal rate on the aggregate balances in our executive deferred compensation plan in which Richard M. Jaffee, Chairman of our Board of Directors, participates. A portion of the aggregate balances in this plan earns a rate of return of 2.5% in excess of Moody's Annual Average of Yields on Aaa bonds, while the remainder earns a return equal to our long-term cost of borrowing plus 1%. No director other than Mr. Jaffee has elected to participate in this plan. In fiscal 2015, Mr. Jaffee received distributions of $76,517 from his account in this plan associated with deferrals he made while an employee and officer of the Company.</w:t>
      </w:r>
    </w:p>
    <w:p>
      <w:pPr>
        <w:spacing w:after="0" w:line="139" w:lineRule="exact"/>
        <w:rPr>
          <w:rFonts w:ascii="Arial" w:cs="Arial" w:eastAsia="Arial" w:hAnsi="Arial"/>
          <w:sz w:val="21"/>
          <w:szCs w:val="21"/>
          <w:color w:val="auto"/>
        </w:rPr>
      </w:pPr>
    </w:p>
    <w:p>
      <w:pPr>
        <w:jc w:val="both"/>
        <w:ind w:right="20" w:firstLine="8"/>
        <w:spacing w:after="0" w:line="253" w:lineRule="auto"/>
        <w:tabs>
          <w:tab w:leader="none" w:pos="487" w:val="left"/>
        </w:tabs>
        <w:numPr>
          <w:ilvl w:val="0"/>
          <w:numId w:val="31"/>
        </w:numPr>
        <w:rPr>
          <w:rFonts w:ascii="Arial" w:cs="Arial" w:eastAsia="Arial" w:hAnsi="Arial"/>
          <w:sz w:val="22"/>
          <w:szCs w:val="22"/>
          <w:color w:val="auto"/>
        </w:rPr>
      </w:pPr>
      <w:r>
        <w:rPr>
          <w:rFonts w:ascii="Arial" w:cs="Arial" w:eastAsia="Arial" w:hAnsi="Arial"/>
          <w:sz w:val="22"/>
          <w:szCs w:val="22"/>
          <w:color w:val="auto"/>
        </w:rPr>
        <w:t>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spacing w:after="0" w:line="145" w:lineRule="exact"/>
        <w:rPr>
          <w:rFonts w:ascii="Arial" w:cs="Arial" w:eastAsia="Arial" w:hAnsi="Arial"/>
          <w:sz w:val="22"/>
          <w:szCs w:val="22"/>
          <w:color w:val="auto"/>
        </w:rPr>
      </w:pPr>
    </w:p>
    <w:p>
      <w:pPr>
        <w:ind w:firstLine="8"/>
        <w:spacing w:after="0" w:line="263" w:lineRule="auto"/>
        <w:tabs>
          <w:tab w:leader="none" w:pos="525" w:val="left"/>
        </w:tabs>
        <w:numPr>
          <w:ilvl w:val="0"/>
          <w:numId w:val="31"/>
        </w:numPr>
        <w:rPr>
          <w:rFonts w:ascii="Arial" w:cs="Arial" w:eastAsia="Arial" w:hAnsi="Arial"/>
          <w:sz w:val="22"/>
          <w:szCs w:val="22"/>
          <w:color w:val="auto"/>
        </w:rPr>
      </w:pPr>
      <w:r>
        <w:rPr>
          <w:rFonts w:ascii="Arial" w:cs="Arial" w:eastAsia="Arial" w:hAnsi="Arial"/>
          <w:sz w:val="22"/>
          <w:szCs w:val="22"/>
          <w:color w:val="auto"/>
        </w:rPr>
        <w:t>Market value of 1,500 restricted shares of Common Stock awarded on December 15, 2014, scheduled to vest on December 15, 2017.</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80" w:right="239" w:bottom="1440" w:gutter="0" w:footer="0" w:header="0"/>
        </w:sectPr>
      </w:pPr>
    </w:p>
    <w:bookmarkStart w:id="31" w:name="page32"/>
    <w:bookmarkEnd w:id="31"/>
    <w:p>
      <w:pPr>
        <w:ind w:left="3640"/>
        <w:spacing w:after="0"/>
        <w:rPr>
          <w:sz w:val="20"/>
          <w:szCs w:val="20"/>
          <w:color w:val="auto"/>
        </w:rPr>
      </w:pPr>
      <w:r>
        <w:rPr>
          <w:rFonts w:ascii="Arial" w:cs="Arial" w:eastAsia="Arial" w:hAnsi="Arial"/>
          <w:sz w:val="22"/>
          <w:szCs w:val="22"/>
          <w:b w:val="1"/>
          <w:bCs w:val="1"/>
          <w:color w:val="auto"/>
        </w:rPr>
        <w:t>Directors’ Option Awards Outstanding Table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July 31, 2015, our directors held the following options to purchase shares of our Common Stock.</w:t>
      </w:r>
    </w:p>
    <w:p>
      <w:pPr>
        <w:spacing w:after="0" w:line="281" w:lineRule="exact"/>
        <w:rPr>
          <w:sz w:val="20"/>
          <w:szCs w:val="20"/>
          <w:color w:val="auto"/>
        </w:rPr>
      </w:pPr>
    </w:p>
    <w:tbl>
      <w:tblPr>
        <w:tblLayout w:type="fixed"/>
        <w:tblInd w:w="2580" w:type="dxa"/>
        <w:tblCellMar>
          <w:top w:w="0" w:type="dxa"/>
          <w:left w:w="0" w:type="dxa"/>
          <w:bottom w:w="0" w:type="dxa"/>
          <w:right w:w="0" w:type="dxa"/>
        </w:tblCellMar>
      </w:tblPr>
      <w:tr>
        <w:trPr>
          <w:trHeight w:val="291"/>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Name</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Number of Shares</w:t>
            </w:r>
          </w:p>
        </w:tc>
      </w:tr>
      <w:tr>
        <w:trPr>
          <w:trHeight w:val="297"/>
        </w:trPr>
        <w:tc>
          <w:tcPr>
            <w:tcW w:w="3220" w:type="dxa"/>
            <w:vAlign w:val="bottom"/>
            <w:shd w:val="clear" w:color="auto" w:fill="CCEEFF"/>
          </w:tcPr>
          <w:p>
            <w:pPr>
              <w:ind w:left="20"/>
              <w:spacing w:after="0"/>
              <w:rPr>
                <w:sz w:val="20"/>
                <w:szCs w:val="20"/>
                <w:color w:val="auto"/>
              </w:rPr>
            </w:pPr>
            <w:r>
              <w:rPr>
                <w:rFonts w:ascii="Arial" w:cs="Arial" w:eastAsia="Arial" w:hAnsi="Arial"/>
                <w:sz w:val="22"/>
                <w:szCs w:val="22"/>
                <w:color w:val="auto"/>
              </w:rPr>
              <w:t>Michael A. Nemeroff</w:t>
            </w:r>
          </w:p>
        </w:tc>
        <w:tc>
          <w:tcPr>
            <w:tcW w:w="3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12,500</w:t>
            </w:r>
          </w:p>
        </w:tc>
      </w:tr>
      <w:tr>
        <w:trPr>
          <w:trHeight w:val="280"/>
        </w:trPr>
        <w:tc>
          <w:tcPr>
            <w:tcW w:w="3220" w:type="dxa"/>
            <w:vAlign w:val="bottom"/>
          </w:tcPr>
          <w:p>
            <w:pPr>
              <w:ind w:left="20"/>
              <w:spacing w:after="0"/>
              <w:rPr>
                <w:sz w:val="20"/>
                <w:szCs w:val="20"/>
                <w:color w:val="auto"/>
              </w:rPr>
            </w:pPr>
            <w:r>
              <w:rPr>
                <w:rFonts w:ascii="Arial" w:cs="Arial" w:eastAsia="Arial" w:hAnsi="Arial"/>
                <w:sz w:val="22"/>
                <w:szCs w:val="22"/>
                <w:color w:val="auto"/>
              </w:rPr>
              <w:t>Paul E. Suckow (1)</w:t>
            </w:r>
          </w:p>
        </w:tc>
        <w:tc>
          <w:tcPr>
            <w:tcW w:w="3060" w:type="dxa"/>
            <w:vAlign w:val="bottom"/>
          </w:tcPr>
          <w:p>
            <w:pPr>
              <w:jc w:val="right"/>
              <w:spacing w:after="0"/>
              <w:rPr>
                <w:sz w:val="20"/>
                <w:szCs w:val="20"/>
                <w:color w:val="auto"/>
              </w:rPr>
            </w:pPr>
            <w:r>
              <w:rPr>
                <w:rFonts w:ascii="Arial" w:cs="Arial" w:eastAsia="Arial" w:hAnsi="Arial"/>
                <w:sz w:val="22"/>
                <w:szCs w:val="22"/>
                <w:color w:val="auto"/>
              </w:rPr>
              <w:t>12,500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(1) Mr. Suckow exercised all of his 12,500 options on August 26,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Corporate Governance Guidelines and Code of Ethics</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have adopted Corporate Governance Guidelines and a Code of Ethics and Business Conduct. The Code of Ethics and Business Conduct applies to all our employees, officers and directors. The Corporate Governance Guidelines and the Code of Ethics and Business Conduct are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a “controlled company” exemption from the NYSE Corporate Governance Standards, we do not have a corporate governance committee.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spacing w:after="0" w:line="3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74" w:right="239" w:bottom="1440" w:gutter="0" w:footer="0" w:header="0"/>
        </w:sectPr>
      </w:pPr>
    </w:p>
    <w:bookmarkStart w:id="32" w:name="page33"/>
    <w:bookmarkEnd w:id="32"/>
    <w:p>
      <w:pPr>
        <w:jc w:val="both"/>
        <w:ind w:firstLine="648"/>
        <w:spacing w:after="0" w:line="250" w:lineRule="auto"/>
        <w:rPr>
          <w:sz w:val="20"/>
          <w:szCs w:val="20"/>
          <w:color w:val="auto"/>
        </w:rPr>
      </w:pPr>
      <w:r>
        <w:rPr>
          <w:rFonts w:ascii="Arial" w:cs="Arial" w:eastAsia="Arial" w:hAnsi="Arial"/>
          <w:sz w:val="22"/>
          <w:szCs w:val="22"/>
          <w:color w:val="auto"/>
        </w:rPr>
        <w:t>We employ Karen Jaffee Cofsky on a part-time basis as Vice President of Compensation and Benefits. She is the daughter of Richard M. Jaffee, the Chairman of our Board of Directors. She is also the spouse of Thomas F. Cofsky and the sister of Daniel S. Jaffee, both of whom are named executive officers of the Company. Mrs. Cofsky’s compensation is based on her education, experience and the responsibilities of her position.</w:t>
      </w:r>
    </w:p>
    <w:p>
      <w:pPr>
        <w:spacing w:after="0" w:line="3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Michael A. Nemeroff, a member of our Board of Directors and of its Compensation Committee, is the President and Chief Executive Officer as well as a director of Vedder Price P.C., a law firm that regularly provides services to the Company. During fiscal 2015, we paid Vedder Price P.C. $170,984 for services provided to the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8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Report of the Audit Committee of the Board of Directors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controls practices, and our compliance with legal and regulatory requirements.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Our management is primarily responsible for our financial statements and reporting process, including our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spacing w:after="0" w:line="14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Audit Committee reviewed and discussed our audited consolidated financial statements and related footnotes for fiscal 2015 and our independent auditor’s report on those financial statements with our management and internal audit manager.</w:t>
      </w:r>
    </w:p>
    <w:p>
      <w:pPr>
        <w:spacing w:after="0" w:line="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The Audit Committee discussed with Grant Thornton the matters required to be discussed by Auditing Standard No. 16 adopted by the Public Company Accounting Oversight Board regarding “</w:t>
      </w:r>
      <w:r>
        <w:rPr>
          <w:rFonts w:ascii="Arial" w:cs="Arial" w:eastAsia="Arial" w:hAnsi="Arial"/>
          <w:sz w:val="21"/>
          <w:szCs w:val="21"/>
          <w:i w:val="1"/>
          <w:iCs w:val="1"/>
          <w:color w:val="auto"/>
        </w:rPr>
        <w:t>Communications with Audit Committees.</w:t>
      </w:r>
      <w:r>
        <w:rPr>
          <w:rFonts w:ascii="Arial" w:cs="Arial" w:eastAsia="Arial" w:hAnsi="Arial"/>
          <w:sz w:val="21"/>
          <w:szCs w:val="21"/>
          <w:color w:val="auto"/>
        </w:rPr>
        <w:t>”</w:t>
      </w:r>
    </w:p>
    <w:p>
      <w:pPr>
        <w:spacing w:after="0" w:line="1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Audit Committee has received the written disclosures and the letter from Grant Thornton required by the applicable requirements of the Public Company Accounting Oversight Board regarding the independent auditor’s communications with the Audit Committee concerning independence and has discussed with Grant Thornton its independence.</w:t>
      </w:r>
    </w:p>
    <w:p>
      <w:pPr>
        <w:spacing w:after="0" w:line="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Based on the foregoing, the Audit Committee recommended to the Board of Directors that our audited consolidated financial statements for fiscal 2015 be included in our Annual Report on Form 10-K for fiscal 2015 filed with the SEC.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AUDIT COMMITTEE</w:t>
      </w:r>
    </w:p>
    <w:p>
      <w:pPr>
        <w:spacing w:after="0" w:line="200" w:lineRule="exact"/>
        <w:rPr>
          <w:sz w:val="20"/>
          <w:szCs w:val="20"/>
          <w:color w:val="auto"/>
        </w:rPr>
      </w:pPr>
    </w:p>
    <w:p>
      <w:pPr>
        <w:spacing w:after="0" w:line="3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Paul E. Suckow, Chairman</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J. Steven Cole</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Lawrence E. Washow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74" w:right="239" w:bottom="1440" w:gutter="0" w:footer="0" w:header="0"/>
        </w:sectPr>
      </w:pPr>
    </w:p>
    <w:bookmarkStart w:id="34" w:name="page35"/>
    <w:bookmarkEnd w:id="34"/>
    <w:p>
      <w:pPr>
        <w:ind w:left="4500"/>
        <w:spacing w:after="0"/>
        <w:rPr>
          <w:sz w:val="20"/>
          <w:szCs w:val="20"/>
          <w:color w:val="auto"/>
        </w:rPr>
      </w:pPr>
      <w:r>
        <w:rPr>
          <w:rFonts w:ascii="Arial" w:cs="Arial" w:eastAsia="Arial" w:hAnsi="Arial"/>
          <w:sz w:val="22"/>
          <w:szCs w:val="22"/>
          <w:b w:val="1"/>
          <w:bCs w:val="1"/>
          <w:color w:val="auto"/>
        </w:rPr>
        <w:t>EXECUTIVE OFFICERS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gives certain information with respect to our current executive officers.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8060" w:type="dxa"/>
            <w:vAlign w:val="bottom"/>
            <w:tcBorders>
              <w:bottom w:val="single" w:sz="8" w:color="auto"/>
            </w:tcBorders>
          </w:tcPr>
          <w:p>
            <w:pPr>
              <w:ind w:left="420"/>
              <w:spacing w:after="0"/>
              <w:rPr>
                <w:sz w:val="20"/>
                <w:szCs w:val="20"/>
                <w:color w:val="auto"/>
              </w:rPr>
            </w:pPr>
            <w:r>
              <w:rPr>
                <w:rFonts w:ascii="Arial" w:cs="Arial" w:eastAsia="Arial" w:hAnsi="Arial"/>
                <w:sz w:val="22"/>
                <w:szCs w:val="22"/>
                <w:b w:val="1"/>
                <w:bCs w:val="1"/>
                <w:color w:val="auto"/>
              </w:rPr>
              <w:t>Principal Occupation for Last Five Years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Age</w:t>
            </w:r>
          </w:p>
        </w:tc>
      </w:tr>
      <w:tr>
        <w:trPr>
          <w:trHeight w:val="297"/>
        </w:trPr>
        <w:tc>
          <w:tcPr>
            <w:tcW w:w="2360" w:type="dxa"/>
            <w:vAlign w:val="bottom"/>
            <w:shd w:val="clear" w:color="auto" w:fill="CCEEFF"/>
          </w:tcPr>
          <w:p>
            <w:pPr>
              <w:ind w:left="40"/>
              <w:spacing w:after="0"/>
              <w:rPr>
                <w:sz w:val="20"/>
                <w:szCs w:val="20"/>
                <w:color w:val="auto"/>
              </w:rPr>
            </w:pPr>
            <w:r>
              <w:rPr>
                <w:rFonts w:ascii="Arial" w:cs="Arial" w:eastAsia="Arial" w:hAnsi="Arial"/>
                <w:sz w:val="22"/>
                <w:szCs w:val="22"/>
                <w:color w:val="auto"/>
              </w:rPr>
              <w:t>Daniel S. Jaffee (1)</w:t>
            </w:r>
          </w:p>
        </w:tc>
        <w:tc>
          <w:tcPr>
            <w:tcW w:w="8060" w:type="dxa"/>
            <w:vAlign w:val="bottom"/>
            <w:shd w:val="clear" w:color="auto" w:fill="CCEEFF"/>
          </w:tcPr>
          <w:p>
            <w:pPr>
              <w:ind w:left="420"/>
              <w:spacing w:after="0"/>
              <w:rPr>
                <w:sz w:val="20"/>
                <w:szCs w:val="20"/>
                <w:color w:val="auto"/>
              </w:rPr>
            </w:pPr>
            <w:r>
              <w:rPr>
                <w:rFonts w:ascii="Arial" w:cs="Arial" w:eastAsia="Arial" w:hAnsi="Arial"/>
                <w:sz w:val="22"/>
                <w:szCs w:val="22"/>
                <w:color w:val="auto"/>
              </w:rPr>
              <w:t>President and Chief Executive Officer of the Company since 1997.</w:t>
            </w:r>
          </w:p>
        </w:tc>
        <w:tc>
          <w:tcPr>
            <w:tcW w:w="10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51</w:t>
            </w:r>
          </w:p>
        </w:tc>
      </w:tr>
      <w:tr>
        <w:trPr>
          <w:trHeight w:val="249"/>
        </w:trPr>
        <w:tc>
          <w:tcPr>
            <w:tcW w:w="2360" w:type="dxa"/>
            <w:vAlign w:val="bottom"/>
          </w:tcPr>
          <w:p>
            <w:pPr>
              <w:ind w:left="40"/>
              <w:spacing w:after="0" w:line="248" w:lineRule="exact"/>
              <w:rPr>
                <w:sz w:val="20"/>
                <w:szCs w:val="20"/>
                <w:color w:val="auto"/>
              </w:rPr>
            </w:pPr>
            <w:r>
              <w:rPr>
                <w:rFonts w:ascii="Arial" w:cs="Arial" w:eastAsia="Arial" w:hAnsi="Arial"/>
                <w:sz w:val="22"/>
                <w:szCs w:val="22"/>
                <w:color w:val="auto"/>
              </w:rPr>
              <w:t>Daniel T. Smith</w:t>
            </w:r>
          </w:p>
        </w:tc>
        <w:tc>
          <w:tcPr>
            <w:tcW w:w="8060" w:type="dxa"/>
            <w:vAlign w:val="bottom"/>
          </w:tcPr>
          <w:p>
            <w:pPr>
              <w:ind w:left="420"/>
              <w:spacing w:after="0" w:line="248" w:lineRule="exact"/>
              <w:rPr>
                <w:sz w:val="20"/>
                <w:szCs w:val="20"/>
                <w:color w:val="auto"/>
              </w:rPr>
            </w:pPr>
            <w:r>
              <w:rPr>
                <w:rFonts w:ascii="Arial" w:cs="Arial" w:eastAsia="Arial" w:hAnsi="Arial"/>
                <w:sz w:val="22"/>
                <w:szCs w:val="22"/>
                <w:color w:val="auto"/>
              </w:rPr>
              <w:t>Vice President, Chief Financial Officer of the Company since June 2012; Vice</w:t>
            </w:r>
          </w:p>
        </w:tc>
        <w:tc>
          <w:tcPr>
            <w:tcW w:w="1000" w:type="dxa"/>
            <w:vAlign w:val="bottom"/>
          </w:tcPr>
          <w:p>
            <w:pPr>
              <w:jc w:val="center"/>
              <w:spacing w:after="0" w:line="248" w:lineRule="exact"/>
              <w:rPr>
                <w:sz w:val="20"/>
                <w:szCs w:val="20"/>
                <w:color w:val="auto"/>
              </w:rPr>
            </w:pPr>
            <w:r>
              <w:rPr>
                <w:rFonts w:ascii="Arial" w:cs="Arial" w:eastAsia="Arial" w:hAnsi="Arial"/>
                <w:sz w:val="22"/>
                <w:szCs w:val="22"/>
                <w:color w:val="auto"/>
                <w:w w:val="89"/>
              </w:rPr>
              <w:t>56</w:t>
            </w:r>
          </w:p>
        </w:tc>
      </w:tr>
      <w:tr>
        <w:trPr>
          <w:trHeight w:val="243"/>
        </w:trPr>
        <w:tc>
          <w:tcPr>
            <w:tcW w:w="2360" w:type="dxa"/>
            <w:vAlign w:val="bottom"/>
          </w:tcPr>
          <w:p>
            <w:pPr>
              <w:spacing w:after="0"/>
              <w:rPr>
                <w:sz w:val="21"/>
                <w:szCs w:val="21"/>
                <w:color w:val="auto"/>
              </w:rPr>
            </w:pPr>
          </w:p>
        </w:tc>
        <w:tc>
          <w:tcPr>
            <w:tcW w:w="8060" w:type="dxa"/>
            <w:vAlign w:val="bottom"/>
          </w:tcPr>
          <w:p>
            <w:pPr>
              <w:ind w:left="420"/>
              <w:spacing w:after="0" w:line="243" w:lineRule="exact"/>
              <w:rPr>
                <w:sz w:val="20"/>
                <w:szCs w:val="20"/>
                <w:color w:val="auto"/>
              </w:rPr>
            </w:pPr>
            <w:r>
              <w:rPr>
                <w:rFonts w:ascii="Arial" w:cs="Arial" w:eastAsia="Arial" w:hAnsi="Arial"/>
                <w:sz w:val="22"/>
                <w:szCs w:val="22"/>
                <w:color w:val="auto"/>
                <w:w w:val="96"/>
              </w:rPr>
              <w:t>President, Chief Accounting Officer and Controller of the Company from February</w:t>
            </w:r>
          </w:p>
        </w:tc>
        <w:tc>
          <w:tcPr>
            <w:tcW w:w="1000" w:type="dxa"/>
            <w:vAlign w:val="bottom"/>
          </w:tcPr>
          <w:p>
            <w:pPr>
              <w:spacing w:after="0"/>
              <w:rPr>
                <w:sz w:val="21"/>
                <w:szCs w:val="21"/>
                <w:color w:val="auto"/>
              </w:rPr>
            </w:pPr>
          </w:p>
        </w:tc>
      </w:tr>
      <w:tr>
        <w:trPr>
          <w:trHeight w:val="243"/>
        </w:trPr>
        <w:tc>
          <w:tcPr>
            <w:tcW w:w="2360" w:type="dxa"/>
            <w:vAlign w:val="bottom"/>
          </w:tcPr>
          <w:p>
            <w:pPr>
              <w:spacing w:after="0"/>
              <w:rPr>
                <w:sz w:val="21"/>
                <w:szCs w:val="21"/>
                <w:color w:val="auto"/>
              </w:rPr>
            </w:pPr>
          </w:p>
        </w:tc>
        <w:tc>
          <w:tcPr>
            <w:tcW w:w="8060" w:type="dxa"/>
            <w:vAlign w:val="bottom"/>
          </w:tcPr>
          <w:p>
            <w:pPr>
              <w:ind w:left="420"/>
              <w:spacing w:after="0" w:line="243" w:lineRule="exact"/>
              <w:rPr>
                <w:sz w:val="20"/>
                <w:szCs w:val="20"/>
                <w:color w:val="auto"/>
              </w:rPr>
            </w:pPr>
            <w:r>
              <w:rPr>
                <w:rFonts w:ascii="Arial" w:cs="Arial" w:eastAsia="Arial" w:hAnsi="Arial"/>
                <w:sz w:val="22"/>
                <w:szCs w:val="22"/>
                <w:color w:val="auto"/>
                <w:w w:val="99"/>
              </w:rPr>
              <w:t>2011 to May 2012; Vice President and Controller of the Company from 2001 to</w:t>
            </w:r>
          </w:p>
        </w:tc>
        <w:tc>
          <w:tcPr>
            <w:tcW w:w="1000" w:type="dxa"/>
            <w:vAlign w:val="bottom"/>
          </w:tcPr>
          <w:p>
            <w:pPr>
              <w:spacing w:after="0"/>
              <w:rPr>
                <w:sz w:val="21"/>
                <w:szCs w:val="21"/>
                <w:color w:val="auto"/>
              </w:rPr>
            </w:pPr>
          </w:p>
        </w:tc>
      </w:tr>
      <w:tr>
        <w:trPr>
          <w:trHeight w:val="283"/>
        </w:trPr>
        <w:tc>
          <w:tcPr>
            <w:tcW w:w="2360" w:type="dxa"/>
            <w:vAlign w:val="bottom"/>
          </w:tcPr>
          <w:p>
            <w:pPr>
              <w:spacing w:after="0"/>
              <w:rPr>
                <w:sz w:val="24"/>
                <w:szCs w:val="24"/>
                <w:color w:val="auto"/>
              </w:rPr>
            </w:pPr>
          </w:p>
        </w:tc>
        <w:tc>
          <w:tcPr>
            <w:tcW w:w="8060" w:type="dxa"/>
            <w:vAlign w:val="bottom"/>
          </w:tcPr>
          <w:p>
            <w:pPr>
              <w:ind w:left="420"/>
              <w:spacing w:after="0"/>
              <w:rPr>
                <w:sz w:val="20"/>
                <w:szCs w:val="20"/>
                <w:color w:val="auto"/>
              </w:rPr>
            </w:pPr>
            <w:r>
              <w:rPr>
                <w:rFonts w:ascii="Arial" w:cs="Arial" w:eastAsia="Arial" w:hAnsi="Arial"/>
                <w:sz w:val="22"/>
                <w:szCs w:val="22"/>
                <w:color w:val="auto"/>
              </w:rPr>
              <w:t>February 2011.</w:t>
            </w:r>
          </w:p>
        </w:tc>
        <w:tc>
          <w:tcPr>
            <w:tcW w:w="1000" w:type="dxa"/>
            <w:vAlign w:val="bottom"/>
          </w:tcPr>
          <w:p>
            <w:pPr>
              <w:spacing w:after="0"/>
              <w:rPr>
                <w:sz w:val="24"/>
                <w:szCs w:val="24"/>
                <w:color w:val="auto"/>
              </w:rPr>
            </w:pPr>
          </w:p>
        </w:tc>
      </w:tr>
      <w:tr>
        <w:trPr>
          <w:trHeight w:val="257"/>
        </w:trPr>
        <w:tc>
          <w:tcPr>
            <w:tcW w:w="2360" w:type="dxa"/>
            <w:vAlign w:val="bottom"/>
            <w:shd w:val="clear" w:color="auto" w:fill="CCEEFF"/>
          </w:tcPr>
          <w:p>
            <w:pPr>
              <w:ind w:left="40"/>
              <w:spacing w:after="0"/>
              <w:rPr>
                <w:sz w:val="20"/>
                <w:szCs w:val="20"/>
                <w:color w:val="auto"/>
              </w:rPr>
            </w:pPr>
            <w:r>
              <w:rPr>
                <w:rFonts w:ascii="Arial" w:cs="Arial" w:eastAsia="Arial" w:hAnsi="Arial"/>
                <w:sz w:val="22"/>
                <w:szCs w:val="22"/>
                <w:color w:val="auto"/>
              </w:rPr>
              <w:t>Thomas F. Cofsky (2)</w:t>
            </w:r>
          </w:p>
        </w:tc>
        <w:tc>
          <w:tcPr>
            <w:tcW w:w="8060" w:type="dxa"/>
            <w:vAlign w:val="bottom"/>
            <w:shd w:val="clear" w:color="auto" w:fill="CCEEFF"/>
          </w:tcPr>
          <w:p>
            <w:pPr>
              <w:ind w:left="420"/>
              <w:spacing w:after="0"/>
              <w:rPr>
                <w:sz w:val="20"/>
                <w:szCs w:val="20"/>
                <w:color w:val="auto"/>
              </w:rPr>
            </w:pPr>
            <w:r>
              <w:rPr>
                <w:rFonts w:ascii="Arial" w:cs="Arial" w:eastAsia="Arial" w:hAnsi="Arial"/>
                <w:sz w:val="22"/>
                <w:szCs w:val="22"/>
                <w:color w:val="auto"/>
                <w:w w:val="93"/>
              </w:rPr>
              <w:t>Vice President, Manufacturing - Industrial of the Company since October 2015; Vice</w:t>
            </w:r>
          </w:p>
        </w:tc>
        <w:tc>
          <w:tcPr>
            <w:tcW w:w="10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54</w:t>
            </w:r>
          </w:p>
        </w:tc>
      </w:tr>
      <w:tr>
        <w:trPr>
          <w:trHeight w:val="243"/>
        </w:trPr>
        <w:tc>
          <w:tcPr>
            <w:tcW w:w="2360" w:type="dxa"/>
            <w:vAlign w:val="bottom"/>
            <w:shd w:val="clear" w:color="auto" w:fill="CCEEFF"/>
          </w:tcPr>
          <w:p>
            <w:pPr>
              <w:spacing w:after="0"/>
              <w:rPr>
                <w:sz w:val="21"/>
                <w:szCs w:val="21"/>
                <w:color w:val="auto"/>
              </w:rPr>
            </w:pPr>
          </w:p>
        </w:tc>
        <w:tc>
          <w:tcPr>
            <w:tcW w:w="8060" w:type="dxa"/>
            <w:vAlign w:val="bottom"/>
            <w:shd w:val="clear" w:color="auto" w:fill="CCEEFF"/>
          </w:tcPr>
          <w:p>
            <w:pPr>
              <w:ind w:left="420"/>
              <w:spacing w:after="0" w:line="243" w:lineRule="exact"/>
              <w:rPr>
                <w:sz w:val="20"/>
                <w:szCs w:val="20"/>
                <w:color w:val="auto"/>
              </w:rPr>
            </w:pPr>
            <w:r>
              <w:rPr>
                <w:rFonts w:ascii="Arial" w:cs="Arial" w:eastAsia="Arial" w:hAnsi="Arial"/>
                <w:sz w:val="22"/>
                <w:szCs w:val="22"/>
                <w:color w:val="auto"/>
                <w:w w:val="97"/>
              </w:rPr>
              <w:t>President, Manufacturing of the Company since October 2011; Vice President of</w:t>
            </w:r>
          </w:p>
        </w:tc>
        <w:tc>
          <w:tcPr>
            <w:tcW w:w="1000" w:type="dxa"/>
            <w:vAlign w:val="bottom"/>
            <w:shd w:val="clear" w:color="auto" w:fill="CCEEFF"/>
          </w:tcPr>
          <w:p>
            <w:pPr>
              <w:spacing w:after="0"/>
              <w:rPr>
                <w:sz w:val="21"/>
                <w:szCs w:val="21"/>
                <w:color w:val="auto"/>
              </w:rPr>
            </w:pPr>
          </w:p>
        </w:tc>
      </w:tr>
      <w:tr>
        <w:trPr>
          <w:trHeight w:val="292"/>
        </w:trPr>
        <w:tc>
          <w:tcPr>
            <w:tcW w:w="2360" w:type="dxa"/>
            <w:vAlign w:val="bottom"/>
            <w:shd w:val="clear" w:color="auto" w:fill="CCEEFF"/>
          </w:tcPr>
          <w:p>
            <w:pPr>
              <w:spacing w:after="0"/>
              <w:rPr>
                <w:sz w:val="24"/>
                <w:szCs w:val="24"/>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22"/>
                <w:szCs w:val="22"/>
                <w:color w:val="auto"/>
              </w:rPr>
              <w:t>Manufacturing and Logistics of the Company from 1999 to October 2011.</w:t>
            </w:r>
          </w:p>
        </w:tc>
        <w:tc>
          <w:tcPr>
            <w:tcW w:w="1000" w:type="dxa"/>
            <w:vAlign w:val="bottom"/>
            <w:shd w:val="clear" w:color="auto" w:fill="CCEEFF"/>
          </w:tcPr>
          <w:p>
            <w:pPr>
              <w:spacing w:after="0"/>
              <w:rPr>
                <w:sz w:val="24"/>
                <w:szCs w:val="24"/>
                <w:color w:val="auto"/>
              </w:rPr>
            </w:pPr>
          </w:p>
        </w:tc>
      </w:tr>
      <w:tr>
        <w:trPr>
          <w:trHeight w:val="249"/>
        </w:trPr>
        <w:tc>
          <w:tcPr>
            <w:tcW w:w="2360" w:type="dxa"/>
            <w:vAlign w:val="bottom"/>
          </w:tcPr>
          <w:p>
            <w:pPr>
              <w:ind w:left="40"/>
              <w:spacing w:after="0" w:line="248" w:lineRule="exact"/>
              <w:rPr>
                <w:sz w:val="20"/>
                <w:szCs w:val="20"/>
                <w:color w:val="auto"/>
              </w:rPr>
            </w:pPr>
            <w:r>
              <w:rPr>
                <w:rFonts w:ascii="Arial" w:cs="Arial" w:eastAsia="Arial" w:hAnsi="Arial"/>
                <w:sz w:val="22"/>
                <w:szCs w:val="22"/>
                <w:color w:val="auto"/>
              </w:rPr>
              <w:t>Douglas A. Graham</w:t>
            </w:r>
          </w:p>
        </w:tc>
        <w:tc>
          <w:tcPr>
            <w:tcW w:w="8060" w:type="dxa"/>
            <w:vAlign w:val="bottom"/>
          </w:tcPr>
          <w:p>
            <w:pPr>
              <w:ind w:left="420"/>
              <w:spacing w:after="0" w:line="248" w:lineRule="exact"/>
              <w:rPr>
                <w:sz w:val="20"/>
                <w:szCs w:val="20"/>
                <w:color w:val="auto"/>
              </w:rPr>
            </w:pPr>
            <w:r>
              <w:rPr>
                <w:rFonts w:ascii="Arial" w:cs="Arial" w:eastAsia="Arial" w:hAnsi="Arial"/>
                <w:sz w:val="22"/>
                <w:szCs w:val="22"/>
                <w:color w:val="auto"/>
                <w:w w:val="94"/>
              </w:rPr>
              <w:t>Vice President, General Counsel and Secretary of the Company since March 2011;</w:t>
            </w:r>
          </w:p>
        </w:tc>
        <w:tc>
          <w:tcPr>
            <w:tcW w:w="1000" w:type="dxa"/>
            <w:vAlign w:val="bottom"/>
          </w:tcPr>
          <w:p>
            <w:pPr>
              <w:jc w:val="center"/>
              <w:spacing w:after="0" w:line="248" w:lineRule="exact"/>
              <w:rPr>
                <w:sz w:val="20"/>
                <w:szCs w:val="20"/>
                <w:color w:val="auto"/>
              </w:rPr>
            </w:pPr>
            <w:r>
              <w:rPr>
                <w:rFonts w:ascii="Arial" w:cs="Arial" w:eastAsia="Arial" w:hAnsi="Arial"/>
                <w:sz w:val="22"/>
                <w:szCs w:val="22"/>
                <w:color w:val="auto"/>
                <w:w w:val="89"/>
              </w:rPr>
              <w:t>52</w:t>
            </w:r>
          </w:p>
        </w:tc>
      </w:tr>
      <w:tr>
        <w:trPr>
          <w:trHeight w:val="243"/>
        </w:trPr>
        <w:tc>
          <w:tcPr>
            <w:tcW w:w="2360" w:type="dxa"/>
            <w:vAlign w:val="bottom"/>
          </w:tcPr>
          <w:p>
            <w:pPr>
              <w:spacing w:after="0"/>
              <w:rPr>
                <w:sz w:val="21"/>
                <w:szCs w:val="21"/>
                <w:color w:val="auto"/>
              </w:rPr>
            </w:pPr>
          </w:p>
        </w:tc>
        <w:tc>
          <w:tcPr>
            <w:tcW w:w="8060" w:type="dxa"/>
            <w:vAlign w:val="bottom"/>
          </w:tcPr>
          <w:p>
            <w:pPr>
              <w:ind w:left="420"/>
              <w:spacing w:after="0" w:line="243" w:lineRule="exact"/>
              <w:rPr>
                <w:sz w:val="20"/>
                <w:szCs w:val="20"/>
                <w:color w:val="auto"/>
              </w:rPr>
            </w:pPr>
            <w:r>
              <w:rPr>
                <w:rFonts w:ascii="Arial" w:cs="Arial" w:eastAsia="Arial" w:hAnsi="Arial"/>
                <w:sz w:val="22"/>
                <w:szCs w:val="22"/>
                <w:color w:val="auto"/>
                <w:w w:val="91"/>
              </w:rPr>
              <w:t>General Counsel of the Company since February 2011; Assistant General Counsel at</w:t>
            </w:r>
          </w:p>
        </w:tc>
        <w:tc>
          <w:tcPr>
            <w:tcW w:w="1000" w:type="dxa"/>
            <w:vAlign w:val="bottom"/>
          </w:tcPr>
          <w:p>
            <w:pPr>
              <w:spacing w:after="0"/>
              <w:rPr>
                <w:sz w:val="21"/>
                <w:szCs w:val="21"/>
                <w:color w:val="auto"/>
              </w:rPr>
            </w:pPr>
          </w:p>
        </w:tc>
      </w:tr>
      <w:tr>
        <w:trPr>
          <w:trHeight w:val="283"/>
        </w:trPr>
        <w:tc>
          <w:tcPr>
            <w:tcW w:w="2360" w:type="dxa"/>
            <w:vAlign w:val="bottom"/>
          </w:tcPr>
          <w:p>
            <w:pPr>
              <w:spacing w:after="0"/>
              <w:rPr>
                <w:sz w:val="24"/>
                <w:szCs w:val="24"/>
                <w:color w:val="auto"/>
              </w:rPr>
            </w:pPr>
          </w:p>
        </w:tc>
        <w:tc>
          <w:tcPr>
            <w:tcW w:w="8060" w:type="dxa"/>
            <w:vAlign w:val="bottom"/>
          </w:tcPr>
          <w:p>
            <w:pPr>
              <w:ind w:left="420"/>
              <w:spacing w:after="0"/>
              <w:rPr>
                <w:sz w:val="20"/>
                <w:szCs w:val="20"/>
                <w:color w:val="auto"/>
              </w:rPr>
            </w:pPr>
            <w:r>
              <w:rPr>
                <w:rFonts w:ascii="Arial" w:cs="Arial" w:eastAsia="Arial" w:hAnsi="Arial"/>
                <w:sz w:val="22"/>
                <w:szCs w:val="22"/>
                <w:color w:val="auto"/>
              </w:rPr>
              <w:t>Commonwealth Edison Company from January 2008 to February 2011.</w:t>
            </w:r>
          </w:p>
        </w:tc>
        <w:tc>
          <w:tcPr>
            <w:tcW w:w="1000" w:type="dxa"/>
            <w:vAlign w:val="bottom"/>
          </w:tcPr>
          <w:p>
            <w:pPr>
              <w:spacing w:after="0"/>
              <w:rPr>
                <w:sz w:val="24"/>
                <w:szCs w:val="24"/>
                <w:color w:val="auto"/>
              </w:rPr>
            </w:pPr>
          </w:p>
        </w:tc>
      </w:tr>
      <w:tr>
        <w:trPr>
          <w:trHeight w:val="257"/>
        </w:trPr>
        <w:tc>
          <w:tcPr>
            <w:tcW w:w="2360" w:type="dxa"/>
            <w:vAlign w:val="bottom"/>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8060" w:type="dxa"/>
            <w:vAlign w:val="bottom"/>
            <w:shd w:val="clear" w:color="auto" w:fill="CCEEFF"/>
          </w:tcPr>
          <w:p>
            <w:pPr>
              <w:ind w:left="420"/>
              <w:spacing w:after="0"/>
              <w:rPr>
                <w:sz w:val="20"/>
                <w:szCs w:val="20"/>
                <w:color w:val="auto"/>
              </w:rPr>
            </w:pPr>
            <w:r>
              <w:rPr>
                <w:rFonts w:ascii="Arial" w:cs="Arial" w:eastAsia="Arial" w:hAnsi="Arial"/>
                <w:sz w:val="22"/>
                <w:szCs w:val="22"/>
                <w:color w:val="auto"/>
                <w:w w:val="96"/>
              </w:rPr>
              <w:t>Chief Operating Officer of the Company since March 2014; Group President, The</w:t>
            </w:r>
          </w:p>
        </w:tc>
        <w:tc>
          <w:tcPr>
            <w:tcW w:w="10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57</w:t>
            </w:r>
          </w:p>
        </w:tc>
      </w:tr>
      <w:tr>
        <w:trPr>
          <w:trHeight w:val="243"/>
        </w:trPr>
        <w:tc>
          <w:tcPr>
            <w:tcW w:w="2360" w:type="dxa"/>
            <w:vAlign w:val="bottom"/>
            <w:shd w:val="clear" w:color="auto" w:fill="CCEEFF"/>
          </w:tcPr>
          <w:p>
            <w:pPr>
              <w:spacing w:after="0"/>
              <w:rPr>
                <w:sz w:val="21"/>
                <w:szCs w:val="21"/>
                <w:color w:val="auto"/>
              </w:rPr>
            </w:pPr>
          </w:p>
        </w:tc>
        <w:tc>
          <w:tcPr>
            <w:tcW w:w="8060" w:type="dxa"/>
            <w:vAlign w:val="bottom"/>
            <w:shd w:val="clear" w:color="auto" w:fill="CCEEFF"/>
          </w:tcPr>
          <w:p>
            <w:pPr>
              <w:ind w:left="420"/>
              <w:spacing w:after="0" w:line="243" w:lineRule="exact"/>
              <w:rPr>
                <w:sz w:val="20"/>
                <w:szCs w:val="20"/>
                <w:color w:val="auto"/>
              </w:rPr>
            </w:pPr>
            <w:r>
              <w:rPr>
                <w:rFonts w:ascii="Arial" w:cs="Arial" w:eastAsia="Arial" w:hAnsi="Arial"/>
                <w:sz w:val="22"/>
                <w:szCs w:val="22"/>
                <w:color w:val="auto"/>
              </w:rPr>
              <w:t>Marmon Group/A Berkshire Hathaway Company from July 2011 to April 2013;</w:t>
            </w:r>
          </w:p>
        </w:tc>
        <w:tc>
          <w:tcPr>
            <w:tcW w:w="1000" w:type="dxa"/>
            <w:vAlign w:val="bottom"/>
            <w:shd w:val="clear" w:color="auto" w:fill="CCEEFF"/>
          </w:tcPr>
          <w:p>
            <w:pPr>
              <w:spacing w:after="0"/>
              <w:rPr>
                <w:sz w:val="21"/>
                <w:szCs w:val="21"/>
                <w:color w:val="auto"/>
              </w:rPr>
            </w:pPr>
          </w:p>
        </w:tc>
      </w:tr>
      <w:tr>
        <w:trPr>
          <w:trHeight w:val="292"/>
        </w:trPr>
        <w:tc>
          <w:tcPr>
            <w:tcW w:w="2360" w:type="dxa"/>
            <w:vAlign w:val="bottom"/>
            <w:shd w:val="clear" w:color="auto" w:fill="CCEEFF"/>
          </w:tcPr>
          <w:p>
            <w:pPr>
              <w:spacing w:after="0"/>
              <w:rPr>
                <w:sz w:val="24"/>
                <w:szCs w:val="24"/>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22"/>
                <w:szCs w:val="22"/>
                <w:color w:val="auto"/>
              </w:rPr>
              <w:t>President and CEO, Conwed Plastics from 2003 to 2011.</w:t>
            </w:r>
          </w:p>
        </w:tc>
        <w:tc>
          <w:tcPr>
            <w:tcW w:w="1000" w:type="dxa"/>
            <w:vAlign w:val="bottom"/>
            <w:shd w:val="clear" w:color="auto" w:fill="CCEEFF"/>
          </w:tcPr>
          <w:p>
            <w:pPr>
              <w:spacing w:after="0"/>
              <w:rPr>
                <w:sz w:val="24"/>
                <w:szCs w:val="24"/>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All of our executive officers are appointed annually and serve at the pleasure of our Board of Directors.</w:t>
      </w:r>
    </w:p>
    <w:p>
      <w:pPr>
        <w:spacing w:after="0" w:line="85" w:lineRule="exact"/>
        <w:rPr>
          <w:sz w:val="20"/>
          <w:szCs w:val="20"/>
          <w:color w:val="auto"/>
        </w:rPr>
      </w:pPr>
    </w:p>
    <w:p>
      <w:pPr>
        <w:ind w:firstLine="8"/>
        <w:spacing w:after="0" w:line="263" w:lineRule="auto"/>
        <w:tabs>
          <w:tab w:leader="none" w:pos="570" w:val="left"/>
        </w:tabs>
        <w:numPr>
          <w:ilvl w:val="0"/>
          <w:numId w:val="32"/>
        </w:numPr>
        <w:rPr>
          <w:rFonts w:ascii="Arial" w:cs="Arial" w:eastAsia="Arial" w:hAnsi="Arial"/>
          <w:sz w:val="22"/>
          <w:szCs w:val="22"/>
          <w:color w:val="auto"/>
        </w:rPr>
      </w:pPr>
      <w:r>
        <w:rPr>
          <w:rFonts w:ascii="Arial" w:cs="Arial" w:eastAsia="Arial" w:hAnsi="Arial"/>
          <w:sz w:val="22"/>
          <w:szCs w:val="22"/>
          <w:color w:val="auto"/>
        </w:rPr>
        <w:t>Of the persons in this table, only Mr. Jaffee is also a director. Daniel S. Jaffee is the son of our Chairman of the Board, Richard M. Jaffee, and the brother-in-law of Thomas F. Cofsky, an executive officer of the Company.</w:t>
      </w:r>
    </w:p>
    <w:p>
      <w:pPr>
        <w:spacing w:after="0" w:line="39" w:lineRule="exact"/>
        <w:rPr>
          <w:rFonts w:ascii="Arial" w:cs="Arial" w:eastAsia="Arial" w:hAnsi="Arial"/>
          <w:sz w:val="22"/>
          <w:szCs w:val="22"/>
          <w:color w:val="auto"/>
        </w:rPr>
      </w:pPr>
    </w:p>
    <w:p>
      <w:pPr>
        <w:ind w:left="480" w:hanging="472"/>
        <w:spacing w:after="0"/>
        <w:tabs>
          <w:tab w:leader="none" w:pos="4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Thomas F. Cofsky is Daniel S. Jaffee’s brother-in-law and the son-in-law of our Chairman of the Board, Richard M. Jaffee.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Compensation Discussion and Analysis presents an overview of our compensation program, focusing on the elements of compensation awarded or paid to our executive officers, including the named executive officers. This Compensation Discussion and Analysis, the compensation tables and related narrative and tabular disclosures refer to the named executive officers for fiscal 2015, as defined by Item 402 of Regulation S-K. Our current executive officers, which include the named executive officers, are listed on the preceding page.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executive compensation program is designed to attract and retain skilled executives and maintain a strong link between corporate financial performance and pay by rewarding achievement of company-wide goals. Our compensation philosophy and objectives emphasize teamwork and close collaboration between executive officers. We employ all executives at-will, without written employment agreements or a prospective severance plan. We provide modest perquisites that are designed to help executives fulfill their duties to the Company. None of our employees, including the named executive officers, are entitled to any payment or accelerated benefit upon change in control of the Company unless benefits are provided for in compensation plans that apply to all participants. We emphasize our core values and belief in teamwork by focusing on one corporate financial target for all salaried employees in our annual incentive plan. The annual incentive plan also involves communication to employees of expectations for the Company’s performance and links Company performance and annual compensation. As a result, our annual incentive plan provides an opportunity for essentially all salaried employees (including our executive officers) to earn a performance-based cash incentive award. Through such broad-based participation, each salaried employee recognizes that he or she can contribute to our success. Finally, our compensation program provides equivalent benefits for all U.S.-based salaried employees and similar benefits for hourly-paid manufacturing employees.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Fiscal 2015</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fiscal 2015 corporate financial performance met the threshold for payment of a performance-based cash incentive award and resulted in cash incentive awards being paid at 53% of target bonus to eligible employees exempt from the overtime provisions of the Fair Labor Standard Act (the “FLSA”), including our executive officers (“exempt employees”). However, our annual incentive plan gives our CEO the discretion to adjust the performance measures, targets and payout ranges used for incentive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Due to a variety of factors, including the Company’s top-line financial performance in fiscal 2015 and the occurrence of certain events (e.g., the increase in the value of the U.S. dollar versus currencies in many of our foreign markets and extreme price competition in the scoopable and lightweight cat litter categories), and after consulting with our CFO, our Chairman of the Board and each member of our Compensation Committee, our CEO used such discretionary authority for fiscal 2015 to set cash incentive awards paid to most exempt employees (other than the CEO) at 70% of target bonus. At its September 9, 2015 meeting, for the reasons set forth above (among others), our Compensation Committee set the cash incentive award paid to our CEO at 70% of target bonus. Since our fiscal 2015 corporate financial performance met the threshold for payment of a performance-based cash incentive award, cash incentive awards were paid to eligible employees not exempt from the overtime provisions of FLSA (“non-exempt employees”) at 100% of target bonus.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74" w:right="239" w:bottom="1440" w:gutter="0" w:footer="0" w:header="0"/>
        </w:sectPr>
      </w:pPr>
    </w:p>
    <w:bookmarkStart w:id="36" w:name="page37"/>
    <w:bookmarkEnd w:id="36"/>
    <w:p>
      <w:pPr>
        <w:jc w:val="both"/>
        <w:ind w:firstLine="648"/>
        <w:spacing w:after="0" w:line="248" w:lineRule="auto"/>
        <w:rPr>
          <w:sz w:val="20"/>
          <w:szCs w:val="20"/>
          <w:color w:val="auto"/>
        </w:rPr>
      </w:pPr>
      <w:r>
        <w:rPr>
          <w:rFonts w:ascii="Arial" w:cs="Arial" w:eastAsia="Arial" w:hAnsi="Arial"/>
          <w:sz w:val="22"/>
          <w:szCs w:val="22"/>
          <w:color w:val="auto"/>
        </w:rPr>
        <w:t>Our fiscal 2015 corporate financial performance did not meet the threshold level for earning executive deferred bonus awards listed below. Therefore, as in fiscal 2014, our adjusted, pre-tax, pre-bonus income resulted in no executive deferred bonus awards to our executive officers and no bonus-based stock award to our CEO in lieu of an executive deferred bonus award for fiscal year 2015. Annual cash and executive deferred bonus awards are shown in the Summary Compensation Table in the column captioned “Non-Equity Incentive Plan Compensation.”</w:t>
      </w:r>
    </w:p>
    <w:p>
      <w:pPr>
        <w:spacing w:after="0" w:line="1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We made no equity awards to our named executive officers during fiscal 2015. At its September 9, 2015 meeting, our Compensation Committee made a multi-year equity incentive award of 125,000 restricted shares of Class B Stock to our CEO under the terms of our Incentive Plan. The shares will vest in 20% increments beginning no earlier than on October 19, 2016 and no earlier than on each of the four subsequent anniversaries of that date, provided Mr. Jaffee is employed by us on those dates and meets set annual or cumulative performance-based criteria. Mr. Jaffee received a similar sized award in 2010; the final shares of that award vested on October 6, 2015. In determining the number of shares, our Compensation Committee intended that Mr. Jaffee would not receive a similar multi-year award for five years. Our Compensation Committee also reviewed broad-based surveys of chief executive officer compensation for companies of varying industries and sizes and concluded that when spread over a five-year period, the equity incentive award would move his total direct compensation closer to the market median.</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Our Compensation Committee also made the following equity awards to named executive officers under the terms of our Incentive Plan at its September 9, 2015 meeting: (i) an award of 1,000 restricted shares of Class B Stock to our Vice President of Manufacturing - Industrial, Thomas F. Cofsky, all of which will “cliff” vest in full on October 19, 2018, provided he is employed by the Company on that date, (ii) an award of 500 restricted shares of Common Stock to our Vice President, General Counsel and Secretary, Douglas A. Graham, all of which will “cliff” vest in full on October 19, 2018, provided he is employed by the Company on that date, and (iii) an award of 7,500 restricted shares of Common Stock to our Vice President, Chief Financial Officer, Daniel T. Smith, all of which will “cliff” vest in full on October 19, 2020, provided he is employed by the Company on that date.</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previously disclosed, no change occurred to our CEO’s base salary for fiscal 2015 following our Compensation Committee’s annual review of our CEO’s performance at its September 18, 2014 meeting. At its March 17, 2015 meeting, our Compensation Committee increased our CEO’s base salary to $577,750, an increase of approximately 5%, effective on February 1, 2015.</w:t>
      </w:r>
    </w:p>
    <w:p>
      <w:pPr>
        <w:spacing w:after="0" w:line="14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At its September 9, 2015 meeting, our Compensation Committee conducted its annual review of our CEO’s performance. The review included a report by the Chairman of our Board of Directors regarding our CEO’s performance in fiscal 2015, a review of the total direct compensation our CEO received in fiscal 2015 (base salary, cash incentive and stock awards) and company-wide compensation data. Based on such review, our Compensation Committee desired to increase our CEO’s base salary for the fiscal year beginning August 1, 2015 (“fiscal 2016”) to $595,080, an increase of approximately 3%, to better reflect our Compensation Committee’s view of compensation for similarly situated executives and our CEO’s contributions to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36"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Results of 2014 Stockholder Advisory Vote to Approve Executive Compensation</w:t>
      </w:r>
    </w:p>
    <w:p>
      <w:pPr>
        <w:spacing w:after="0" w:line="266" w:lineRule="exact"/>
        <w:rPr>
          <w:sz w:val="20"/>
          <w:szCs w:val="20"/>
          <w:color w:val="auto"/>
        </w:rPr>
      </w:pPr>
    </w:p>
    <w:p>
      <w:pPr>
        <w:jc w:val="both"/>
        <w:ind w:firstLine="332"/>
        <w:spacing w:after="0" w:line="261" w:lineRule="auto"/>
        <w:rPr>
          <w:sz w:val="20"/>
          <w:szCs w:val="20"/>
          <w:color w:val="auto"/>
        </w:rPr>
      </w:pPr>
      <w:r>
        <w:rPr>
          <w:rFonts w:ascii="Arial" w:cs="Arial" w:eastAsia="Arial" w:hAnsi="Arial"/>
          <w:sz w:val="21"/>
          <w:szCs w:val="21"/>
          <w:color w:val="auto"/>
        </w:rPr>
        <w:t>At the Company’s last annual meeting of stockholders held on December 9, 2014, stockholders had the opportunity to cast an advisory vote (a “say-on-pay” proposal) on the compensation of our executive officers as disclosed in our proxy statement for that meeting. Stockholders approved this advisory proposal by the affirmative vote of approximately 74% of shares cast. We believe that the vote affirms stockholders’ support of the Company’s approach to executive compensation, and took it into consideration as a factor in our decision not to significantly change our compensation philosophy and objectives, the mix of compensation components, performance metrics or other compensation policies.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Philosophy and Objectives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Our compensation philosophy is to provide total compensation opportunities, which include base salary, bonus and a full benefits package, that allow us to attract, retain and motivate the people we need to carry out our strategic plan, mission, goals and values. Our Compensation Committee oversees our philosophies and practices in the area of compensation and benefits (generally with regard to all employees and specifically with regard to our executive officers). Our Compensation Committee ensures that the total compensation paid to our executive officers is fair and reasonable.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Policy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compensation policy is to provide our executive officers and other salaried employees with compensation opportunities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6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Are competitive with companies of comparable size;</w:t>
      </w:r>
    </w:p>
    <w:p>
      <w:pPr>
        <w:spacing w:after="0" w:line="111" w:lineRule="exact"/>
        <w:rPr>
          <w:rFonts w:ascii="Arial" w:cs="Arial" w:eastAsia="Arial" w:hAnsi="Arial"/>
          <w:sz w:val="22"/>
          <w:szCs w:val="22"/>
          <w:color w:val="auto"/>
        </w:rPr>
      </w:pPr>
    </w:p>
    <w:p>
      <w:pPr>
        <w:ind w:left="980" w:right="20" w:hanging="324"/>
        <w:spacing w:after="0" w:line="341" w:lineRule="auto"/>
        <w:tabs>
          <w:tab w:leader="none" w:pos="9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Align compensation with the Company’s overall performance by including annual incentive opportunities based on Company performance or other pre-determined performance goals and employees’ levels of responsibility; and</w:t>
      </w:r>
    </w:p>
    <w:p>
      <w:pPr>
        <w:ind w:left="980" w:hanging="324"/>
        <w:spacing w:after="0" w:line="263"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Provide longer-term incentives to executive officers and other senior managers to remain with the Company and contribute to our growth.</w:t>
      </w:r>
    </w:p>
    <w:p>
      <w:pPr>
        <w:spacing w:after="0" w:line="215" w:lineRule="exact"/>
        <w:rPr>
          <w:sz w:val="20"/>
          <w:szCs w:val="20"/>
          <w:color w:val="auto"/>
        </w:rPr>
      </w:pPr>
    </w:p>
    <w:p>
      <w:pPr>
        <w:jc w:val="both"/>
        <w:ind w:firstLine="716"/>
        <w:spacing w:after="0" w:line="290" w:lineRule="auto"/>
        <w:rPr>
          <w:sz w:val="20"/>
          <w:szCs w:val="20"/>
          <w:color w:val="auto"/>
        </w:rPr>
      </w:pPr>
      <w:r>
        <w:rPr>
          <w:rFonts w:ascii="Arial" w:cs="Arial" w:eastAsia="Arial" w:hAnsi="Arial"/>
          <w:sz w:val="19"/>
          <w:szCs w:val="19"/>
          <w:color w:val="auto"/>
        </w:rPr>
        <w:t>When comparing our executive compensation with pertinent market data, we refer to publicly available salary surveys prepared and published by several large consulting firms and other information reflecting a broad range of entities. The surveys we review provide broad-based compensation data for a vast range of positions. We review these surveys and information to obtain a general understanding of current compensation practices for specific positions. On occasion, we also consult with our outside legal counsel whose expertise is in the area of executive compensation. We do not, however, target our executive officers’ compensation at a certain level or percentage based on other companies’ compensation arrangements. Based on our review of these sources, we believe that our compensation policy approximates the median of the marketplace in base salary and the 70th percentile in total cash compensation, if full target bonus is paid under our annual incentive plan.</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Overview of Executive Compensation Program and Components</w:t>
      </w:r>
    </w:p>
    <w:p>
      <w:pPr>
        <w:spacing w:after="0" w:line="185" w:lineRule="exact"/>
        <w:rPr>
          <w:sz w:val="20"/>
          <w:szCs w:val="20"/>
          <w:color w:val="auto"/>
        </w:rPr>
      </w:pPr>
    </w:p>
    <w:p>
      <w:pPr>
        <w:jc w:val="both"/>
        <w:ind w:firstLine="716"/>
        <w:spacing w:after="0" w:line="302" w:lineRule="auto"/>
        <w:rPr>
          <w:sz w:val="20"/>
          <w:szCs w:val="20"/>
          <w:color w:val="auto"/>
        </w:rPr>
      </w:pPr>
      <w:r>
        <w:rPr>
          <w:rFonts w:ascii="Arial" w:cs="Arial" w:eastAsia="Arial" w:hAnsi="Arial"/>
          <w:sz w:val="19"/>
          <w:szCs w:val="19"/>
          <w:color w:val="auto"/>
        </w:rPr>
        <w:t>Our compensation program generally provides equivalent benefits for all U.S.-based salaried employees and similar benefits for hourly-paid manufacturing employees. We provide additional compensation for our senior managers, including our executive officers, designed to reward performance and provide retirement benefits commensurate with the executives’ earnings during their working lives. For fiscal 2015, the principal components of compensation for our executive officers were: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74" w:right="239" w:bottom="1440" w:gutter="0" w:footer="0" w:header="0"/>
        </w:sectPr>
      </w:pPr>
    </w:p>
    <w:bookmarkStart w:id="38" w:name="page39"/>
    <w:bookmarkEnd w:id="38"/>
    <w:p>
      <w:pPr>
        <w:ind w:left="980" w:hanging="324"/>
        <w:spacing w:after="0"/>
        <w:tabs>
          <w:tab w:leader="none" w:pos="980" w:val="left"/>
        </w:tabs>
        <w:numPr>
          <w:ilvl w:val="0"/>
          <w:numId w:val="34"/>
        </w:numPr>
        <w:rPr>
          <w:rFonts w:ascii="Arial" w:cs="Arial" w:eastAsia="Arial" w:hAnsi="Arial"/>
          <w:sz w:val="25"/>
          <w:szCs w:val="25"/>
          <w:color w:val="auto"/>
        </w:rPr>
      </w:pPr>
      <w:r>
        <w:rPr>
          <w:rFonts w:ascii="Arial" w:cs="Arial" w:eastAsia="Arial" w:hAnsi="Arial"/>
          <w:sz w:val="22"/>
          <w:szCs w:val="22"/>
          <w:color w:val="auto"/>
        </w:rPr>
        <w:t>Base salary;</w:t>
      </w:r>
    </w:p>
    <w:p>
      <w:pPr>
        <w:spacing w:after="0" w:line="25" w:lineRule="exact"/>
        <w:rPr>
          <w:rFonts w:ascii="Arial" w:cs="Arial" w:eastAsia="Arial" w:hAnsi="Arial"/>
          <w:sz w:val="25"/>
          <w:szCs w:val="25"/>
          <w:color w:val="auto"/>
        </w:rPr>
      </w:pPr>
    </w:p>
    <w:p>
      <w:pPr>
        <w:ind w:left="980" w:hanging="324"/>
        <w:spacing w:after="0" w:line="226" w:lineRule="auto"/>
        <w:tabs>
          <w:tab w:leader="none" w:pos="980" w:val="left"/>
        </w:tabs>
        <w:numPr>
          <w:ilvl w:val="0"/>
          <w:numId w:val="34"/>
        </w:numPr>
        <w:rPr>
          <w:rFonts w:ascii="Arial" w:cs="Arial" w:eastAsia="Arial" w:hAnsi="Arial"/>
          <w:sz w:val="25"/>
          <w:szCs w:val="25"/>
          <w:color w:val="auto"/>
        </w:rPr>
      </w:pPr>
      <w:r>
        <w:rPr>
          <w:rFonts w:ascii="Arial" w:cs="Arial" w:eastAsia="Arial" w:hAnsi="Arial"/>
          <w:sz w:val="22"/>
          <w:szCs w:val="22"/>
          <w:color w:val="auto"/>
        </w:rPr>
        <w:t>Annual performance-based cash incentive award;</w:t>
      </w:r>
    </w:p>
    <w:p>
      <w:pPr>
        <w:spacing w:after="0" w:line="26" w:lineRule="exact"/>
        <w:rPr>
          <w:rFonts w:ascii="Arial" w:cs="Arial" w:eastAsia="Arial" w:hAnsi="Arial"/>
          <w:sz w:val="25"/>
          <w:szCs w:val="25"/>
          <w:color w:val="auto"/>
        </w:rPr>
      </w:pPr>
    </w:p>
    <w:p>
      <w:pPr>
        <w:ind w:left="980" w:hanging="324"/>
        <w:spacing w:after="0" w:line="226" w:lineRule="auto"/>
        <w:tabs>
          <w:tab w:leader="none" w:pos="980" w:val="left"/>
        </w:tabs>
        <w:numPr>
          <w:ilvl w:val="0"/>
          <w:numId w:val="34"/>
        </w:numPr>
        <w:rPr>
          <w:rFonts w:ascii="Arial" w:cs="Arial" w:eastAsia="Arial" w:hAnsi="Arial"/>
          <w:sz w:val="25"/>
          <w:szCs w:val="25"/>
          <w:color w:val="auto"/>
        </w:rPr>
      </w:pPr>
      <w:r>
        <w:rPr>
          <w:rFonts w:ascii="Arial" w:cs="Arial" w:eastAsia="Arial" w:hAnsi="Arial"/>
          <w:sz w:val="22"/>
          <w:szCs w:val="22"/>
          <w:color w:val="auto"/>
        </w:rPr>
        <w:t>Executive deferred bonus award;</w:t>
      </w:r>
    </w:p>
    <w:p>
      <w:pPr>
        <w:spacing w:after="0" w:line="26" w:lineRule="exact"/>
        <w:rPr>
          <w:rFonts w:ascii="Arial" w:cs="Arial" w:eastAsia="Arial" w:hAnsi="Arial"/>
          <w:sz w:val="25"/>
          <w:szCs w:val="25"/>
          <w:color w:val="auto"/>
        </w:rPr>
      </w:pPr>
    </w:p>
    <w:p>
      <w:pPr>
        <w:ind w:left="980" w:hanging="324"/>
        <w:spacing w:after="0" w:line="226" w:lineRule="auto"/>
        <w:tabs>
          <w:tab w:leader="none" w:pos="980" w:val="left"/>
        </w:tabs>
        <w:numPr>
          <w:ilvl w:val="0"/>
          <w:numId w:val="34"/>
        </w:numPr>
        <w:rPr>
          <w:rFonts w:ascii="Arial" w:cs="Arial" w:eastAsia="Arial" w:hAnsi="Arial"/>
          <w:sz w:val="25"/>
          <w:szCs w:val="25"/>
          <w:color w:val="auto"/>
        </w:rPr>
      </w:pPr>
      <w:r>
        <w:rPr>
          <w:rFonts w:ascii="Arial" w:cs="Arial" w:eastAsia="Arial" w:hAnsi="Arial"/>
          <w:sz w:val="22"/>
          <w:szCs w:val="22"/>
          <w:color w:val="auto"/>
        </w:rPr>
        <w:t>Retirement benefits; and</w:t>
      </w:r>
    </w:p>
    <w:p>
      <w:pPr>
        <w:spacing w:after="0" w:line="26" w:lineRule="exact"/>
        <w:rPr>
          <w:rFonts w:ascii="Arial" w:cs="Arial" w:eastAsia="Arial" w:hAnsi="Arial"/>
          <w:sz w:val="25"/>
          <w:szCs w:val="25"/>
          <w:color w:val="auto"/>
        </w:rPr>
      </w:pPr>
    </w:p>
    <w:p>
      <w:pPr>
        <w:ind w:left="980" w:hanging="324"/>
        <w:spacing w:after="0" w:line="226" w:lineRule="auto"/>
        <w:tabs>
          <w:tab w:leader="none" w:pos="980" w:val="left"/>
        </w:tabs>
        <w:numPr>
          <w:ilvl w:val="0"/>
          <w:numId w:val="34"/>
        </w:numPr>
        <w:rPr>
          <w:rFonts w:ascii="Arial" w:cs="Arial" w:eastAsia="Arial" w:hAnsi="Arial"/>
          <w:sz w:val="25"/>
          <w:szCs w:val="25"/>
          <w:color w:val="auto"/>
        </w:rPr>
      </w:pPr>
      <w:r>
        <w:rPr>
          <w:rFonts w:ascii="Arial" w:cs="Arial" w:eastAsia="Arial" w:hAnsi="Arial"/>
          <w:sz w:val="22"/>
          <w:szCs w:val="22"/>
          <w:color w:val="auto"/>
        </w:rPr>
        <w:t>Health and welfare benefits and perquisites.</w:t>
      </w:r>
    </w:p>
    <w:p>
      <w:pPr>
        <w:spacing w:after="0" w:line="1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Base Salary: </w:t>
      </w:r>
      <w:r>
        <w:rPr>
          <w:rFonts w:ascii="Arial" w:cs="Arial" w:eastAsia="Arial" w:hAnsi="Arial"/>
          <w:sz w:val="22"/>
          <w:szCs w:val="22"/>
          <w:color w:val="auto"/>
        </w:rPr>
        <w:t>Prior to the beginning of each fiscal year, our human resources staff presents to our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for its review and approval, proposed merit increase guidelines and proposed shifts in the mid-points of all salary ranges and any proposed change in salary ranges for the upcoming fiscal year.</w:t>
      </w:r>
    </w:p>
    <w:p>
      <w:pPr>
        <w:spacing w:after="0" w:line="14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Our Compensation Committee determines the base salary and other compensation to be paid to our CEO for the upcoming year and reviews and approves our CEO’s goals and objectives for that year. In connection with its review and determination, our Compensation Committee considers the input of the Chairman of our Board of Directors, who conducts a detailed review of the performance of our CEO at the end of each fiscal year and presents that review to our Compensation Committee at its first regular meeting of each fiscal year. At that time, the Chairman of our Board of Directors also presents his recommendation for any change in base salary or other compensation components for our CEO and his recommendation for our CEO’s goals and objectives for the upcoming year. As discussed above, our Compensation Committee did not change our CEO’s base salary for fiscal 2015 following its annual review at its September 18, 2014 meeting but then increased our CEO’s base salary for fiscal 2015 at its March 17, 2015 meeting. For fiscal 2016, our Compensation Committee conducted its annual review of our CEO’s performance at its September 9, 2015 meeting and increased our CEO’s base salary based upon such review.</w:t>
      </w:r>
    </w:p>
    <w:p>
      <w:pPr>
        <w:spacing w:after="0" w:line="1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Our Compensation Committee determines the reasonableness of and approves the compensation of our other executive officers as recommended by our CEO. In connection with such determinations, our CEO reviews the performance of, and proposes salary increases for, all managers who reported to him or to our Chief Operating Officer (“COO”) during the fiscal year, including executive officers other than himself. Any increases are generally based upon the individual’s performance during the previous year and/or any significant change in responsibilities for the upcoming year. Our Compensation Committee reviews the reasonableness of any proposed changes in base salary and the total compensation package provided to our executive officers. In conducting its review and making its determinations, our Compensation Committee reviews a three-year history of base salary, cash incentive bonus targets and payouts, and gains on equity awards, prepared by our human resources staff. During the fiscal year, our CEO may change the base salary of the managers who report to him or our COO, including our executive officers, without prior approval of our Compensation Committee, due to significant changes in the individual’s responsibilities, to be competitive in the market or for other business reasons. Our CEO exercised this authority during fiscal 2015 as shown below.</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fiscal 2015, changes in base salary for the named executive officers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2"/>
                <w:szCs w:val="22"/>
                <w:b w:val="1"/>
                <w:bCs w:val="1"/>
                <w:color w:val="auto"/>
              </w:rPr>
              <w:t>$ of Change</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tcPr>
          <w:p>
            <w:pPr>
              <w:ind w:left="640"/>
              <w:spacing w:after="0"/>
              <w:rPr>
                <w:sz w:val="20"/>
                <w:szCs w:val="20"/>
                <w:color w:val="auto"/>
              </w:rPr>
            </w:pPr>
            <w:r>
              <w:rPr>
                <w:rFonts w:ascii="Arial" w:cs="Arial" w:eastAsia="Arial" w:hAnsi="Arial"/>
                <w:sz w:val="22"/>
                <w:szCs w:val="22"/>
                <w:b w:val="1"/>
                <w:bCs w:val="1"/>
                <w:color w:val="auto"/>
              </w:rPr>
              <w:t>% of Change</w:t>
            </w:r>
          </w:p>
        </w:tc>
      </w:tr>
      <w:tr>
        <w:trPr>
          <w:trHeight w:val="291"/>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220" w:type="dxa"/>
            <w:vAlign w:val="bottom"/>
            <w:tcBorders>
              <w:bottom w:val="single" w:sz="8" w:color="CCEEFF"/>
            </w:tcBorders>
          </w:tcPr>
          <w:p>
            <w:pPr>
              <w:spacing w:after="0"/>
              <w:rPr>
                <w:sz w:val="24"/>
                <w:szCs w:val="24"/>
                <w:color w:val="auto"/>
              </w:rPr>
            </w:pPr>
          </w:p>
        </w:tc>
        <w:tc>
          <w:tcPr>
            <w:tcW w:w="2460" w:type="dxa"/>
            <w:vAlign w:val="bottom"/>
            <w:tcBorders>
              <w:bottom w:val="single" w:sz="8" w:color="auto"/>
            </w:tcBorders>
          </w:tcPr>
          <w:p>
            <w:pPr>
              <w:jc w:val="center"/>
              <w:ind w:left="292"/>
              <w:spacing w:after="0"/>
              <w:rPr>
                <w:sz w:val="20"/>
                <w:szCs w:val="20"/>
                <w:color w:val="auto"/>
              </w:rPr>
            </w:pPr>
            <w:r>
              <w:rPr>
                <w:rFonts w:ascii="Arial" w:cs="Arial" w:eastAsia="Arial" w:hAnsi="Arial"/>
                <w:sz w:val="22"/>
                <w:szCs w:val="22"/>
                <w:b w:val="1"/>
                <w:bCs w:val="1"/>
                <w:color w:val="auto"/>
                <w:w w:val="88"/>
              </w:rPr>
              <w:t>Type of Change</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(1)</w:t>
            </w: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6"/>
              </w:rPr>
              <w:t>(2)</w:t>
            </w:r>
          </w:p>
        </w:tc>
      </w:tr>
      <w:tr>
        <w:trPr>
          <w:trHeight w:val="2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 (3)</w:t>
            </w:r>
          </w:p>
        </w:tc>
        <w:tc>
          <w:tcPr>
            <w:tcW w:w="2460" w:type="dxa"/>
            <w:vAlign w:val="bottom"/>
            <w:shd w:val="clear" w:color="auto" w:fill="CCEEFF"/>
          </w:tcPr>
          <w:p>
            <w:pPr>
              <w:jc w:val="center"/>
              <w:ind w:left="292"/>
              <w:spacing w:after="0"/>
              <w:rPr>
                <w:sz w:val="20"/>
                <w:szCs w:val="20"/>
                <w:color w:val="auto"/>
              </w:rPr>
            </w:pPr>
            <w:r>
              <w:rPr>
                <w:rFonts w:ascii="Arial" w:cs="Arial" w:eastAsia="Arial" w:hAnsi="Arial"/>
                <w:sz w:val="22"/>
                <w:szCs w:val="22"/>
                <w:color w:val="auto"/>
                <w:w w:val="90"/>
              </w:rPr>
              <w:t>Merit Increase</w:t>
            </w:r>
          </w:p>
        </w:tc>
        <w:tc>
          <w:tcPr>
            <w:tcW w:w="2440" w:type="dxa"/>
            <w:vAlign w:val="bottom"/>
            <w:gridSpan w:val="3"/>
            <w:shd w:val="clear" w:color="auto" w:fill="CCEEFF"/>
          </w:tcPr>
          <w:p>
            <w:pPr>
              <w:jc w:val="right"/>
              <w:ind w:right="1572"/>
              <w:spacing w:after="0"/>
              <w:rPr>
                <w:sz w:val="20"/>
                <w:szCs w:val="20"/>
                <w:color w:val="auto"/>
              </w:rPr>
            </w:pPr>
            <w:r>
              <w:rPr>
                <w:rFonts w:ascii="Arial" w:cs="Arial" w:eastAsia="Arial" w:hAnsi="Arial"/>
                <w:sz w:val="22"/>
                <w:szCs w:val="2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6"/>
              </w:rPr>
              <w:t>27,750</w:t>
            </w:r>
          </w:p>
        </w:tc>
        <w:tc>
          <w:tcPr>
            <w:tcW w:w="220" w:type="dxa"/>
            <w:vAlign w:val="bottom"/>
            <w:shd w:val="clear" w:color="auto" w:fill="CCEEFF"/>
          </w:tcPr>
          <w:p>
            <w:pPr>
              <w:spacing w:after="0"/>
              <w:rPr>
                <w:sz w:val="24"/>
                <w:szCs w:val="24"/>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6"/>
              </w:rPr>
              <w:t>5.05%</w:t>
            </w:r>
          </w:p>
        </w:tc>
      </w:tr>
      <w:tr>
        <w:trPr>
          <w:trHeight w:val="289"/>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2460" w:type="dxa"/>
            <w:vAlign w:val="bottom"/>
          </w:tcPr>
          <w:p>
            <w:pPr>
              <w:jc w:val="center"/>
              <w:ind w:left="292"/>
              <w:spacing w:after="0"/>
              <w:rPr>
                <w:sz w:val="20"/>
                <w:szCs w:val="20"/>
                <w:color w:val="auto"/>
              </w:rPr>
            </w:pPr>
            <w:r>
              <w:rPr>
                <w:rFonts w:ascii="Arial" w:cs="Arial" w:eastAsia="Arial" w:hAnsi="Arial"/>
                <w:sz w:val="22"/>
                <w:szCs w:val="22"/>
                <w:color w:val="auto"/>
                <w:w w:val="90"/>
              </w:rPr>
              <w:t>Merit Increase</w:t>
            </w:r>
          </w:p>
        </w:tc>
        <w:tc>
          <w:tcPr>
            <w:tcW w:w="2440" w:type="dxa"/>
            <w:vAlign w:val="bottom"/>
            <w:gridSpan w:val="3"/>
          </w:tcPr>
          <w:p>
            <w:pPr>
              <w:jc w:val="right"/>
              <w:ind w:right="1572"/>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5,000</w:t>
            </w:r>
          </w:p>
        </w:tc>
        <w:tc>
          <w:tcPr>
            <w:tcW w:w="2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2"/>
                <w:szCs w:val="22"/>
                <w:color w:val="auto"/>
                <w:w w:val="86"/>
              </w:rPr>
              <w:t>2.22%</w:t>
            </w:r>
          </w:p>
        </w:tc>
      </w:tr>
      <w:tr>
        <w:trPr>
          <w:trHeight w:val="30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Douglas A. Graham</w:t>
            </w:r>
          </w:p>
        </w:tc>
        <w:tc>
          <w:tcPr>
            <w:tcW w:w="2460" w:type="dxa"/>
            <w:vAlign w:val="bottom"/>
            <w:shd w:val="clear" w:color="auto" w:fill="CCEEFF"/>
          </w:tcPr>
          <w:p>
            <w:pPr>
              <w:jc w:val="center"/>
              <w:ind w:left="292"/>
              <w:spacing w:after="0"/>
              <w:rPr>
                <w:sz w:val="20"/>
                <w:szCs w:val="20"/>
                <w:color w:val="auto"/>
              </w:rPr>
            </w:pPr>
            <w:r>
              <w:rPr>
                <w:rFonts w:ascii="Arial" w:cs="Arial" w:eastAsia="Arial" w:hAnsi="Arial"/>
                <w:sz w:val="22"/>
                <w:szCs w:val="22"/>
                <w:color w:val="auto"/>
                <w:w w:val="91"/>
              </w:rPr>
              <w:t>Merit/Market Increase</w:t>
            </w:r>
          </w:p>
        </w:tc>
        <w:tc>
          <w:tcPr>
            <w:tcW w:w="2440" w:type="dxa"/>
            <w:vAlign w:val="bottom"/>
            <w:gridSpan w:val="3"/>
            <w:shd w:val="clear" w:color="auto" w:fill="CCEEFF"/>
          </w:tcPr>
          <w:p>
            <w:pPr>
              <w:jc w:val="right"/>
              <w:ind w:right="1572"/>
              <w:spacing w:after="0"/>
              <w:rPr>
                <w:sz w:val="20"/>
                <w:szCs w:val="20"/>
                <w:color w:val="auto"/>
              </w:rPr>
            </w:pPr>
            <w:r>
              <w:rPr>
                <w:rFonts w:ascii="Arial" w:cs="Arial" w:eastAsia="Arial" w:hAnsi="Arial"/>
                <w:sz w:val="22"/>
                <w:szCs w:val="2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6"/>
              </w:rPr>
              <w:t>30,000</w:t>
            </w:r>
          </w:p>
        </w:tc>
        <w:tc>
          <w:tcPr>
            <w:tcW w:w="220" w:type="dxa"/>
            <w:vAlign w:val="bottom"/>
            <w:shd w:val="clear" w:color="auto" w:fill="CCEEFF"/>
          </w:tcPr>
          <w:p>
            <w:pPr>
              <w:spacing w:after="0"/>
              <w:rPr>
                <w:sz w:val="24"/>
                <w:szCs w:val="24"/>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8"/>
              </w:rPr>
              <w:t>14.29%</w:t>
            </w:r>
          </w:p>
        </w:tc>
      </w:tr>
      <w:tr>
        <w:trPr>
          <w:trHeight w:val="280"/>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Mark E. Lewry</w:t>
            </w:r>
          </w:p>
        </w:tc>
        <w:tc>
          <w:tcPr>
            <w:tcW w:w="2460" w:type="dxa"/>
            <w:vAlign w:val="bottom"/>
          </w:tcPr>
          <w:p>
            <w:pPr>
              <w:jc w:val="center"/>
              <w:ind w:left="292"/>
              <w:spacing w:after="0"/>
              <w:rPr>
                <w:sz w:val="20"/>
                <w:szCs w:val="20"/>
                <w:color w:val="auto"/>
              </w:rPr>
            </w:pPr>
            <w:r>
              <w:rPr>
                <w:rFonts w:ascii="Arial" w:cs="Arial" w:eastAsia="Arial" w:hAnsi="Arial"/>
                <w:sz w:val="22"/>
                <w:szCs w:val="22"/>
                <w:color w:val="auto"/>
                <w:w w:val="89"/>
              </w:rPr>
              <w:t>Promotion</w:t>
            </w:r>
          </w:p>
        </w:tc>
        <w:tc>
          <w:tcPr>
            <w:tcW w:w="2440" w:type="dxa"/>
            <w:vAlign w:val="bottom"/>
            <w:gridSpan w:val="3"/>
          </w:tcPr>
          <w:p>
            <w:pPr>
              <w:jc w:val="right"/>
              <w:ind w:right="1572"/>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w w:val="86"/>
              </w:rPr>
              <w:t>50,000</w:t>
            </w:r>
          </w:p>
        </w:tc>
        <w:tc>
          <w:tcPr>
            <w:tcW w:w="2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2"/>
                <w:szCs w:val="22"/>
                <w:color w:val="auto"/>
                <w:w w:val="88"/>
              </w:rPr>
              <w:t>16.67%</w:t>
            </w:r>
          </w:p>
        </w:tc>
      </w:tr>
      <w:tr>
        <w:trPr>
          <w:trHeight w:val="476"/>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 w:type="dxa"/>
            <w:vAlign w:val="bottom"/>
          </w:tcPr>
          <w:p>
            <w:pPr>
              <w:jc w:val="right"/>
              <w:ind w:right="56"/>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780" w:right="239" w:bottom="1440" w:gutter="0" w:footer="0" w:header="0"/>
        </w:sectPr>
      </w:pPr>
    </w:p>
    <w:bookmarkStart w:id="39" w:name="page40"/>
    <w:bookmarkEnd w:id="39"/>
    <w:p>
      <w:pPr>
        <w:jc w:val="both"/>
        <w:ind w:firstLine="8"/>
        <w:spacing w:after="0" w:line="253" w:lineRule="auto"/>
        <w:tabs>
          <w:tab w:leader="none" w:pos="501"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 of Change” is the difference in dollars between the base salary in effect at July 31, 2014 (the end of fiscal 2014) and the base salary in effect at the end of fiscal 2015. Not all of the salary adjustments were effective at the beginning of fiscal 2015; some were effective later in the fiscal year.</w:t>
      </w:r>
    </w:p>
    <w:p>
      <w:pPr>
        <w:spacing w:after="0" w:line="145" w:lineRule="exact"/>
        <w:rPr>
          <w:rFonts w:ascii="Arial" w:cs="Arial" w:eastAsia="Arial" w:hAnsi="Arial"/>
          <w:sz w:val="22"/>
          <w:szCs w:val="22"/>
          <w:color w:val="auto"/>
        </w:rPr>
      </w:pPr>
    </w:p>
    <w:p>
      <w:pPr>
        <w:ind w:left="480" w:hanging="472"/>
        <w:spacing w:after="0"/>
        <w:tabs>
          <w:tab w:leader="none" w:pos="4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 of Change” is the dollar change as a percent of base salary in effect at the end of fiscal 2014.</w:t>
      </w:r>
    </w:p>
    <w:p>
      <w:pPr>
        <w:spacing w:after="0" w:line="179" w:lineRule="exact"/>
        <w:rPr>
          <w:rFonts w:ascii="Arial" w:cs="Arial" w:eastAsia="Arial" w:hAnsi="Arial"/>
          <w:sz w:val="22"/>
          <w:szCs w:val="22"/>
          <w:color w:val="auto"/>
        </w:rPr>
      </w:pPr>
    </w:p>
    <w:p>
      <w:pPr>
        <w:ind w:left="460" w:hanging="452"/>
        <w:spacing w:after="0"/>
        <w:tabs>
          <w:tab w:leader="none" w:pos="4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As noted above, our Compensation Committee determines the base salary and other compensation to be paid to our CEO.</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Annual Incentive Plan: </w:t>
      </w:r>
      <w:r>
        <w:rPr>
          <w:rFonts w:ascii="Arial" w:cs="Arial" w:eastAsia="Arial" w:hAnsi="Arial"/>
          <w:sz w:val="21"/>
          <w:szCs w:val="21"/>
          <w:color w:val="auto"/>
        </w:rPr>
        <w:t>Our annual incentive plan provides for a target bonus equal to a percentage of each eligible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annual base salary. This percentage is generally determined by salary grade, which reflects the level of responsibility and expected contribution of the employee’s position to our financial results. For employees in the higher salary grades (including our executive officers), a larger proportion of their compensation takes the form of at-risk incentive compensation than is the case for employees in the lower salary grades. For some of these employees, there is also an opportunity to earn an executive deferred bonus award, as described further below. As part of its annual review of executive compensation, our Compensation Committee sets the bonus opportunity as a percent of base salary for our CEO and determines the reasonableness of the bonus opportunity proposed by our CEO for our other executive officers.</w:t>
      </w:r>
    </w:p>
    <w:p>
      <w:pPr>
        <w:spacing w:after="0" w:line="1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i w:val="1"/>
          <w:iCs w:val="1"/>
          <w:color w:val="auto"/>
        </w:rPr>
        <w:t xml:space="preserve">Performance-Based Cash Incentive Award: </w:t>
      </w:r>
      <w:r>
        <w:rPr>
          <w:rFonts w:ascii="Arial" w:cs="Arial" w:eastAsia="Arial" w:hAnsi="Arial"/>
          <w:sz w:val="19"/>
          <w:szCs w:val="19"/>
          <w:color w:val="auto"/>
        </w:rPr>
        <w:t>Our annual incentive plan provides for the possibility of awards based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corporate financial performance. This measure serves to unite all salaried employees to work together to improve the Company’s performance. Generally, if we meet our corporate financial performance target, full target bonus is paid to each eligible exempt employee. If we fail to meet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applicable levels. In addition, our annual incentive plan gives our CEO the discretion to adjust the performance measures, targets and payout ranges used for incentive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As described above, our CEO used such discretionary authority for fiscal 2015 to set cash incentive awards paid to exempt employees (other than the CEO) at 70% of target bonus. Similarly, at its September 9, 2015 meeting, our Compensation Committee set the cash incentive award paid to our CEO at 70% of target bonus.</w:t>
      </w:r>
    </w:p>
    <w:p>
      <w:pPr>
        <w:spacing w:after="0" w:line="12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i w:val="1"/>
          <w:iCs w:val="1"/>
          <w:color w:val="auto"/>
        </w:rPr>
        <w:t xml:space="preserve">Executive Deferred Bonus Award: </w:t>
      </w:r>
      <w:r>
        <w:rPr>
          <w:rFonts w:ascii="Arial" w:cs="Arial" w:eastAsia="Arial" w:hAnsi="Arial"/>
          <w:sz w:val="19"/>
          <w:szCs w:val="19"/>
          <w:color w:val="auto"/>
        </w:rPr>
        <w:t>Our annual incentive plan also provides the opportunity for our senior managers,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our executive officers, to earn an executive deferred bonus award. This award is designed to reward and retain talented executives. Payment of executive deferred bonus awards is deferred until the vesting date established for each fiscal year’s award. The annual incentive plan also provides for payout of executive deferred bonus awards upon death, retirement, disability or a change in control of the Company. We have established bookkeeping accounts for all executive deferred bonus awards, which earn interest at a rate equal to our long-term cost of borrowing plus 1%. At the request of our CEO, he was not eligible for an executive deferred bonus award for fiscal 2015. All of our other executive officers were eligible. Executive deferred bonus awards, which were not awarded for fiscal 2015 performance, would have been deferred and paid in full at the end of three years (July 31, 2018), provided the executive is still employed by us at that time. Our annual incentive plan gives our CEO the discretion to adjust the performance measures, targets and payout ranges used for executive deferred bonus purposes if our CEO determines such change is desirable in the interest of equitable treatment of our employees and the Company as a result of, among</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55" w:right="239" w:bottom="1440" w:gutter="0" w:footer="0" w:header="0"/>
        </w:sectPr>
      </w:pPr>
    </w:p>
    <w:bookmarkStart w:id="40" w:name="page41"/>
    <w:bookmarkEnd w:id="40"/>
    <w:p>
      <w:pPr>
        <w:jc w:val="both"/>
        <w:spacing w:after="0" w:line="312" w:lineRule="auto"/>
        <w:rPr>
          <w:sz w:val="20"/>
          <w:szCs w:val="20"/>
          <w:color w:val="auto"/>
        </w:rPr>
      </w:pPr>
      <w:r>
        <w:rPr>
          <w:rFonts w:ascii="Arial" w:cs="Arial" w:eastAsia="Arial" w:hAnsi="Arial"/>
          <w:sz w:val="19"/>
          <w:szCs w:val="19"/>
          <w:color w:val="auto"/>
        </w:rPr>
        <w:t>other things, extraordinary or nonrecurring events, a corporate reorganization or any other change in circumstances or event; provided, however, that in no event may any employee receive a bonus greater than 200% of target under the plan. Our adjusted, pre-tax, pre-bonus income for fiscal 2015 resulted in no executive deferred bonus awards to our executive officers.</w:t>
      </w:r>
    </w:p>
    <w:p>
      <w:pPr>
        <w:spacing w:after="0" w:line="9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i w:val="1"/>
          <w:iCs w:val="1"/>
          <w:color w:val="auto"/>
        </w:rPr>
        <w:t xml:space="preserve">Operation of the Annual Incentive Plan: </w:t>
      </w:r>
      <w:r>
        <w:rPr>
          <w:rFonts w:ascii="Arial" w:cs="Arial" w:eastAsia="Arial" w:hAnsi="Arial"/>
          <w:sz w:val="22"/>
          <w:szCs w:val="22"/>
          <w:color w:val="auto"/>
        </w:rPr>
        <w:t>At the beginning of each fiscal year, our CEO presents to our Compensation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Committee his proposal for the performance measures that will determine the calculation of the performance-based cash incentive award for that year, along with specific performance targets and payout ranges. Our Vice President of Human Resources and Vice President of Compensation and Benefits may each participate in this presentation as well. Our Compensation Committee reviews these performance measures, targets and payout ranges and determines their reasonableness as they relate to the total compensation of our executive officers.</w:t>
      </w:r>
    </w:p>
    <w:p>
      <w:pPr>
        <w:spacing w:after="0" w:line="15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For fiscal 2015, the performance measure under the annual incentive plan was our adjusted pre-tax, pre-bonus income as compared with pre-tax, pre-bonus income specified in our fiscal 2015 annual incentive plan. Our adjusted pre-tax, pre-bonus income for fiscal 2015 was determined by adjusting pre-tax income as shown in our fiscal 2015 audited consolidated financial statements as follows: (i) adding the total amount of annual incentive plan awards, both cash and executive deferred, awarded for fiscal 2015; and (ii) subtracting the amortization for prior years’ executive deferred bonus awards. As a result of these adjustments, the financial performance measure under the annual incentive plan takes into consideration the full amount of any executive deferred bonus in the fiscal year for which it is awarded, rather than amortizing that bonus over its vesting period.</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Under that performance measure and after the effect of the adjustments described above, exempt employees, including our executive officers, would earn bonuses as shown below:</w:t>
      </w:r>
    </w:p>
    <w:p>
      <w:pPr>
        <w:spacing w:after="0" w:line="273" w:lineRule="exact"/>
        <w:rPr>
          <w:sz w:val="20"/>
          <w:szCs w:val="20"/>
          <w:color w:val="auto"/>
        </w:rPr>
      </w:pPr>
    </w:p>
    <w:tbl>
      <w:tblPr>
        <w:tblLayout w:type="fixed"/>
        <w:tblInd w:w="1920" w:type="dxa"/>
        <w:tblCellMar>
          <w:top w:w="0" w:type="dxa"/>
          <w:left w:w="0" w:type="dxa"/>
          <w:bottom w:w="0" w:type="dxa"/>
          <w:right w:w="0" w:type="dxa"/>
        </w:tblCellMar>
      </w:tblPr>
      <w:tr>
        <w:trPr>
          <w:trHeight w:val="253"/>
        </w:trPr>
        <w:tc>
          <w:tcPr>
            <w:tcW w:w="3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gridSpan w:val="2"/>
          </w:tcPr>
          <w:p>
            <w:pPr>
              <w:jc w:val="center"/>
              <w:ind w:right="440"/>
              <w:spacing w:after="0"/>
              <w:rPr>
                <w:sz w:val="20"/>
                <w:szCs w:val="20"/>
                <w:color w:val="auto"/>
              </w:rPr>
            </w:pPr>
            <w:r>
              <w:rPr>
                <w:rFonts w:ascii="Arial" w:cs="Arial" w:eastAsia="Arial" w:hAnsi="Arial"/>
                <w:sz w:val="22"/>
                <w:szCs w:val="22"/>
                <w:color w:val="auto"/>
                <w:w w:val="89"/>
              </w:rPr>
              <w:t>Adjusted Pre-Tax</w:t>
            </w:r>
          </w:p>
        </w:tc>
        <w:tc>
          <w:tcPr>
            <w:tcW w:w="2000" w:type="dxa"/>
            <w:vAlign w:val="bottom"/>
          </w:tcPr>
          <w:p>
            <w:pPr>
              <w:jc w:val="right"/>
              <w:ind w:right="392"/>
              <w:spacing w:after="0"/>
              <w:rPr>
                <w:sz w:val="20"/>
                <w:szCs w:val="20"/>
                <w:color w:val="auto"/>
              </w:rPr>
            </w:pPr>
            <w:r>
              <w:rPr>
                <w:rFonts w:ascii="Arial" w:cs="Arial" w:eastAsia="Arial" w:hAnsi="Arial"/>
                <w:sz w:val="22"/>
                <w:szCs w:val="22"/>
                <w:color w:val="auto"/>
              </w:rPr>
              <w:t>% of Target</w:t>
            </w:r>
          </w:p>
        </w:tc>
      </w:tr>
      <w:tr>
        <w:trPr>
          <w:trHeight w:val="285"/>
        </w:trPr>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2"/>
          </w:tcPr>
          <w:p>
            <w:pPr>
              <w:jc w:val="center"/>
              <w:ind w:right="440"/>
              <w:spacing w:after="0"/>
              <w:rPr>
                <w:sz w:val="20"/>
                <w:szCs w:val="20"/>
                <w:color w:val="auto"/>
              </w:rPr>
            </w:pPr>
            <w:r>
              <w:rPr>
                <w:rFonts w:ascii="Arial" w:cs="Arial" w:eastAsia="Arial" w:hAnsi="Arial"/>
                <w:sz w:val="22"/>
                <w:szCs w:val="22"/>
                <w:color w:val="auto"/>
                <w:w w:val="87"/>
              </w:rPr>
              <w:t>Pre-Bonus Income</w:t>
            </w:r>
          </w:p>
        </w:tc>
        <w:tc>
          <w:tcPr>
            <w:tcW w:w="2000" w:type="dxa"/>
            <w:vAlign w:val="bottom"/>
          </w:tcPr>
          <w:p>
            <w:pPr>
              <w:jc w:val="right"/>
              <w:ind w:right="292"/>
              <w:spacing w:after="0"/>
              <w:rPr>
                <w:sz w:val="20"/>
                <w:szCs w:val="20"/>
                <w:color w:val="auto"/>
              </w:rPr>
            </w:pPr>
            <w:r>
              <w:rPr>
                <w:rFonts w:ascii="Arial" w:cs="Arial" w:eastAsia="Arial" w:hAnsi="Arial"/>
                <w:sz w:val="22"/>
                <w:szCs w:val="22"/>
                <w:color w:val="auto"/>
              </w:rPr>
              <w:t>Bonus Earned</w:t>
            </w:r>
          </w:p>
        </w:tc>
      </w:tr>
      <w:tr>
        <w:trPr>
          <w:trHeight w:val="297"/>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Threshold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14,840,000</w:t>
            </w:r>
          </w:p>
        </w:tc>
        <w:tc>
          <w:tcPr>
            <w:tcW w:w="220" w:type="dxa"/>
            <w:vAlign w:val="bottom"/>
            <w:tcBorders>
              <w:top w:val="single" w:sz="8" w:color="CCEEFF"/>
            </w:tcBorders>
            <w:shd w:val="clear" w:color="auto" w:fill="CCEEFF"/>
          </w:tcPr>
          <w:p>
            <w:pPr>
              <w:spacing w:after="0"/>
              <w:rPr>
                <w:sz w:val="24"/>
                <w:szCs w:val="24"/>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25%</w:t>
            </w:r>
          </w:p>
        </w:tc>
      </w:tr>
      <w:tr>
        <w:trPr>
          <w:trHeight w:val="289"/>
        </w:trPr>
        <w:tc>
          <w:tcPr>
            <w:tcW w:w="3160" w:type="dxa"/>
            <w:vAlign w:val="bottom"/>
          </w:tcPr>
          <w:p>
            <w:pPr>
              <w:ind w:left="20"/>
              <w:spacing w:after="0"/>
              <w:rPr>
                <w:sz w:val="20"/>
                <w:szCs w:val="20"/>
                <w:color w:val="auto"/>
              </w:rPr>
            </w:pPr>
            <w:r>
              <w:rPr>
                <w:rFonts w:ascii="Arial" w:cs="Arial" w:eastAsia="Arial" w:hAnsi="Arial"/>
                <w:sz w:val="22"/>
                <w:szCs w:val="22"/>
                <w:color w:val="auto"/>
              </w:rPr>
              <w:t>Target</w:t>
            </w: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020" w:type="dxa"/>
            <w:vAlign w:val="bottom"/>
          </w:tcPr>
          <w:p>
            <w:pPr>
              <w:jc w:val="right"/>
              <w:spacing w:after="0"/>
              <w:rPr>
                <w:sz w:val="20"/>
                <w:szCs w:val="20"/>
                <w:color w:val="auto"/>
              </w:rPr>
            </w:pPr>
            <w:r>
              <w:rPr>
                <w:rFonts w:ascii="Arial" w:cs="Arial" w:eastAsia="Arial" w:hAnsi="Arial"/>
                <w:sz w:val="22"/>
                <w:szCs w:val="22"/>
                <w:color w:val="auto"/>
              </w:rPr>
              <w:t>20,555,000</w:t>
            </w:r>
          </w:p>
        </w:tc>
        <w:tc>
          <w:tcPr>
            <w:tcW w:w="2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306"/>
        </w:trPr>
        <w:tc>
          <w:tcPr>
            <w:tcW w:w="3160" w:type="dxa"/>
            <w:vAlign w:val="bottom"/>
            <w:shd w:val="clear" w:color="auto" w:fill="CCEEFF"/>
          </w:tcPr>
          <w:p>
            <w:pPr>
              <w:ind w:left="20"/>
              <w:spacing w:after="0"/>
              <w:rPr>
                <w:sz w:val="20"/>
                <w:szCs w:val="20"/>
                <w:color w:val="auto"/>
              </w:rPr>
            </w:pPr>
            <w:r>
              <w:rPr>
                <w:rFonts w:ascii="Arial" w:cs="Arial" w:eastAsia="Arial" w:hAnsi="Arial"/>
                <w:sz w:val="22"/>
                <w:szCs w:val="22"/>
                <w:color w:val="auto"/>
              </w:rPr>
              <w:t>Maximum</w:t>
            </w: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27,761,000</w:t>
            </w:r>
          </w:p>
        </w:tc>
        <w:tc>
          <w:tcPr>
            <w:tcW w:w="22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200%</w:t>
            </w:r>
          </w:p>
        </w:tc>
      </w:tr>
    </w:tbl>
    <w:p>
      <w:pPr>
        <w:spacing w:after="0" w:line="34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Additional targets were also specified. If performance fell between two of the specified targets, the target bonus payment percentage would be prorated. No executive deferred bonus was to be awarded unless 95% of target bonus was earned. Non-exempt employees would earn 100% of target bonus if payout were made at any of the levels listed above.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bonus opportunity for fiscal 2015 as a percent of base salary for the named executive officers is shown in the following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8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00" w:type="dxa"/>
            <w:vAlign w:val="bottom"/>
            <w:gridSpan w:val="6"/>
          </w:tcPr>
          <w:p>
            <w:pPr>
              <w:ind w:left="280"/>
              <w:spacing w:after="0"/>
              <w:rPr>
                <w:sz w:val="20"/>
                <w:szCs w:val="20"/>
                <w:color w:val="auto"/>
              </w:rPr>
            </w:pPr>
            <w:r>
              <w:rPr>
                <w:rFonts w:ascii="Arial" w:cs="Arial" w:eastAsia="Arial" w:hAnsi="Arial"/>
                <w:sz w:val="18"/>
                <w:szCs w:val="18"/>
                <w:b w:val="1"/>
                <w:bCs w:val="1"/>
                <w:color w:val="auto"/>
                <w:w w:val="96"/>
              </w:rPr>
              <w:t>Bonus Opportunity as a % of Base Salary</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Threshold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Target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90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182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Cash</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Only</w:t>
            </w:r>
          </w:p>
        </w:tc>
        <w:tc>
          <w:tcPr>
            <w:tcW w:w="100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Deferred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8"/>
        </w:trPr>
        <w:tc>
          <w:tcPr>
            <w:tcW w:w="182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Cash</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Cash</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Defer</w:t>
            </w:r>
          </w:p>
        </w:tc>
        <w:tc>
          <w:tcPr>
            <w:tcW w:w="80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Cash</w:t>
            </w:r>
          </w:p>
        </w:tc>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Defer</w:t>
            </w:r>
          </w:p>
        </w:tc>
        <w:tc>
          <w:tcPr>
            <w:tcW w:w="9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Cash</w:t>
            </w: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Defer</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34"/>
        </w:trPr>
        <w:tc>
          <w:tcPr>
            <w:tcW w:w="182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Bonus</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Bonus</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Bonus</w:t>
            </w:r>
          </w:p>
        </w:tc>
        <w:tc>
          <w:tcPr>
            <w:tcW w:w="800" w:type="dxa"/>
            <w:vAlign w:val="bottom"/>
          </w:tcPr>
          <w:p>
            <w:pPr>
              <w:ind w:left="160"/>
              <w:spacing w:after="0"/>
              <w:rPr>
                <w:sz w:val="20"/>
                <w:szCs w:val="20"/>
                <w:color w:val="auto"/>
              </w:rPr>
            </w:pPr>
            <w:r>
              <w:rPr>
                <w:rFonts w:ascii="Arial" w:cs="Arial" w:eastAsia="Arial" w:hAnsi="Arial"/>
                <w:sz w:val="18"/>
                <w:szCs w:val="18"/>
                <w:b w:val="1"/>
                <w:bCs w:val="1"/>
                <w:color w:val="auto"/>
              </w:rPr>
              <w:t>Bonus</w:t>
            </w:r>
          </w:p>
        </w:tc>
        <w:tc>
          <w:tcPr>
            <w:tcW w:w="12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Bonus</w:t>
            </w: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Bonus</w:t>
            </w:r>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color w:val="auto"/>
              </w:rPr>
              <w:t>Bonus</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Bonus</w:t>
            </w: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Bonus</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Bonus</w:t>
            </w:r>
          </w:p>
        </w:tc>
      </w:tr>
      <w:tr>
        <w:trPr>
          <w:trHeight w:val="27"/>
        </w:trPr>
        <w:tc>
          <w:tcPr>
            <w:tcW w:w="1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Daniel S. Jaffee (3)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N/A</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1"/>
              </w:rPr>
              <w:t>37.50%</w:t>
            </w:r>
          </w:p>
        </w:tc>
        <w:tc>
          <w:tcPr>
            <w:tcW w:w="1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50.00%</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4"/>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Daniel T. Smith</w:t>
            </w:r>
          </w:p>
        </w:tc>
        <w:tc>
          <w:tcPr>
            <w:tcW w:w="8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26.25%</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15.00%</w:t>
            </w:r>
          </w:p>
        </w:tc>
        <w:tc>
          <w:tcPr>
            <w:tcW w:w="800" w:type="dxa"/>
            <w:vAlign w:val="bottom"/>
          </w:tcPr>
          <w:p>
            <w:pPr>
              <w:ind w:left="220"/>
              <w:spacing w:after="0"/>
              <w:rPr>
                <w:sz w:val="20"/>
                <w:szCs w:val="20"/>
                <w:color w:val="auto"/>
              </w:rPr>
            </w:pPr>
            <w:r>
              <w:rPr>
                <w:rFonts w:ascii="Arial" w:cs="Arial" w:eastAsia="Arial" w:hAnsi="Arial"/>
                <w:sz w:val="18"/>
                <w:szCs w:val="18"/>
                <w:color w:val="auto"/>
                <w:w w:val="91"/>
              </w:rPr>
              <w:t>41.25%</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35.00%</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20.00%</w:t>
            </w:r>
          </w:p>
        </w:tc>
        <w:tc>
          <w:tcPr>
            <w:tcW w:w="820" w:type="dxa"/>
            <w:vAlign w:val="bottom"/>
          </w:tcPr>
          <w:p>
            <w:pPr>
              <w:ind w:left="220"/>
              <w:spacing w:after="0"/>
              <w:rPr>
                <w:sz w:val="20"/>
                <w:szCs w:val="20"/>
                <w:color w:val="auto"/>
              </w:rPr>
            </w:pPr>
            <w:r>
              <w:rPr>
                <w:rFonts w:ascii="Arial" w:cs="Arial" w:eastAsia="Arial" w:hAnsi="Arial"/>
                <w:sz w:val="18"/>
                <w:szCs w:val="18"/>
                <w:color w:val="auto"/>
                <w:w w:val="94"/>
              </w:rPr>
              <w:t>55.00%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40.00%</w:t>
            </w:r>
          </w:p>
        </w:tc>
        <w:tc>
          <w:tcPr>
            <w:tcW w:w="90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7"/>
        </w:trPr>
        <w:tc>
          <w:tcPr>
            <w:tcW w:w="1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F. Cofsky</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1"/>
              </w:rPr>
              <w:t>45.00%</w:t>
            </w:r>
          </w:p>
        </w:tc>
        <w:tc>
          <w:tcPr>
            <w:tcW w:w="1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40.00%</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4"/>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Douglas A. Graham</w:t>
            </w:r>
          </w:p>
        </w:tc>
        <w:tc>
          <w:tcPr>
            <w:tcW w:w="8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26.25%</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9.00%</w:t>
            </w:r>
          </w:p>
        </w:tc>
        <w:tc>
          <w:tcPr>
            <w:tcW w:w="800" w:type="dxa"/>
            <w:vAlign w:val="bottom"/>
          </w:tcPr>
          <w:p>
            <w:pPr>
              <w:ind w:left="220"/>
              <w:spacing w:after="0"/>
              <w:rPr>
                <w:sz w:val="20"/>
                <w:szCs w:val="20"/>
                <w:color w:val="auto"/>
              </w:rPr>
            </w:pPr>
            <w:r>
              <w:rPr>
                <w:rFonts w:ascii="Arial" w:cs="Arial" w:eastAsia="Arial" w:hAnsi="Arial"/>
                <w:sz w:val="18"/>
                <w:szCs w:val="18"/>
                <w:color w:val="auto"/>
                <w:w w:val="91"/>
              </w:rPr>
              <w:t>35.25%</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35.00%</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12.00%</w:t>
            </w:r>
          </w:p>
        </w:tc>
        <w:tc>
          <w:tcPr>
            <w:tcW w:w="820" w:type="dxa"/>
            <w:vAlign w:val="bottom"/>
          </w:tcPr>
          <w:p>
            <w:pPr>
              <w:ind w:left="220"/>
              <w:spacing w:after="0"/>
              <w:rPr>
                <w:sz w:val="20"/>
                <w:szCs w:val="20"/>
                <w:color w:val="auto"/>
              </w:rPr>
            </w:pPr>
            <w:r>
              <w:rPr>
                <w:rFonts w:ascii="Arial" w:cs="Arial" w:eastAsia="Arial" w:hAnsi="Arial"/>
                <w:sz w:val="18"/>
                <w:szCs w:val="18"/>
                <w:color w:val="auto"/>
                <w:w w:val="94"/>
              </w:rPr>
              <w:t>47.00%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24.00%</w:t>
            </w:r>
          </w:p>
        </w:tc>
        <w:tc>
          <w:tcPr>
            <w:tcW w:w="900" w:type="dxa"/>
            <w:vAlign w:val="bottom"/>
          </w:tcPr>
          <w:p>
            <w:pPr>
              <w:jc w:val="right"/>
              <w:spacing w:after="0"/>
              <w:rPr>
                <w:sz w:val="20"/>
                <w:szCs w:val="20"/>
                <w:color w:val="auto"/>
              </w:rPr>
            </w:pPr>
            <w:r>
              <w:rPr>
                <w:rFonts w:ascii="Arial" w:cs="Arial" w:eastAsia="Arial" w:hAnsi="Arial"/>
                <w:sz w:val="18"/>
                <w:szCs w:val="18"/>
                <w:color w:val="auto"/>
              </w:rPr>
              <w:t>94.00%</w:t>
            </w:r>
          </w:p>
        </w:tc>
      </w:tr>
      <w:tr>
        <w:trPr>
          <w:trHeight w:val="27"/>
        </w:trPr>
        <w:tc>
          <w:tcPr>
            <w:tcW w:w="1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1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 E. Lewry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45.00%</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40.00%</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60.00%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7"/>
        </w:trPr>
        <w:tc>
          <w:tcPr>
            <w:tcW w:w="18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68" w:lineRule="exact"/>
        <w:rPr>
          <w:sz w:val="20"/>
          <w:szCs w:val="20"/>
          <w:color w:val="auto"/>
        </w:rPr>
      </w:pPr>
    </w:p>
    <w:p>
      <w:pPr>
        <w:jc w:val="both"/>
        <w:ind w:firstLine="8"/>
        <w:spacing w:after="0" w:line="253" w:lineRule="auto"/>
        <w:tabs>
          <w:tab w:leader="none" w:pos="481"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threshold for payment of a cash bonus was adjusted pre-tax, pre-bonus income corresponding to the achievement of 84% of our fiscal 2015 annual incentive plan. That achievement level would result in payment of 25% of target cash bonus. No executive deferred bonus would be awarded at that level of performance.</w:t>
      </w:r>
    </w:p>
    <w:p>
      <w:pPr>
        <w:spacing w:after="0" w:line="50" w:lineRule="exact"/>
        <w:rPr>
          <w:rFonts w:ascii="Arial" w:cs="Arial" w:eastAsia="Arial" w:hAnsi="Arial"/>
          <w:sz w:val="22"/>
          <w:szCs w:val="22"/>
          <w:color w:val="auto"/>
        </w:rPr>
      </w:pPr>
    </w:p>
    <w:p>
      <w:pPr>
        <w:jc w:val="both"/>
        <w:ind w:firstLine="8"/>
        <w:spacing w:after="0" w:line="253" w:lineRule="auto"/>
        <w:tabs>
          <w:tab w:leader="none" w:pos="487"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threshold for earning of an executive deferred bonus award was adjusted pre-tax, pre-bonus income corresponding to the achievement of 95% of our fiscal 2015 annual incentive plan. That achievement level would result in an award of 75% of target bonus for both cash and executive deferred bonuses.</w:t>
      </w:r>
    </w:p>
    <w:p>
      <w:pPr>
        <w:spacing w:after="0" w:line="145" w:lineRule="exact"/>
        <w:rPr>
          <w:rFonts w:ascii="Arial" w:cs="Arial" w:eastAsia="Arial" w:hAnsi="Arial"/>
          <w:sz w:val="22"/>
          <w:szCs w:val="22"/>
          <w:color w:val="auto"/>
        </w:rPr>
      </w:pPr>
    </w:p>
    <w:p>
      <w:pPr>
        <w:ind w:left="460" w:hanging="452"/>
        <w:spacing w:after="0"/>
        <w:tabs>
          <w:tab w:leader="none" w:pos="4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At the request of Mr. Jaffee, he was not eligible for an executive deferred bonus award for fiscal 2015.</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Our fiscal 2015 corporate financial performance met the threshold for payment of a performance-based cash incentive award and resulted in cash incentive bonuses being paid at 53% of target bonus to eligible exempt employees, including our executive officers. However, as described above, for fiscal 2015, our CEO used the discretionary authority granted to him under our annual incentive plan to set the cash incentive awards for eligible exempt employees (other than the CEO) at 70% of target bonus. Similarly, at its September 9, 2015 meeting, our Compensation Committee set the cash incentive award paid to our CEO at 70% of target bonus. In addition, our fiscal 2015 corporate financial performance did not meet the threshold level for earning executive deferred bonus awards.</w:t>
      </w:r>
    </w:p>
    <w:p>
      <w:pPr>
        <w:spacing w:after="0" w:line="14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Annual cash and executive deferred bonus awards are shown in the Summary Compensation Table in the column captioned “Non-Equity Incentive Plan Compensation.”</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In addition to the discretionary authority of our CEO described above to adjust the performance measures, targets and payout ranges for our employees generally, our CEO may also exercise discretion in determining the incentive bonus to be paid under the annual incentive plan to any employee, including our executive officers (except himself), by:</w:t>
      </w:r>
    </w:p>
    <w:p>
      <w:pPr>
        <w:spacing w:after="0" w:line="46" w:lineRule="exact"/>
        <w:rPr>
          <w:sz w:val="20"/>
          <w:szCs w:val="20"/>
          <w:color w:val="auto"/>
        </w:rPr>
      </w:pPr>
    </w:p>
    <w:p>
      <w:pPr>
        <w:jc w:val="both"/>
        <w:ind w:left="980" w:hanging="324"/>
        <w:spacing w:after="0" w:line="277" w:lineRule="auto"/>
        <w:tabs>
          <w:tab w:leader="none" w:pos="980" w:val="left"/>
        </w:tabs>
        <w:numPr>
          <w:ilvl w:val="0"/>
          <w:numId w:val="37"/>
        </w:numPr>
        <w:rPr>
          <w:rFonts w:ascii="Arial" w:cs="Arial" w:eastAsia="Arial" w:hAnsi="Arial"/>
          <w:sz w:val="25"/>
          <w:szCs w:val="25"/>
          <w:color w:val="auto"/>
        </w:rPr>
      </w:pPr>
      <w:r>
        <w:rPr>
          <w:rFonts w:ascii="Arial" w:cs="Arial" w:eastAsia="Arial" w:hAnsi="Arial"/>
          <w:sz w:val="22"/>
          <w:szCs w:val="22"/>
          <w:color w:val="auto"/>
        </w:rPr>
        <w:t>Increasing or decreasing any participant’s percent of corporate financial performance bonus earned by up to 25 percentage points, subject to limitations specified in the annual incentive plan. For example, if according to the corporate financial performance measure 75% of the corporate financial performance bonus has been earned, our CEO may adjust an individual participant’s percent of corporate financial performance bonus earned to as little as 50% or as much as 100%.</w:t>
      </w:r>
    </w:p>
    <w:p>
      <w:pPr>
        <w:spacing w:after="0" w:line="39" w:lineRule="exact"/>
        <w:rPr>
          <w:rFonts w:ascii="Arial" w:cs="Arial" w:eastAsia="Arial" w:hAnsi="Arial"/>
          <w:sz w:val="25"/>
          <w:szCs w:val="25"/>
          <w:color w:val="auto"/>
        </w:rPr>
      </w:pPr>
    </w:p>
    <w:p>
      <w:pPr>
        <w:ind w:left="980" w:hanging="324"/>
        <w:spacing w:after="0" w:line="269" w:lineRule="auto"/>
        <w:tabs>
          <w:tab w:leader="none" w:pos="980" w:val="left"/>
        </w:tabs>
        <w:numPr>
          <w:ilvl w:val="0"/>
          <w:numId w:val="37"/>
        </w:numPr>
        <w:rPr>
          <w:rFonts w:ascii="Arial" w:cs="Arial" w:eastAsia="Arial" w:hAnsi="Arial"/>
          <w:sz w:val="25"/>
          <w:szCs w:val="25"/>
          <w:color w:val="auto"/>
        </w:rPr>
      </w:pPr>
      <w:r>
        <w:rPr>
          <w:rFonts w:ascii="Arial" w:cs="Arial" w:eastAsia="Arial" w:hAnsi="Arial"/>
          <w:sz w:val="22"/>
          <w:szCs w:val="22"/>
          <w:color w:val="auto"/>
        </w:rPr>
        <w:t>Adjusting individual executive deferred bonus awards downward or upward, based on the participant’s individual performance and/or the performance of the participant’s department or division.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31" w:right="239" w:bottom="1440" w:gutter="0" w:footer="0" w:header="0"/>
        </w:sectPr>
      </w:pPr>
    </w:p>
    <w:bookmarkStart w:id="42" w:name="page43"/>
    <w:bookmarkEnd w:id="42"/>
    <w:p>
      <w:pPr>
        <w:jc w:val="both"/>
        <w:ind w:left="980" w:hanging="324"/>
        <w:spacing w:after="0" w:line="276" w:lineRule="auto"/>
        <w:tabs>
          <w:tab w:leader="none" w:pos="980" w:val="left"/>
        </w:tabs>
        <w:numPr>
          <w:ilvl w:val="0"/>
          <w:numId w:val="38"/>
        </w:numPr>
        <w:rPr>
          <w:rFonts w:ascii="Arial" w:cs="Arial" w:eastAsia="Arial" w:hAnsi="Arial"/>
          <w:sz w:val="25"/>
          <w:szCs w:val="25"/>
          <w:color w:val="auto"/>
        </w:rPr>
      </w:pPr>
      <w:r>
        <w:rPr>
          <w:rFonts w:ascii="Arial" w:cs="Arial" w:eastAsia="Arial" w:hAnsi="Arial"/>
          <w:sz w:val="22"/>
          <w:szCs w:val="22"/>
          <w:color w:val="auto"/>
        </w:rPr>
        <w:t>Awarding a bonus under the annual incentive plan of up to 25% of the total dollar amount of the overall target bonus pool for all exempt employees (and up to 100% of the total dollar amount of the overall target bonus pool for all non-exempt employees) if the Company fails to achieve the minimum performance otherwise required for payment of an award.</w:t>
      </w:r>
    </w:p>
    <w:p>
      <w:pPr>
        <w:spacing w:after="0" w:line="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Further, our Compensation Committee may, for a specific fiscal year, grant to our CEO discretionary authority to make additional adjustments to the performance measures, targets and payout ranges, or awards to individual participants, including our executive officers, provided that in no event will our CEO be granted authority to make total awards to any participant which exceed 200% of the participant’s target bonus.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At its September 9, 2015 meeting, our Compensation Committee also reviewed the annual incentive plan performance measure and targets suggested by our CEO for fiscal 2016. The performance measure continues to be corporate financial performance as measured by achievement of target pre-tax, pre-bonus income as specified in the fiscal 2016 annual incentive plan. Annual incentive plan target pre-tax, pre-bonus income for fiscal 2016 will be determined by adjusting pre-tax income as shown in our fiscal 2016 audited consolidated financial statements in the same manner as described above for fiscal 2015.</w:t>
      </w:r>
    </w:p>
    <w:p>
      <w:pPr>
        <w:spacing w:after="0" w:line="10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Retirement Benefits: </w:t>
      </w:r>
      <w:r>
        <w:rPr>
          <w:rFonts w:ascii="Arial" w:cs="Arial" w:eastAsia="Arial" w:hAnsi="Arial"/>
          <w:sz w:val="22"/>
          <w:szCs w:val="22"/>
          <w:color w:val="auto"/>
        </w:rPr>
        <w:t>We seek to retain highly qualified executives, including our executive officers, and reward them for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service, by providing the following retirement benefit plans:</w:t>
      </w:r>
    </w:p>
    <w:p>
      <w:pPr>
        <w:spacing w:after="0" w:line="34"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25"/>
          <w:szCs w:val="25"/>
          <w:color w:val="auto"/>
        </w:rPr>
      </w:pPr>
      <w:r>
        <w:rPr>
          <w:rFonts w:ascii="Arial" w:cs="Arial" w:eastAsia="Arial" w:hAnsi="Arial"/>
          <w:sz w:val="22"/>
          <w:szCs w:val="22"/>
          <w:color w:val="auto"/>
        </w:rPr>
        <w:t>Defined benefit pension plan;</w:t>
      </w:r>
    </w:p>
    <w:p>
      <w:pPr>
        <w:spacing w:after="0" w:line="63" w:lineRule="exact"/>
        <w:rPr>
          <w:rFonts w:ascii="Arial" w:cs="Arial" w:eastAsia="Arial" w:hAnsi="Arial"/>
          <w:sz w:val="25"/>
          <w:szCs w:val="25"/>
          <w:color w:val="auto"/>
        </w:rPr>
      </w:pPr>
    </w:p>
    <w:p>
      <w:pPr>
        <w:ind w:left="980" w:hanging="324"/>
        <w:spacing w:after="0"/>
        <w:tabs>
          <w:tab w:leader="none" w:pos="980" w:val="left"/>
        </w:tabs>
        <w:numPr>
          <w:ilvl w:val="0"/>
          <w:numId w:val="39"/>
        </w:numPr>
        <w:rPr>
          <w:rFonts w:ascii="Arial" w:cs="Arial" w:eastAsia="Arial" w:hAnsi="Arial"/>
          <w:sz w:val="25"/>
          <w:szCs w:val="25"/>
          <w:color w:val="auto"/>
        </w:rPr>
      </w:pPr>
      <w:r>
        <w:rPr>
          <w:rFonts w:ascii="Arial" w:cs="Arial" w:eastAsia="Arial" w:hAnsi="Arial"/>
          <w:sz w:val="22"/>
          <w:szCs w:val="22"/>
          <w:color w:val="auto"/>
        </w:rPr>
        <w:t>Supplemental executive retirement plan (“SERP”);</w:t>
      </w:r>
    </w:p>
    <w:p>
      <w:pPr>
        <w:spacing w:after="0" w:line="63" w:lineRule="exact"/>
        <w:rPr>
          <w:rFonts w:ascii="Arial" w:cs="Arial" w:eastAsia="Arial" w:hAnsi="Arial"/>
          <w:sz w:val="25"/>
          <w:szCs w:val="25"/>
          <w:color w:val="auto"/>
        </w:rPr>
      </w:pPr>
    </w:p>
    <w:p>
      <w:pPr>
        <w:ind w:left="980" w:hanging="324"/>
        <w:spacing w:after="0"/>
        <w:tabs>
          <w:tab w:leader="none" w:pos="980" w:val="left"/>
        </w:tabs>
        <w:numPr>
          <w:ilvl w:val="0"/>
          <w:numId w:val="39"/>
        </w:numPr>
        <w:rPr>
          <w:rFonts w:ascii="Arial" w:cs="Arial" w:eastAsia="Arial" w:hAnsi="Arial"/>
          <w:sz w:val="25"/>
          <w:szCs w:val="25"/>
          <w:color w:val="auto"/>
        </w:rPr>
      </w:pPr>
      <w:r>
        <w:rPr>
          <w:rFonts w:ascii="Arial" w:cs="Arial" w:eastAsia="Arial" w:hAnsi="Arial"/>
          <w:sz w:val="22"/>
          <w:szCs w:val="22"/>
          <w:color w:val="auto"/>
        </w:rPr>
        <w:t>Defined contribution retirement plan; and</w:t>
      </w:r>
    </w:p>
    <w:p>
      <w:pPr>
        <w:spacing w:after="0" w:line="63" w:lineRule="exact"/>
        <w:rPr>
          <w:rFonts w:ascii="Arial" w:cs="Arial" w:eastAsia="Arial" w:hAnsi="Arial"/>
          <w:sz w:val="25"/>
          <w:szCs w:val="25"/>
          <w:color w:val="auto"/>
        </w:rPr>
      </w:pPr>
    </w:p>
    <w:p>
      <w:pPr>
        <w:ind w:left="980" w:hanging="324"/>
        <w:spacing w:after="0"/>
        <w:tabs>
          <w:tab w:leader="none" w:pos="980" w:val="left"/>
        </w:tabs>
        <w:numPr>
          <w:ilvl w:val="0"/>
          <w:numId w:val="39"/>
        </w:numPr>
        <w:rPr>
          <w:rFonts w:ascii="Arial" w:cs="Arial" w:eastAsia="Arial" w:hAnsi="Arial"/>
          <w:sz w:val="25"/>
          <w:szCs w:val="25"/>
          <w:color w:val="auto"/>
        </w:rPr>
      </w:pPr>
      <w:r>
        <w:rPr>
          <w:rFonts w:ascii="Arial" w:cs="Arial" w:eastAsia="Arial" w:hAnsi="Arial"/>
          <w:sz w:val="22"/>
          <w:szCs w:val="22"/>
          <w:color w:val="auto"/>
        </w:rPr>
        <w:t>Executive deferred compensation plan.</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Retirement benefits under these plans are funded by a combination of employer and employee contributions as described below, thus encouraging employees to take an active part in saving for their own retirement years.</w:t>
      </w:r>
    </w:p>
    <w:p>
      <w:pPr>
        <w:spacing w:after="0" w:line="47" w:lineRule="exact"/>
        <w:rPr>
          <w:sz w:val="20"/>
          <w:szCs w:val="20"/>
          <w:color w:val="auto"/>
        </w:rPr>
      </w:pPr>
    </w:p>
    <w:p>
      <w:pPr>
        <w:jc w:val="both"/>
        <w:ind w:left="980" w:hanging="324"/>
        <w:spacing w:after="0" w:line="278" w:lineRule="auto"/>
        <w:tabs>
          <w:tab w:leader="none" w:pos="980" w:val="left"/>
        </w:tabs>
        <w:numPr>
          <w:ilvl w:val="0"/>
          <w:numId w:val="40"/>
        </w:numPr>
        <w:rPr>
          <w:rFonts w:ascii="Arial" w:cs="Arial" w:eastAsia="Arial" w:hAnsi="Arial"/>
          <w:sz w:val="25"/>
          <w:szCs w:val="25"/>
          <w:color w:val="auto"/>
        </w:rPr>
      </w:pPr>
      <w:r>
        <w:rPr>
          <w:rFonts w:ascii="Arial" w:cs="Arial" w:eastAsia="Arial" w:hAnsi="Arial"/>
          <w:sz w:val="22"/>
          <w:szCs w:val="22"/>
          <w:b w:val="1"/>
          <w:bCs w:val="1"/>
          <w:color w:val="auto"/>
        </w:rPr>
        <w:t xml:space="preserve">Defined benefit pension plan: </w:t>
      </w:r>
      <w:r>
        <w:rPr>
          <w:rFonts w:ascii="Arial" w:cs="Arial" w:eastAsia="Arial" w:hAnsi="Arial"/>
          <w:sz w:val="22"/>
          <w:szCs w:val="22"/>
          <w:color w:val="auto"/>
        </w:rPr>
        <w:t>All U.S.-based employees participate in our Company-funded defined benefit pension</w:t>
      </w:r>
      <w:r>
        <w:rPr>
          <w:rFonts w:ascii="Arial" w:cs="Arial" w:eastAsia="Arial" w:hAnsi="Arial"/>
          <w:sz w:val="22"/>
          <w:szCs w:val="22"/>
          <w:b w:val="1"/>
          <w:bCs w:val="1"/>
          <w:color w:val="auto"/>
        </w:rPr>
        <w:t xml:space="preserve"> </w:t>
      </w:r>
      <w:r>
        <w:rPr>
          <w:rFonts w:ascii="Arial" w:cs="Arial" w:eastAsia="Arial" w:hAnsi="Arial"/>
          <w:sz w:val="22"/>
          <w:szCs w:val="22"/>
          <w:color w:val="auto"/>
        </w:rPr>
        <w:t>plan. For salaried employees, the pension plan provides for pension benefits based on credited years of service and certain cash compensation (principally, base salary and commissions) earned during the highest paid consecutive five years during the last 10 years of employment. Our hourly-paid manufacturing employees also participate, but with a different pension benefit formula.</w:t>
      </w:r>
    </w:p>
    <w:p>
      <w:pPr>
        <w:spacing w:after="0" w:line="34" w:lineRule="exact"/>
        <w:rPr>
          <w:rFonts w:ascii="Arial" w:cs="Arial" w:eastAsia="Arial" w:hAnsi="Arial"/>
          <w:sz w:val="25"/>
          <w:szCs w:val="25"/>
          <w:color w:val="auto"/>
        </w:rPr>
      </w:pPr>
    </w:p>
    <w:p>
      <w:pPr>
        <w:jc w:val="both"/>
        <w:ind w:left="980" w:hanging="324"/>
        <w:spacing w:after="0" w:line="294" w:lineRule="auto"/>
        <w:tabs>
          <w:tab w:leader="none" w:pos="980" w:val="left"/>
        </w:tabs>
        <w:numPr>
          <w:ilvl w:val="0"/>
          <w:numId w:val="40"/>
        </w:numPr>
        <w:rPr>
          <w:rFonts w:ascii="Arial" w:cs="Arial" w:eastAsia="Arial" w:hAnsi="Arial"/>
          <w:sz w:val="24"/>
          <w:szCs w:val="24"/>
          <w:color w:val="auto"/>
        </w:rPr>
      </w:pPr>
      <w:r>
        <w:rPr>
          <w:rFonts w:ascii="Arial" w:cs="Arial" w:eastAsia="Arial" w:hAnsi="Arial"/>
          <w:sz w:val="21"/>
          <w:szCs w:val="21"/>
          <w:b w:val="1"/>
          <w:bCs w:val="1"/>
          <w:color w:val="auto"/>
        </w:rPr>
        <w:t xml:space="preserve">Supplemental executive retirement plan: </w:t>
      </w:r>
      <w:r>
        <w:rPr>
          <w:rFonts w:ascii="Arial" w:cs="Arial" w:eastAsia="Arial" w:hAnsi="Arial"/>
          <w:sz w:val="21"/>
          <w:szCs w:val="21"/>
          <w:color w:val="auto"/>
        </w:rPr>
        <w:t>Our SERP provides benefits that would have been provided under our</w:t>
      </w:r>
      <w:r>
        <w:rPr>
          <w:rFonts w:ascii="Arial" w:cs="Arial" w:eastAsia="Arial" w:hAnsi="Arial"/>
          <w:sz w:val="21"/>
          <w:szCs w:val="21"/>
          <w:b w:val="1"/>
          <w:bCs w:val="1"/>
          <w:color w:val="auto"/>
        </w:rPr>
        <w:t xml:space="preserve"> </w:t>
      </w:r>
      <w:r>
        <w:rPr>
          <w:rFonts w:ascii="Arial" w:cs="Arial" w:eastAsia="Arial" w:hAnsi="Arial"/>
          <w:sz w:val="21"/>
          <w:szCs w:val="21"/>
          <w:color w:val="auto"/>
        </w:rPr>
        <w:t>pension plan absent the Code limitations on benefits and on compensation for purposes of calculating benefits, offset by the actual pension benefits. Benefits under the SERP will be paid from our general assets. All employees whose pension plan benefits are limited by the Code will participate in the SERP. Currently, our CEO and COO are the only participants; however, our COO will not be vested in the plan until March 31, 2019.</w:t>
      </w:r>
    </w:p>
    <w:p>
      <w:pPr>
        <w:spacing w:after="0" w:line="18" w:lineRule="exact"/>
        <w:rPr>
          <w:rFonts w:ascii="Arial" w:cs="Arial" w:eastAsia="Arial" w:hAnsi="Arial"/>
          <w:sz w:val="24"/>
          <w:szCs w:val="24"/>
          <w:color w:val="auto"/>
        </w:rPr>
      </w:pPr>
    </w:p>
    <w:p>
      <w:pPr>
        <w:jc w:val="both"/>
        <w:ind w:left="980" w:hanging="324"/>
        <w:spacing w:after="0" w:line="279" w:lineRule="auto"/>
        <w:tabs>
          <w:tab w:leader="none" w:pos="980" w:val="left"/>
        </w:tabs>
        <w:numPr>
          <w:ilvl w:val="0"/>
          <w:numId w:val="40"/>
        </w:numPr>
        <w:rPr>
          <w:rFonts w:ascii="Arial" w:cs="Arial" w:eastAsia="Arial" w:hAnsi="Arial"/>
          <w:sz w:val="25"/>
          <w:szCs w:val="25"/>
          <w:color w:val="auto"/>
        </w:rPr>
      </w:pPr>
      <w:r>
        <w:rPr>
          <w:rFonts w:ascii="Arial" w:cs="Arial" w:eastAsia="Arial" w:hAnsi="Arial"/>
          <w:sz w:val="22"/>
          <w:szCs w:val="22"/>
          <w:b w:val="1"/>
          <w:bCs w:val="1"/>
          <w:color w:val="auto"/>
        </w:rPr>
        <w:t xml:space="preserve">Defined contribution retirement plan: </w:t>
      </w:r>
      <w:r>
        <w:rPr>
          <w:rFonts w:ascii="Arial" w:cs="Arial" w:eastAsia="Arial" w:hAnsi="Arial"/>
          <w:sz w:val="22"/>
          <w:szCs w:val="22"/>
          <w:color w:val="auto"/>
        </w:rPr>
        <w:t>All U.S.-based employees are eligible to participate in our 401(k)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savings plan. Employees may contribute from 2% to 50% of eligible compensation on a tax-deferred basis, subject to Code limits. We make a matching contribution of $0.50 for each $1.00 of the first 4% of compensation that employees contribute. For employees that were hired prior to May 1, 2012, our matching contribution is immediately vested. For employees that were hired on or after May 1, 2012, the Company’s matching contribution vests in accordance with the following schedule: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3" w:right="239" w:bottom="1440" w:gutter="0" w:footer="0" w:header="0"/>
        </w:sectPr>
      </w:pPr>
    </w:p>
    <w:bookmarkStart w:id="43" w:name="page44"/>
    <w:bookmarkEnd w:id="43"/>
    <w:tbl>
      <w:tblPr>
        <w:tblLayout w:type="fixed"/>
        <w:tblInd w:w="180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2040" w:type="dxa"/>
            <w:vAlign w:val="bottom"/>
            <w:gridSpan w:val="2"/>
          </w:tcPr>
          <w:p>
            <w:pPr>
              <w:jc w:val="center"/>
              <w:ind w:right="1100"/>
              <w:spacing w:after="0"/>
              <w:rPr>
                <w:sz w:val="20"/>
                <w:szCs w:val="20"/>
                <w:color w:val="auto"/>
              </w:rPr>
            </w:pPr>
            <w:r>
              <w:rPr>
                <w:rFonts w:ascii="Arial" w:cs="Arial" w:eastAsia="Arial" w:hAnsi="Arial"/>
                <w:sz w:val="22"/>
                <w:szCs w:val="22"/>
                <w:color w:val="auto"/>
                <w:w w:val="86"/>
              </w:rPr>
              <w:t>Years</w:t>
            </w:r>
          </w:p>
        </w:tc>
        <w:tc>
          <w:tcPr>
            <w:tcW w:w="4380" w:type="dxa"/>
            <w:vAlign w:val="bottom"/>
            <w:gridSpan w:val="3"/>
          </w:tcPr>
          <w:p>
            <w:pPr>
              <w:jc w:val="center"/>
              <w:ind w:left="152"/>
              <w:spacing w:after="0"/>
              <w:rPr>
                <w:sz w:val="20"/>
                <w:szCs w:val="20"/>
                <w:color w:val="auto"/>
              </w:rPr>
            </w:pPr>
            <w:r>
              <w:rPr>
                <w:rFonts w:ascii="Arial" w:cs="Arial" w:eastAsia="Arial" w:hAnsi="Arial"/>
                <w:sz w:val="22"/>
                <w:szCs w:val="22"/>
                <w:color w:val="auto"/>
                <w:w w:val="86"/>
              </w:rPr>
              <w:t>Vested Percentage of Company’s</w:t>
            </w:r>
          </w:p>
        </w:tc>
      </w:tr>
      <w:tr>
        <w:trPr>
          <w:trHeight w:val="224"/>
        </w:trPr>
        <w:tc>
          <w:tcPr>
            <w:tcW w:w="3440" w:type="dxa"/>
            <w:vAlign w:val="bottom"/>
            <w:gridSpan w:val="3"/>
          </w:tcPr>
          <w:p>
            <w:pPr>
              <w:jc w:val="center"/>
              <w:ind w:left="132"/>
              <w:spacing w:after="0" w:line="224" w:lineRule="exact"/>
              <w:rPr>
                <w:sz w:val="20"/>
                <w:szCs w:val="20"/>
                <w:color w:val="auto"/>
              </w:rPr>
            </w:pPr>
            <w:r>
              <w:rPr>
                <w:rFonts w:ascii="Arial" w:cs="Arial" w:eastAsia="Arial" w:hAnsi="Arial"/>
                <w:sz w:val="22"/>
                <w:szCs w:val="22"/>
                <w:color w:val="auto"/>
                <w:w w:val="89"/>
              </w:rPr>
              <w:t>of Service</w:t>
            </w:r>
          </w:p>
        </w:tc>
        <w:tc>
          <w:tcPr>
            <w:tcW w:w="1320" w:type="dxa"/>
            <w:vAlign w:val="bottom"/>
          </w:tcPr>
          <w:p>
            <w:pPr>
              <w:spacing w:after="0"/>
              <w:rPr>
                <w:sz w:val="19"/>
                <w:szCs w:val="19"/>
                <w:color w:val="auto"/>
              </w:rPr>
            </w:pPr>
          </w:p>
        </w:tc>
        <w:tc>
          <w:tcPr>
            <w:tcW w:w="3060" w:type="dxa"/>
            <w:vAlign w:val="bottom"/>
            <w:gridSpan w:val="2"/>
          </w:tcPr>
          <w:p>
            <w:pPr>
              <w:jc w:val="center"/>
              <w:ind w:right="1060"/>
              <w:spacing w:after="0" w:line="224" w:lineRule="exact"/>
              <w:rPr>
                <w:sz w:val="20"/>
                <w:szCs w:val="20"/>
                <w:color w:val="auto"/>
              </w:rPr>
            </w:pPr>
            <w:r>
              <w:rPr>
                <w:rFonts w:ascii="Arial" w:cs="Arial" w:eastAsia="Arial" w:hAnsi="Arial"/>
                <w:sz w:val="22"/>
                <w:szCs w:val="22"/>
                <w:color w:val="auto"/>
                <w:w w:val="93"/>
              </w:rPr>
              <w:t>Matching Contribution</w:t>
            </w:r>
          </w:p>
        </w:tc>
      </w:tr>
      <w:tr>
        <w:trPr>
          <w:trHeight w:val="48"/>
        </w:trPr>
        <w:tc>
          <w:tcPr>
            <w:tcW w:w="14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r>
      <w:tr>
        <w:trPr>
          <w:trHeight w:val="297"/>
        </w:trPr>
        <w:tc>
          <w:tcPr>
            <w:tcW w:w="3440" w:type="dxa"/>
            <w:vAlign w:val="bottom"/>
            <w:gridSpan w:val="3"/>
            <w:shd w:val="clear" w:color="auto" w:fill="CCEEFF"/>
          </w:tcPr>
          <w:p>
            <w:pPr>
              <w:jc w:val="center"/>
              <w:ind w:left="152"/>
              <w:spacing w:after="0"/>
              <w:rPr>
                <w:sz w:val="20"/>
                <w:szCs w:val="20"/>
                <w:color w:val="auto"/>
              </w:rPr>
            </w:pPr>
            <w:r>
              <w:rPr>
                <w:rFonts w:ascii="Arial" w:cs="Arial" w:eastAsia="Arial" w:hAnsi="Arial"/>
                <w:sz w:val="22"/>
                <w:szCs w:val="22"/>
                <w:color w:val="auto"/>
                <w:w w:val="87"/>
              </w:rPr>
              <w:t>1 but less than 2</w:t>
            </w:r>
          </w:p>
        </w:tc>
        <w:tc>
          <w:tcPr>
            <w:tcW w:w="3320" w:type="dxa"/>
            <w:vAlign w:val="bottom"/>
            <w:gridSpan w:val="2"/>
            <w:shd w:val="clear" w:color="auto" w:fill="CCEEFF"/>
          </w:tcPr>
          <w:p>
            <w:pPr>
              <w:jc w:val="center"/>
              <w:ind w:left="1212"/>
              <w:spacing w:after="0"/>
              <w:rPr>
                <w:sz w:val="20"/>
                <w:szCs w:val="20"/>
                <w:color w:val="auto"/>
              </w:rPr>
            </w:pPr>
            <w:r>
              <w:rPr>
                <w:rFonts w:ascii="Arial" w:cs="Arial" w:eastAsia="Arial" w:hAnsi="Arial"/>
                <w:sz w:val="22"/>
                <w:szCs w:val="22"/>
                <w:color w:val="auto"/>
                <w:w w:val="90"/>
              </w:rPr>
              <w:t>20%</w:t>
            </w:r>
          </w:p>
        </w:tc>
        <w:tc>
          <w:tcPr>
            <w:tcW w:w="1060" w:type="dxa"/>
            <w:vAlign w:val="bottom"/>
            <w:shd w:val="clear" w:color="auto" w:fill="CCEEFF"/>
          </w:tcPr>
          <w:p>
            <w:pPr>
              <w:spacing w:after="0"/>
              <w:rPr>
                <w:sz w:val="24"/>
                <w:szCs w:val="24"/>
                <w:color w:val="auto"/>
              </w:rPr>
            </w:pPr>
          </w:p>
        </w:tc>
      </w:tr>
      <w:tr>
        <w:trPr>
          <w:trHeight w:val="289"/>
        </w:trPr>
        <w:tc>
          <w:tcPr>
            <w:tcW w:w="3440" w:type="dxa"/>
            <w:vAlign w:val="bottom"/>
            <w:gridSpan w:val="3"/>
          </w:tcPr>
          <w:p>
            <w:pPr>
              <w:jc w:val="center"/>
              <w:ind w:left="152"/>
              <w:spacing w:after="0"/>
              <w:rPr>
                <w:sz w:val="20"/>
                <w:szCs w:val="20"/>
                <w:color w:val="auto"/>
              </w:rPr>
            </w:pPr>
            <w:r>
              <w:rPr>
                <w:rFonts w:ascii="Arial" w:cs="Arial" w:eastAsia="Arial" w:hAnsi="Arial"/>
                <w:sz w:val="22"/>
                <w:szCs w:val="22"/>
                <w:color w:val="auto"/>
                <w:w w:val="87"/>
              </w:rPr>
              <w:t>2 but less than 3</w:t>
            </w:r>
          </w:p>
        </w:tc>
        <w:tc>
          <w:tcPr>
            <w:tcW w:w="3320" w:type="dxa"/>
            <w:vAlign w:val="bottom"/>
            <w:gridSpan w:val="2"/>
          </w:tcPr>
          <w:p>
            <w:pPr>
              <w:jc w:val="center"/>
              <w:ind w:left="1212"/>
              <w:spacing w:after="0"/>
              <w:rPr>
                <w:sz w:val="20"/>
                <w:szCs w:val="20"/>
                <w:color w:val="auto"/>
              </w:rPr>
            </w:pPr>
            <w:r>
              <w:rPr>
                <w:rFonts w:ascii="Arial" w:cs="Arial" w:eastAsia="Arial" w:hAnsi="Arial"/>
                <w:sz w:val="22"/>
                <w:szCs w:val="22"/>
                <w:color w:val="auto"/>
                <w:w w:val="90"/>
              </w:rPr>
              <w:t>40%</w:t>
            </w:r>
          </w:p>
        </w:tc>
        <w:tc>
          <w:tcPr>
            <w:tcW w:w="1060" w:type="dxa"/>
            <w:vAlign w:val="bottom"/>
          </w:tcPr>
          <w:p>
            <w:pPr>
              <w:spacing w:after="0"/>
              <w:rPr>
                <w:sz w:val="24"/>
                <w:szCs w:val="24"/>
                <w:color w:val="auto"/>
              </w:rPr>
            </w:pPr>
          </w:p>
        </w:tc>
      </w:tr>
      <w:tr>
        <w:trPr>
          <w:trHeight w:val="306"/>
        </w:trPr>
        <w:tc>
          <w:tcPr>
            <w:tcW w:w="3440" w:type="dxa"/>
            <w:vAlign w:val="bottom"/>
            <w:gridSpan w:val="3"/>
            <w:shd w:val="clear" w:color="auto" w:fill="CCEEFF"/>
          </w:tcPr>
          <w:p>
            <w:pPr>
              <w:jc w:val="center"/>
              <w:ind w:left="152"/>
              <w:spacing w:after="0"/>
              <w:rPr>
                <w:sz w:val="20"/>
                <w:szCs w:val="20"/>
                <w:color w:val="auto"/>
              </w:rPr>
            </w:pPr>
            <w:r>
              <w:rPr>
                <w:rFonts w:ascii="Arial" w:cs="Arial" w:eastAsia="Arial" w:hAnsi="Arial"/>
                <w:sz w:val="22"/>
                <w:szCs w:val="22"/>
                <w:color w:val="auto"/>
                <w:w w:val="87"/>
              </w:rPr>
              <w:t>3 but less than 4</w:t>
            </w:r>
          </w:p>
        </w:tc>
        <w:tc>
          <w:tcPr>
            <w:tcW w:w="3320" w:type="dxa"/>
            <w:vAlign w:val="bottom"/>
            <w:gridSpan w:val="2"/>
            <w:shd w:val="clear" w:color="auto" w:fill="CCEEFF"/>
          </w:tcPr>
          <w:p>
            <w:pPr>
              <w:jc w:val="center"/>
              <w:ind w:left="1212"/>
              <w:spacing w:after="0"/>
              <w:rPr>
                <w:sz w:val="20"/>
                <w:szCs w:val="20"/>
                <w:color w:val="auto"/>
              </w:rPr>
            </w:pPr>
            <w:r>
              <w:rPr>
                <w:rFonts w:ascii="Arial" w:cs="Arial" w:eastAsia="Arial" w:hAnsi="Arial"/>
                <w:sz w:val="22"/>
                <w:szCs w:val="22"/>
                <w:color w:val="auto"/>
                <w:w w:val="90"/>
              </w:rPr>
              <w:t>60%</w:t>
            </w:r>
          </w:p>
        </w:tc>
        <w:tc>
          <w:tcPr>
            <w:tcW w:w="1060" w:type="dxa"/>
            <w:vAlign w:val="bottom"/>
            <w:shd w:val="clear" w:color="auto" w:fill="CCEEFF"/>
          </w:tcPr>
          <w:p>
            <w:pPr>
              <w:spacing w:after="0"/>
              <w:rPr>
                <w:sz w:val="24"/>
                <w:szCs w:val="24"/>
                <w:color w:val="auto"/>
              </w:rPr>
            </w:pPr>
          </w:p>
        </w:tc>
      </w:tr>
      <w:tr>
        <w:trPr>
          <w:trHeight w:val="289"/>
        </w:trPr>
        <w:tc>
          <w:tcPr>
            <w:tcW w:w="3440" w:type="dxa"/>
            <w:vAlign w:val="bottom"/>
            <w:gridSpan w:val="3"/>
          </w:tcPr>
          <w:p>
            <w:pPr>
              <w:jc w:val="center"/>
              <w:ind w:left="152"/>
              <w:spacing w:after="0"/>
              <w:rPr>
                <w:sz w:val="20"/>
                <w:szCs w:val="20"/>
                <w:color w:val="auto"/>
              </w:rPr>
            </w:pPr>
            <w:r>
              <w:rPr>
                <w:rFonts w:ascii="Arial" w:cs="Arial" w:eastAsia="Arial" w:hAnsi="Arial"/>
                <w:sz w:val="22"/>
                <w:szCs w:val="22"/>
                <w:color w:val="auto"/>
                <w:w w:val="87"/>
              </w:rPr>
              <w:t>4 but less than 5</w:t>
            </w:r>
          </w:p>
        </w:tc>
        <w:tc>
          <w:tcPr>
            <w:tcW w:w="3320" w:type="dxa"/>
            <w:vAlign w:val="bottom"/>
            <w:gridSpan w:val="2"/>
          </w:tcPr>
          <w:p>
            <w:pPr>
              <w:jc w:val="center"/>
              <w:ind w:left="1212"/>
              <w:spacing w:after="0"/>
              <w:rPr>
                <w:sz w:val="20"/>
                <w:szCs w:val="20"/>
                <w:color w:val="auto"/>
              </w:rPr>
            </w:pPr>
            <w:r>
              <w:rPr>
                <w:rFonts w:ascii="Arial" w:cs="Arial" w:eastAsia="Arial" w:hAnsi="Arial"/>
                <w:sz w:val="22"/>
                <w:szCs w:val="22"/>
                <w:color w:val="auto"/>
                <w:w w:val="90"/>
              </w:rPr>
              <w:t>80%</w:t>
            </w:r>
          </w:p>
        </w:tc>
        <w:tc>
          <w:tcPr>
            <w:tcW w:w="1060" w:type="dxa"/>
            <w:vAlign w:val="bottom"/>
          </w:tcPr>
          <w:p>
            <w:pPr>
              <w:spacing w:after="0"/>
              <w:rPr>
                <w:sz w:val="24"/>
                <w:szCs w:val="24"/>
                <w:color w:val="auto"/>
              </w:rPr>
            </w:pPr>
          </w:p>
        </w:tc>
      </w:tr>
      <w:tr>
        <w:trPr>
          <w:trHeight w:val="306"/>
        </w:trPr>
        <w:tc>
          <w:tcPr>
            <w:tcW w:w="140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1160"/>
              <w:spacing w:after="0"/>
              <w:rPr>
                <w:sz w:val="20"/>
                <w:szCs w:val="20"/>
                <w:color w:val="auto"/>
              </w:rPr>
            </w:pPr>
            <w:r>
              <w:rPr>
                <w:rFonts w:ascii="Arial" w:cs="Arial" w:eastAsia="Arial" w:hAnsi="Arial"/>
                <w:sz w:val="22"/>
                <w:szCs w:val="22"/>
                <w:color w:val="auto"/>
                <w:w w:val="89"/>
              </w:rPr>
              <w:t>5 or more</w:t>
            </w:r>
          </w:p>
        </w:tc>
        <w:tc>
          <w:tcPr>
            <w:tcW w:w="3320" w:type="dxa"/>
            <w:vAlign w:val="bottom"/>
            <w:gridSpan w:val="2"/>
            <w:shd w:val="clear" w:color="auto" w:fill="CCEEFF"/>
          </w:tcPr>
          <w:p>
            <w:pPr>
              <w:jc w:val="center"/>
              <w:ind w:left="1192"/>
              <w:spacing w:after="0"/>
              <w:rPr>
                <w:sz w:val="20"/>
                <w:szCs w:val="20"/>
                <w:color w:val="auto"/>
              </w:rPr>
            </w:pPr>
            <w:r>
              <w:rPr>
                <w:rFonts w:ascii="Arial" w:cs="Arial" w:eastAsia="Arial" w:hAnsi="Arial"/>
                <w:sz w:val="22"/>
                <w:szCs w:val="22"/>
                <w:color w:val="auto"/>
                <w:w w:val="88"/>
              </w:rPr>
              <w:t>100%</w:t>
            </w:r>
          </w:p>
        </w:tc>
        <w:tc>
          <w:tcPr>
            <w:tcW w:w="1060" w:type="dxa"/>
            <w:vAlign w:val="bottom"/>
            <w:shd w:val="clear" w:color="auto" w:fill="CCEEFF"/>
          </w:tcPr>
          <w:p>
            <w:pPr>
              <w:spacing w:after="0"/>
              <w:rPr>
                <w:sz w:val="24"/>
                <w:szCs w:val="24"/>
                <w:color w:val="auto"/>
              </w:rPr>
            </w:pPr>
          </w:p>
        </w:tc>
      </w:tr>
    </w:tbl>
    <w:p>
      <w:pPr>
        <w:spacing w:after="0" w:line="330"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color w:val="auto"/>
        </w:rPr>
        <w:t>If an employee is subject to the above vesting schedule and retires on or after such employee’s 65th birthday, the unvested portion, if any, of the Company’s matching contribution becomes vested.</w:t>
      </w:r>
    </w:p>
    <w:p>
      <w:pPr>
        <w:spacing w:after="0" w:line="47" w:lineRule="exact"/>
        <w:rPr>
          <w:sz w:val="20"/>
          <w:szCs w:val="20"/>
          <w:color w:val="auto"/>
        </w:rPr>
      </w:pPr>
    </w:p>
    <w:p>
      <w:pPr>
        <w:jc w:val="both"/>
        <w:ind w:left="980" w:hanging="324"/>
        <w:spacing w:after="0" w:line="278" w:lineRule="auto"/>
        <w:tabs>
          <w:tab w:leader="none" w:pos="980" w:val="left"/>
        </w:tabs>
        <w:numPr>
          <w:ilvl w:val="0"/>
          <w:numId w:val="41"/>
        </w:numPr>
        <w:rPr>
          <w:rFonts w:ascii="Arial" w:cs="Arial" w:eastAsia="Arial" w:hAnsi="Arial"/>
          <w:sz w:val="25"/>
          <w:szCs w:val="25"/>
          <w:color w:val="auto"/>
        </w:rPr>
      </w:pPr>
      <w:r>
        <w:rPr>
          <w:rFonts w:ascii="Arial" w:cs="Arial" w:eastAsia="Arial" w:hAnsi="Arial"/>
          <w:sz w:val="22"/>
          <w:szCs w:val="22"/>
          <w:b w:val="1"/>
          <w:bCs w:val="1"/>
          <w:color w:val="auto"/>
        </w:rPr>
        <w:t xml:space="preserve">Executive deferred compensation plan: </w:t>
      </w:r>
      <w:r>
        <w:rPr>
          <w:rFonts w:ascii="Arial" w:cs="Arial" w:eastAsia="Arial" w:hAnsi="Arial"/>
          <w:sz w:val="22"/>
          <w:szCs w:val="22"/>
          <w:color w:val="auto"/>
        </w:rPr>
        <w:t>We provide an executive deferred compensation plan to assist executives and</w:t>
      </w:r>
      <w:r>
        <w:rPr>
          <w:rFonts w:ascii="Arial" w:cs="Arial" w:eastAsia="Arial" w:hAnsi="Arial"/>
          <w:sz w:val="22"/>
          <w:szCs w:val="22"/>
          <w:b w:val="1"/>
          <w:bCs w:val="1"/>
          <w:color w:val="auto"/>
        </w:rPr>
        <w:t xml:space="preserve"> </w:t>
      </w:r>
      <w:r>
        <w:rPr>
          <w:rFonts w:ascii="Arial" w:cs="Arial" w:eastAsia="Arial" w:hAnsi="Arial"/>
          <w:sz w:val="22"/>
          <w:szCs w:val="22"/>
          <w:color w:val="auto"/>
        </w:rPr>
        <w:t>non-employee directors in saving for retirement or other financial needs. All executive officers are eligible to participate in this plan. Participating executives may defer up to 50% of base salary and 100% of annual incentive bonus into the plan. We make no contributions. Executives’ deferrals earn interest at a rate equal to our long-term cost of borrowing plus 1%.</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Retirement Benefits for the Named Executive Officers shown in the Tables:</w:t>
      </w:r>
    </w:p>
    <w:p>
      <w:pPr>
        <w:spacing w:after="0" w:line="98" w:lineRule="exact"/>
        <w:rPr>
          <w:sz w:val="20"/>
          <w:szCs w:val="20"/>
          <w:color w:val="auto"/>
        </w:rPr>
      </w:pPr>
    </w:p>
    <w:p>
      <w:pPr>
        <w:jc w:val="both"/>
        <w:ind w:left="980" w:hanging="324"/>
        <w:spacing w:after="0" w:line="306" w:lineRule="auto"/>
        <w:tabs>
          <w:tab w:leader="none" w:pos="980" w:val="left"/>
        </w:tabs>
        <w:numPr>
          <w:ilvl w:val="0"/>
          <w:numId w:val="42"/>
        </w:numPr>
        <w:rPr>
          <w:rFonts w:ascii="Arial" w:cs="Arial" w:eastAsia="Arial" w:hAnsi="Arial"/>
          <w:sz w:val="23"/>
          <w:szCs w:val="23"/>
          <w:color w:val="auto"/>
        </w:rPr>
      </w:pPr>
      <w:r>
        <w:rPr>
          <w:rFonts w:ascii="Arial" w:cs="Arial" w:eastAsia="Arial" w:hAnsi="Arial"/>
          <w:sz w:val="20"/>
          <w:szCs w:val="20"/>
          <w:color w:val="auto"/>
        </w:rPr>
        <w:t>Summary Compensation Table: The actuarial change in pension and SERP benefits and earnings in excess of 120% of the applicable federal rate on deferred compensation plan balances are included in the “Change in Pension Value and Nonqualified Deferred Compensation Earnings” column of the Summary Compensation Table. Our contribution to the 401(k) retirement savings plan is included in the “All Other Compensation” column of that table.</w:t>
      </w:r>
    </w:p>
    <w:p>
      <w:pPr>
        <w:spacing w:after="0" w:line="25" w:lineRule="exact"/>
        <w:rPr>
          <w:rFonts w:ascii="Arial" w:cs="Arial" w:eastAsia="Arial" w:hAnsi="Arial"/>
          <w:sz w:val="23"/>
          <w:szCs w:val="23"/>
          <w:color w:val="auto"/>
        </w:rPr>
      </w:pPr>
    </w:p>
    <w:p>
      <w:pPr>
        <w:ind w:left="980" w:hanging="324"/>
        <w:spacing w:after="0" w:line="269" w:lineRule="auto"/>
        <w:tabs>
          <w:tab w:leader="none" w:pos="980" w:val="left"/>
        </w:tabs>
        <w:numPr>
          <w:ilvl w:val="0"/>
          <w:numId w:val="42"/>
        </w:numPr>
        <w:rPr>
          <w:rFonts w:ascii="Arial" w:cs="Arial" w:eastAsia="Arial" w:hAnsi="Arial"/>
          <w:sz w:val="25"/>
          <w:szCs w:val="25"/>
          <w:color w:val="auto"/>
        </w:rPr>
      </w:pPr>
      <w:r>
        <w:rPr>
          <w:rFonts w:ascii="Arial" w:cs="Arial" w:eastAsia="Arial" w:hAnsi="Arial"/>
          <w:sz w:val="22"/>
          <w:szCs w:val="22"/>
          <w:color w:val="auto"/>
        </w:rPr>
        <w:t>Pension Benefits Table: The present value of the accumulated benefits under the pension plan and the SERP is shown in the “Present Value of Accumulated Benefits” column of the Pension Benefits Table.</w:t>
      </w:r>
    </w:p>
    <w:p>
      <w:pPr>
        <w:spacing w:after="0" w:line="42" w:lineRule="exact"/>
        <w:rPr>
          <w:rFonts w:ascii="Arial" w:cs="Arial" w:eastAsia="Arial" w:hAnsi="Arial"/>
          <w:sz w:val="25"/>
          <w:szCs w:val="25"/>
          <w:color w:val="auto"/>
        </w:rPr>
      </w:pPr>
    </w:p>
    <w:p>
      <w:pPr>
        <w:jc w:val="both"/>
        <w:ind w:left="980" w:hanging="324"/>
        <w:spacing w:after="0" w:line="276" w:lineRule="auto"/>
        <w:tabs>
          <w:tab w:leader="none" w:pos="980" w:val="left"/>
        </w:tabs>
        <w:numPr>
          <w:ilvl w:val="0"/>
          <w:numId w:val="42"/>
        </w:numPr>
        <w:rPr>
          <w:rFonts w:ascii="Arial" w:cs="Arial" w:eastAsia="Arial" w:hAnsi="Arial"/>
          <w:sz w:val="25"/>
          <w:szCs w:val="25"/>
          <w:color w:val="auto"/>
        </w:rPr>
      </w:pPr>
      <w:r>
        <w:rPr>
          <w:rFonts w:ascii="Arial" w:cs="Arial" w:eastAsia="Arial" w:hAnsi="Arial"/>
          <w:sz w:val="22"/>
          <w:szCs w:val="22"/>
          <w:color w:val="auto"/>
        </w:rPr>
        <w:t>Nonqualified Deferred Compensation Table: Contributions by the named executive officers to our executive deferred compensation plan are shown in the “Executive Contributions in Last Fiscal Year” column of the Nonqualified Deferred Compensation Table. Earnings on balances in that plan are included in the “Aggregate Earnings in Last Fiscal Year” column of that table.</w:t>
      </w:r>
    </w:p>
    <w:p>
      <w:pPr>
        <w:spacing w:after="0" w:line="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Other Benefits: </w:t>
      </w:r>
      <w:r>
        <w:rPr>
          <w:rFonts w:ascii="Arial" w:cs="Arial" w:eastAsia="Arial" w:hAnsi="Arial"/>
          <w:sz w:val="19"/>
          <w:szCs w:val="19"/>
          <w:color w:val="auto"/>
        </w:rPr>
        <w:t>We provide health and welfare benefits, including medical and dental coverage and life and long-term</w:t>
      </w:r>
      <w:r>
        <w:rPr>
          <w:rFonts w:ascii="Arial" w:cs="Arial" w:eastAsia="Arial" w:hAnsi="Arial"/>
          <w:sz w:val="19"/>
          <w:szCs w:val="19"/>
          <w:b w:val="1"/>
          <w:bCs w:val="1"/>
          <w:color w:val="auto"/>
        </w:rPr>
        <w:t xml:space="preserve"> </w:t>
      </w:r>
      <w:r>
        <w:rPr>
          <w:rFonts w:ascii="Arial" w:cs="Arial" w:eastAsia="Arial" w:hAnsi="Arial"/>
          <w:sz w:val="19"/>
          <w:szCs w:val="19"/>
          <w:color w:val="auto"/>
        </w:rPr>
        <w:t>disability insurance, which are available to our executive officers on the same terms as they are available to other employees. These benefits help us attract and retain talented employees and provide assistance to current employees and their families.</w:t>
      </w:r>
    </w:p>
    <w:p>
      <w:pPr>
        <w:spacing w:after="0" w:line="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provide limited perquisites to the named executive officers to assist them in carrying out their duties. These perquisites may include a car allowance and paid parking. The value of these benefits is included in the “All Other Compensation” column of the Summary Compensation Table.</w:t>
      </w:r>
    </w:p>
    <w:p>
      <w:pPr>
        <w:spacing w:after="0" w:line="13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Employment and Severance Arrangements: </w:t>
      </w:r>
      <w:r>
        <w:rPr>
          <w:rFonts w:ascii="Arial" w:cs="Arial" w:eastAsia="Arial" w:hAnsi="Arial"/>
          <w:sz w:val="19"/>
          <w:szCs w:val="19"/>
          <w:color w:val="auto"/>
        </w:rPr>
        <w:t>We do not generally enter into written employment or prospective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with our executive officers, nor do we have a prospective severance plan that covers any of our executive officers. Currently, our only provisions for benefits upon termination of employment or change in control are in existing compensation plans and apply to all participants in those plans. For example, our equity incentive plans contain provisions for immediate vesting of benefits upon change in control, retirement, disability or death. The Benefits Upon Termination or Change in Control Table contains additional information concerning benefits upon the termination of employment of the named executive officers.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19" w:right="239" w:bottom="1440" w:gutter="0" w:footer="0" w:header="0"/>
        </w:sectPr>
      </w:pPr>
    </w:p>
    <w:bookmarkStart w:id="44" w:name="page45"/>
    <w:bookmarkEnd w:id="44"/>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Long-Term Equity Incentives: </w:t>
      </w:r>
      <w:r>
        <w:rPr>
          <w:rFonts w:ascii="Arial" w:cs="Arial" w:eastAsia="Arial" w:hAnsi="Arial"/>
          <w:sz w:val="21"/>
          <w:szCs w:val="21"/>
          <w:color w:val="auto"/>
        </w:rPr>
        <w:t>We favor performance-based cash incentives under our annual incentive plan over the use</w:t>
      </w:r>
      <w:r>
        <w:rPr>
          <w:rFonts w:ascii="Arial" w:cs="Arial" w:eastAsia="Arial" w:hAnsi="Arial"/>
          <w:sz w:val="21"/>
          <w:szCs w:val="21"/>
          <w:b w:val="1"/>
          <w:bCs w:val="1"/>
          <w:color w:val="auto"/>
        </w:rPr>
        <w:t xml:space="preserve"> </w:t>
      </w:r>
      <w:r>
        <w:rPr>
          <w:rFonts w:ascii="Arial" w:cs="Arial" w:eastAsia="Arial" w:hAnsi="Arial"/>
          <w:sz w:val="21"/>
          <w:szCs w:val="21"/>
          <w:color w:val="auto"/>
        </w:rPr>
        <w:t>of equity incentive compensation. We continue to recognize, however, that long-term equity incentive compensation can be important in attracting and retaining key employees and outside directors. Equity incentives for our CEO have historically consisted of periodic, multi-year equity awards as well as annual restricted stock equity awards that mirror the value of the executive deferred bonus awards earned by our other executive officers that our CEO would have earned had he not requested to be excluded from the executive deferred bonus portion of our annual incentive plan.</w:t>
      </w:r>
    </w:p>
    <w:p>
      <w:pPr>
        <w:spacing w:after="0" w:line="1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made no equity awards to our named executive officers during fiscal 2015. See the “Fiscal 2015” section above for a description of the equity awards our Compensation Committee made at its September 9, 2015 meeting.</w:t>
      </w:r>
    </w:p>
    <w:p>
      <w:pPr>
        <w:spacing w:after="0" w:line="1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In addition, at its September 9, 2015 meeting, our Compensation Committee stated its current intention to grant to our CEO, at a meeting following the end of fiscal 2016, an award of restricted shares of Class B Stock under the terms of our 2006 Long Term Incentive Plan, if he would have received an executive deferred bonus award as a result of our corporate financial performance in fiscal 2016 had he been a participant in that portion of our annual incentive plan. (As was the case in fiscal years 2008 through 2015, Mr. Jaffee has requested that he not be eligible for an executive deferred bonus award in fiscal 2016.) If corporate financial performance for fiscal 2016 meets the performance threshold for an award, an award may be granted for fiscal 2016 performance. If an award is granted, we anticipate that the number of restricted shares awarded would be determined by dividing the value, if any, of an executive deferred bonus award each executive would have received under our annual incentive plan for fiscal 2016, had they each been participants in that portion of our annual incentive plan, by the average closing sale price of our Common Stock for the 30 trading days preceding the date of the grant (or other similar measure determined to be appropriate by our Compensation Committee).</w:t>
      </w:r>
    </w:p>
    <w:p>
      <w:pPr>
        <w:spacing w:after="0" w:line="1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Equity Grant Practices: </w:t>
      </w:r>
      <w:r>
        <w:rPr>
          <w:rFonts w:ascii="Arial" w:cs="Arial" w:eastAsia="Arial" w:hAnsi="Arial"/>
          <w:sz w:val="19"/>
          <w:szCs w:val="19"/>
          <w:color w:val="auto"/>
        </w:rPr>
        <w:t>We have a formal equity grant policy, adopted by our Board of Directors in 2007 and amended in</w:t>
      </w:r>
      <w:r>
        <w:rPr>
          <w:rFonts w:ascii="Arial" w:cs="Arial" w:eastAsia="Arial" w:hAnsi="Arial"/>
          <w:sz w:val="19"/>
          <w:szCs w:val="19"/>
          <w:b w:val="1"/>
          <w:bCs w:val="1"/>
          <w:color w:val="auto"/>
        </w:rPr>
        <w:t xml:space="preserve"> </w:t>
      </w:r>
      <w:r>
        <w:rPr>
          <w:rFonts w:ascii="Arial" w:cs="Arial" w:eastAsia="Arial" w:hAnsi="Arial"/>
          <w:sz w:val="19"/>
          <w:szCs w:val="19"/>
          <w:color w:val="auto"/>
        </w:rPr>
        <w:t>2012 and 2015, which provides that equity awards generally should be made by our Compensation Committee at a regularly scheduled meeting or by our CEO under limited authority granted to him. Our CEO may make grants of either stock options or restricted stock, but the total number of either stock options or shares of restricted stock that our CEO may grant is limited, and the maximum employee award is designated by the employee’s salary grade. Our CEO may generally make awards only four times each year, during the two-week period beginning the third business day following our quarterly earnings release. If the grant date is not an NYSE trading day, then the grant date will be the immediately preceding NYSE trading day.</w:t>
      </w:r>
    </w:p>
    <w:p>
      <w:pPr>
        <w:spacing w:after="0" w:line="1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Prior to the adoption of our formal policy, in the case of grants made by our Compensation Committee, the grant date has been determined in accordance with the requirements of Financial Accounting Standards Board Accounting Standards Codification Topic 718 (“ASC 718”). The exercise price has always been the closing sale price of our Common Stock on the date of grant.</w:t>
      </w:r>
    </w:p>
    <w:p>
      <w:pPr>
        <w:spacing w:after="0" w:line="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Stock Ownership Guidelines: </w:t>
      </w:r>
      <w:r>
        <w:rPr>
          <w:rFonts w:ascii="Arial" w:cs="Arial" w:eastAsia="Arial" w:hAnsi="Arial"/>
          <w:sz w:val="22"/>
          <w:szCs w:val="22"/>
          <w:color w:val="auto"/>
        </w:rPr>
        <w:t>We do not have guidelines or requirements for stock ownership by our executive officers or</w:t>
      </w:r>
      <w:r>
        <w:rPr>
          <w:rFonts w:ascii="Arial" w:cs="Arial" w:eastAsia="Arial" w:hAnsi="Arial"/>
          <w:sz w:val="22"/>
          <w:szCs w:val="22"/>
          <w:b w:val="1"/>
          <w:bCs w:val="1"/>
          <w:color w:val="auto"/>
        </w:rPr>
        <w:t xml:space="preserve"> </w:t>
      </w:r>
      <w:r>
        <w:rPr>
          <w:rFonts w:ascii="Arial" w:cs="Arial" w:eastAsia="Arial" w:hAnsi="Arial"/>
          <w:sz w:val="22"/>
          <w:szCs w:val="22"/>
          <w:color w:val="auto"/>
        </w:rPr>
        <w:t>our directors. See “Security Ownership of Management” below for information on beneficial ownership of our Common Stock and Class B Stock by our directors and executive officers.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7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Tax and Accounting Implications</w:t>
      </w:r>
    </w:p>
    <w:p>
      <w:pPr>
        <w:spacing w:after="0" w:line="17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Limitation on Tax Deductibility: </w:t>
      </w:r>
      <w:r>
        <w:rPr>
          <w:rFonts w:ascii="Arial" w:cs="Arial" w:eastAsia="Arial" w:hAnsi="Arial"/>
          <w:sz w:val="19"/>
          <w:szCs w:val="19"/>
          <w:color w:val="auto"/>
        </w:rPr>
        <w:t>Section 162(m) of the Code limits to $1 million the tax deduction we may take for</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paid to our CEO and the other named executive officers unless the compensation is “performance-based” and paid under a formal compensation plan that meets the Code’s requirements. Currently, certain awards made by our Compensation Committee do not qualify for the “performance-based” exception to the limitation on deductibility. Historically, Section 162(m) has not significantly affected our compensation philosophy, tax planning or financial reporting. To maintain flexibility, however, we have no policy requiring that all compensation paid to the named executive officers be fully deductible.</w:t>
      </w:r>
    </w:p>
    <w:p>
      <w:pPr>
        <w:spacing w:after="0" w:line="10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Nonqualified Deferred Compensation: </w:t>
      </w:r>
      <w:r>
        <w:rPr>
          <w:rFonts w:ascii="Arial" w:cs="Arial" w:eastAsia="Arial" w:hAnsi="Arial"/>
          <w:sz w:val="21"/>
          <w:szCs w:val="21"/>
          <w:color w:val="auto"/>
        </w:rPr>
        <w:t>We intend that all of our benefit plans comply with Section 409A of the Code. We</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and restated all of our benefit plans that include deferred compensation elements in compliance with Section 409A. We believe we have been operating in good faith with Section 409A since its January 1, 2005 effective date.</w:t>
      </w:r>
    </w:p>
    <w:p>
      <w:pPr>
        <w:spacing w:after="0" w:line="1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Accounting for Stock-Based Compensation: </w:t>
      </w:r>
      <w:r>
        <w:rPr>
          <w:rFonts w:ascii="Arial" w:cs="Arial" w:eastAsia="Arial" w:hAnsi="Arial"/>
          <w:sz w:val="22"/>
          <w:szCs w:val="22"/>
          <w:color w:val="auto"/>
        </w:rPr>
        <w:t>We account for stock-based payments under our equity incentive plans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ASC 718.</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74"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b w:val="1"/>
          <w:bCs w:val="1"/>
          <w:color w:val="auto"/>
        </w:rPr>
        <w:t>Report of the Compensation Committee of the Board of Directors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Compensation Committee reviewed and discussed with our management the foregoing Compensation Discussion and Analysis. Based on that review and discussion, the Compensation Committee recommended to the Board of Directors that the Compensation Discussion and Analysis be included in this Proxy Statement.</w:t>
      </w:r>
    </w:p>
    <w:p>
      <w:pPr>
        <w:spacing w:after="0" w:line="29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COMPENSATION COMMITTEE</w:t>
      </w:r>
    </w:p>
    <w:p>
      <w:pPr>
        <w:spacing w:after="0" w:line="36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Allan H. Selig, Chairman</w:t>
      </w:r>
    </w:p>
    <w:p>
      <w:pPr>
        <w:spacing w:after="0" w:line="4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Joseph C. Miller</w:t>
      </w:r>
    </w:p>
    <w:p>
      <w:pPr>
        <w:spacing w:after="0" w:line="4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Michael A. Nemeroff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7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Summary Compensation Table</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following table summarizes the total compensation earned by the named executive officers for services provided to the Company during the years detailed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Change in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p>
        </w:tc>
        <w:tc>
          <w:tcPr>
            <w:tcW w:w="7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3"/>
            <w:vMerge w:val="continue"/>
          </w:tcPr>
          <w:p>
            <w:pPr>
              <w:spacing w:after="0"/>
              <w:rPr>
                <w:sz w:val="12"/>
                <w:szCs w:val="12"/>
                <w:color w:val="auto"/>
              </w:rPr>
            </w:pPr>
          </w:p>
        </w:tc>
        <w:tc>
          <w:tcPr>
            <w:tcW w:w="7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7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61"/>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S. Jaffee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563,875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197,356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201,544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46,851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1,009,626</w:t>
            </w:r>
          </w:p>
        </w:tc>
        <w:tc>
          <w:tcPr>
            <w:tcW w:w="0" w:type="dxa"/>
            <w:vAlign w:val="bottom"/>
          </w:tcPr>
          <w:p>
            <w:pPr>
              <w:spacing w:after="0"/>
              <w:rPr>
                <w:sz w:val="1"/>
                <w:szCs w:val="1"/>
                <w:color w:val="auto"/>
              </w:rPr>
            </w:pP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President and Chief</w:t>
            </w:r>
          </w:p>
        </w:tc>
        <w:tc>
          <w:tcPr>
            <w:tcW w:w="580" w:type="dxa"/>
            <w:vAlign w:val="bottom"/>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0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244,325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58,449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854,774</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Executive Officer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525,000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249,543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1,317,471</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T. Smith</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225,833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343,429</w:t>
            </w:r>
          </w:p>
        </w:tc>
        <w:tc>
          <w:tcPr>
            <w:tcW w:w="0" w:type="dxa"/>
            <w:vAlign w:val="bottom"/>
          </w:tcPr>
          <w:p>
            <w:pPr>
              <w:spacing w:after="0"/>
              <w:rPr>
                <w:sz w:val="1"/>
                <w:szCs w:val="1"/>
                <w:color w:val="auto"/>
              </w:rPr>
            </w:pP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Vice President, Chief</w:t>
            </w:r>
          </w:p>
        </w:tc>
        <w:tc>
          <w:tcPr>
            <w:tcW w:w="580" w:type="dxa"/>
            <w:vAlign w:val="bottom"/>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00"/>
              <w:spacing w:after="0"/>
              <w:rPr>
                <w:sz w:val="20"/>
                <w:szCs w:val="20"/>
                <w:color w:val="auto"/>
              </w:rPr>
            </w:pPr>
            <w:r>
              <w:rPr>
                <w:rFonts w:ascii="Arial" w:cs="Arial" w:eastAsia="Arial" w:hAnsi="Arial"/>
                <w:sz w:val="16"/>
                <w:szCs w:val="16"/>
                <w:color w:val="auto"/>
              </w:rPr>
              <w:t>212,500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34,331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14,482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263,313</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Financial Officer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201,667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221,833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460,268</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F. Cofsky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254,000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407,606</w:t>
            </w:r>
          </w:p>
        </w:tc>
        <w:tc>
          <w:tcPr>
            <w:tcW w:w="0" w:type="dxa"/>
            <w:vAlign w:val="bottom"/>
          </w:tcPr>
          <w:p>
            <w:pPr>
              <w:spacing w:after="0"/>
              <w:rPr>
                <w:sz w:val="1"/>
                <w:szCs w:val="1"/>
                <w:color w:val="auto"/>
              </w:rPr>
            </w:pP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Vice President of</w:t>
            </w:r>
          </w:p>
        </w:tc>
        <w:tc>
          <w:tcPr>
            <w:tcW w:w="580" w:type="dxa"/>
            <w:vAlign w:val="bottom"/>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00"/>
              <w:spacing w:after="0"/>
              <w:rPr>
                <w:sz w:val="20"/>
                <w:szCs w:val="20"/>
                <w:color w:val="auto"/>
              </w:rPr>
            </w:pPr>
            <w:r>
              <w:rPr>
                <w:rFonts w:ascii="Arial" w:cs="Arial" w:eastAsia="Arial" w:hAnsi="Arial"/>
                <w:sz w:val="16"/>
                <w:szCs w:val="16"/>
                <w:color w:val="auto"/>
              </w:rPr>
              <w:t>253,667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97,365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21,776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374,808</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Manufacturing - Industrial</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249,167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199,333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592,056</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Douglas A. Graham</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225,000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312,873</w:t>
            </w:r>
          </w:p>
        </w:tc>
        <w:tc>
          <w:tcPr>
            <w:tcW w:w="0" w:type="dxa"/>
            <w:vAlign w:val="bottom"/>
          </w:tcPr>
          <w:p>
            <w:pPr>
              <w:spacing w:after="0"/>
              <w:rPr>
                <w:sz w:val="1"/>
                <w:szCs w:val="1"/>
                <w:color w:val="auto"/>
              </w:rPr>
            </w:pP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Vice President, General</w:t>
            </w:r>
          </w:p>
        </w:tc>
        <w:tc>
          <w:tcPr>
            <w:tcW w:w="580" w:type="dxa"/>
            <w:vAlign w:val="bottom"/>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00"/>
              <w:spacing w:after="0"/>
              <w:rPr>
                <w:sz w:val="20"/>
                <w:szCs w:val="20"/>
                <w:color w:val="auto"/>
              </w:rPr>
            </w:pPr>
            <w:r>
              <w:rPr>
                <w:rFonts w:ascii="Arial" w:cs="Arial" w:eastAsia="Arial" w:hAnsi="Arial"/>
                <w:sz w:val="16"/>
                <w:szCs w:val="16"/>
                <w:color w:val="auto"/>
              </w:rPr>
              <w:t>205,000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35,160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16,732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15,326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274,218</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Counsel and Secretary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197,500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403,383</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 E. Lewry (5)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497,050</w:t>
            </w:r>
          </w:p>
        </w:tc>
        <w:tc>
          <w:tcPr>
            <w:tcW w:w="0" w:type="dxa"/>
            <w:vAlign w:val="bottom"/>
          </w:tcPr>
          <w:p>
            <w:pPr>
              <w:spacing w:after="0"/>
              <w:rPr>
                <w:sz w:val="1"/>
                <w:szCs w:val="1"/>
                <w:color w:val="auto"/>
              </w:rPr>
            </w:pP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Chief Operating</w:t>
            </w:r>
          </w:p>
        </w:tc>
        <w:tc>
          <w:tcPr>
            <w:tcW w:w="580" w:type="dxa"/>
            <w:vAlign w:val="bottom"/>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00"/>
              <w:spacing w:after="0"/>
              <w:rPr>
                <w:sz w:val="20"/>
                <w:szCs w:val="20"/>
                <w:color w:val="auto"/>
              </w:rPr>
            </w:pPr>
            <w:r>
              <w:rPr>
                <w:rFonts w:ascii="Arial" w:cs="Arial" w:eastAsia="Arial" w:hAnsi="Arial"/>
                <w:sz w:val="16"/>
                <w:szCs w:val="16"/>
                <w:color w:val="auto"/>
              </w:rPr>
              <w:t>101,154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403,080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512,417</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Officer</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8"/>
        <w:spacing w:after="0" w:line="246" w:lineRule="auto"/>
        <w:tabs>
          <w:tab w:leader="none" w:pos="469"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amounts reported reflect the grant date fair value of awards computed in accordance with ASC 718. For stock awards, the grant date fair value is the number of shares granted multiplied by the closing price of our Common Stock on the award date. For option awards, the grant date fair value is the number of shares granted multiplied by the Black Scholes value. The assumptions used in the Black Scholes calculation are disclosed in the notes to our audited consolidated financial statements included in our Annual Report on Form 10-K for fiscal 2015. The grant date fair value of an award reflects the accounting expense and may not represent the actual value that will be realized. There were no new option awards to the named executive officers during fiscal 2015.</w:t>
      </w:r>
    </w:p>
    <w:p>
      <w:pPr>
        <w:spacing w:after="0" w:line="291" w:lineRule="exact"/>
        <w:rPr>
          <w:rFonts w:ascii="Arial" w:cs="Arial" w:eastAsia="Arial" w:hAnsi="Arial"/>
          <w:sz w:val="22"/>
          <w:szCs w:val="22"/>
          <w:color w:val="auto"/>
        </w:rPr>
      </w:pPr>
    </w:p>
    <w:p>
      <w:pPr>
        <w:jc w:val="both"/>
        <w:ind w:firstLine="8"/>
        <w:spacing w:after="0" w:line="263" w:lineRule="auto"/>
        <w:tabs>
          <w:tab w:leader="none" w:pos="551"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2015 amounts reflect awards of 70% of target cash bonuses and 0% of executive deferred bonuses under our annual incentive plan for fiscal 2015. Cash bonuses earned are paid following completion of the specified fiscal year. Executive deferred bonuses are awarded based on performance during the specified fiscal year and generally vest (become payable) according to a vesting schedule established by our Compensation Committee for each fiscal year’s award as described under “Compensation Discussion and Analysis – Annual and Deferred Incentive Compensation.”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74" w:right="239" w:bottom="1440" w:gutter="0" w:footer="0" w:header="0"/>
        </w:sectPr>
      </w:pPr>
    </w:p>
    <w:bookmarkStart w:id="48" w:name="page49"/>
    <w:bookmarkEnd w:id="48"/>
    <w:p>
      <w:pPr>
        <w:spacing w:after="0"/>
        <w:tabs>
          <w:tab w:leader="none" w:pos="4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The amounts shown in this column for fiscal 2015 are described in the following table:</w:t>
      </w:r>
    </w:p>
    <w:p>
      <w:pPr>
        <w:spacing w:after="0" w:line="326"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8580" w:type="dxa"/>
            <w:vAlign w:val="bottom"/>
            <w:gridSpan w:val="9"/>
          </w:tcPr>
          <w:p>
            <w:pPr>
              <w:ind w:left="1480"/>
              <w:spacing w:after="0"/>
              <w:rPr>
                <w:sz w:val="20"/>
                <w:szCs w:val="20"/>
                <w:color w:val="auto"/>
              </w:rPr>
            </w:pPr>
            <w:r>
              <w:rPr>
                <w:rFonts w:ascii="Arial" w:cs="Arial" w:eastAsia="Arial" w:hAnsi="Arial"/>
                <w:sz w:val="20"/>
                <w:szCs w:val="20"/>
                <w:b w:val="1"/>
                <w:bCs w:val="1"/>
                <w:color w:val="auto"/>
                <w:w w:val="89"/>
              </w:rPr>
              <w:t>Change in Pension Value and Nonqualified Deferred Compensation Earnings Table</w:t>
            </w:r>
          </w:p>
        </w:tc>
        <w:tc>
          <w:tcPr>
            <w:tcW w:w="1420" w:type="dxa"/>
            <w:vAlign w:val="bottom"/>
          </w:tcPr>
          <w:p>
            <w:pPr>
              <w:spacing w:after="0"/>
              <w:rPr>
                <w:sz w:val="22"/>
                <w:szCs w:val="22"/>
                <w:color w:val="auto"/>
              </w:rPr>
            </w:pPr>
          </w:p>
        </w:tc>
      </w:tr>
      <w:tr>
        <w:trPr>
          <w:trHeight w:val="365"/>
        </w:trPr>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2"/>
          </w:tcPr>
          <w:p>
            <w:pPr>
              <w:jc w:val="center"/>
              <w:ind w:right="520"/>
              <w:spacing w:after="0"/>
              <w:rPr>
                <w:sz w:val="20"/>
                <w:szCs w:val="20"/>
                <w:color w:val="auto"/>
              </w:rPr>
            </w:pPr>
            <w:r>
              <w:rPr>
                <w:rFonts w:ascii="Arial" w:cs="Arial" w:eastAsia="Arial" w:hAnsi="Arial"/>
                <w:sz w:val="20"/>
                <w:szCs w:val="20"/>
                <w:b w:val="1"/>
                <w:bCs w:val="1"/>
                <w:color w:val="auto"/>
                <w:w w:val="90"/>
              </w:rPr>
              <w:t>Nonqualified Deferred</w:t>
            </w: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0"/>
        </w:trPr>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3"/>
          </w:tcPr>
          <w:p>
            <w:pPr>
              <w:jc w:val="center"/>
              <w:ind w:right="320"/>
              <w:spacing w:after="0"/>
              <w:rPr>
                <w:sz w:val="20"/>
                <w:szCs w:val="20"/>
                <w:color w:val="auto"/>
              </w:rPr>
            </w:pPr>
            <w:r>
              <w:rPr>
                <w:rFonts w:ascii="Arial" w:cs="Arial" w:eastAsia="Arial" w:hAnsi="Arial"/>
                <w:sz w:val="20"/>
                <w:szCs w:val="20"/>
                <w:b w:val="1"/>
                <w:bCs w:val="1"/>
                <w:color w:val="auto"/>
                <w:w w:val="87"/>
              </w:rPr>
              <w:t>Change in Pension Value</w:t>
            </w:r>
          </w:p>
        </w:tc>
        <w:tc>
          <w:tcPr>
            <w:tcW w:w="240" w:type="dxa"/>
            <w:vAlign w:val="bottom"/>
          </w:tcPr>
          <w:p>
            <w:pPr>
              <w:spacing w:after="0"/>
              <w:rPr>
                <w:sz w:val="19"/>
                <w:szCs w:val="19"/>
                <w:color w:val="auto"/>
              </w:rPr>
            </w:pPr>
          </w:p>
        </w:tc>
        <w:tc>
          <w:tcPr>
            <w:tcW w:w="2780" w:type="dxa"/>
            <w:vAlign w:val="bottom"/>
            <w:gridSpan w:val="2"/>
          </w:tcPr>
          <w:p>
            <w:pPr>
              <w:jc w:val="center"/>
              <w:ind w:right="500"/>
              <w:spacing w:after="0"/>
              <w:rPr>
                <w:sz w:val="20"/>
                <w:szCs w:val="20"/>
                <w:color w:val="auto"/>
              </w:rPr>
            </w:pPr>
            <w:r>
              <w:rPr>
                <w:rFonts w:ascii="Arial" w:cs="Arial" w:eastAsia="Arial" w:hAnsi="Arial"/>
                <w:sz w:val="20"/>
                <w:szCs w:val="20"/>
                <w:b w:val="1"/>
                <w:bCs w:val="1"/>
                <w:color w:val="auto"/>
                <w:w w:val="88"/>
              </w:rPr>
              <w:t>Compensation Earnings</w:t>
            </w:r>
          </w:p>
        </w:tc>
        <w:tc>
          <w:tcPr>
            <w:tcW w:w="8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jc w:val="center"/>
              <w:ind w:right="441"/>
              <w:spacing w:after="0"/>
              <w:rPr>
                <w:sz w:val="20"/>
                <w:szCs w:val="20"/>
                <w:color w:val="auto"/>
              </w:rPr>
            </w:pPr>
            <w:r>
              <w:rPr>
                <w:rFonts w:ascii="Arial" w:cs="Arial" w:eastAsia="Arial" w:hAnsi="Arial"/>
                <w:sz w:val="20"/>
                <w:szCs w:val="20"/>
                <w:b w:val="1"/>
                <w:bCs w:val="1"/>
                <w:color w:val="auto"/>
                <w:w w:val="97"/>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tcPr>
          <w:p>
            <w:pPr>
              <w:jc w:val="center"/>
              <w:ind w:right="121"/>
              <w:spacing w:after="0"/>
              <w:rPr>
                <w:sz w:val="20"/>
                <w:szCs w:val="20"/>
                <w:color w:val="auto"/>
              </w:rPr>
            </w:pPr>
            <w:r>
              <w:rPr>
                <w:rFonts w:ascii="Arial" w:cs="Arial" w:eastAsia="Arial" w:hAnsi="Arial"/>
                <w:sz w:val="20"/>
                <w:szCs w:val="20"/>
                <w:b w:val="1"/>
                <w:bCs w:val="1"/>
                <w:color w:val="auto"/>
                <w:w w:val="89"/>
              </w:rPr>
              <w:t>($)</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6"/>
        </w:trPr>
        <w:tc>
          <w:tcPr>
            <w:tcW w:w="2260" w:type="dxa"/>
            <w:vAlign w:val="bottom"/>
            <w:gridSpan w:val="2"/>
          </w:tcPr>
          <w:p>
            <w:pPr>
              <w:ind w:left="20"/>
              <w:spacing w:after="0"/>
              <w:rPr>
                <w:sz w:val="20"/>
                <w:szCs w:val="20"/>
                <w:color w:val="auto"/>
              </w:rPr>
            </w:pPr>
            <w:r>
              <w:rPr>
                <w:rFonts w:ascii="Arial" w:cs="Arial" w:eastAsia="Arial" w:hAnsi="Arial"/>
                <w:sz w:val="20"/>
                <w:szCs w:val="20"/>
                <w:b w:val="1"/>
                <w:bCs w:val="1"/>
                <w:color w:val="auto"/>
              </w:rPr>
              <w:t>Name</w:t>
            </w:r>
          </w:p>
        </w:tc>
        <w:tc>
          <w:tcPr>
            <w:tcW w:w="540" w:type="dxa"/>
            <w:vAlign w:val="bottom"/>
          </w:tcPr>
          <w:p>
            <w:pPr>
              <w:spacing w:after="0"/>
              <w:rPr>
                <w:sz w:val="22"/>
                <w:szCs w:val="22"/>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20"/>
                <w:szCs w:val="20"/>
                <w:b w:val="1"/>
                <w:bCs w:val="1"/>
                <w:color w:val="auto"/>
              </w:rPr>
              <w:t>(A)</w:t>
            </w:r>
          </w:p>
        </w:tc>
        <w:tc>
          <w:tcPr>
            <w:tcW w:w="240" w:type="dxa"/>
            <w:vAlign w:val="bottom"/>
          </w:tcPr>
          <w:p>
            <w:pPr>
              <w:spacing w:after="0"/>
              <w:rPr>
                <w:sz w:val="22"/>
                <w:szCs w:val="22"/>
                <w:color w:val="auto"/>
              </w:rPr>
            </w:pPr>
          </w:p>
        </w:tc>
        <w:tc>
          <w:tcPr>
            <w:tcW w:w="2780" w:type="dxa"/>
            <w:vAlign w:val="bottom"/>
            <w:gridSpan w:val="2"/>
          </w:tcPr>
          <w:p>
            <w:pPr>
              <w:jc w:val="center"/>
              <w:ind w:right="520"/>
              <w:spacing w:after="0"/>
              <w:rPr>
                <w:sz w:val="20"/>
                <w:szCs w:val="20"/>
                <w:color w:val="auto"/>
              </w:rPr>
            </w:pPr>
            <w:r>
              <w:rPr>
                <w:rFonts w:ascii="Arial" w:cs="Arial" w:eastAsia="Arial" w:hAnsi="Arial"/>
                <w:sz w:val="20"/>
                <w:szCs w:val="20"/>
                <w:b w:val="1"/>
                <w:bCs w:val="1"/>
                <w:color w:val="auto"/>
                <w:w w:val="93"/>
              </w:rPr>
              <w:t>(B)</w:t>
            </w:r>
          </w:p>
        </w:tc>
        <w:tc>
          <w:tcPr>
            <w:tcW w:w="800" w:type="dxa"/>
            <w:vAlign w:val="bottom"/>
          </w:tcPr>
          <w:p>
            <w:pPr>
              <w:spacing w:after="0"/>
              <w:rPr>
                <w:sz w:val="22"/>
                <w:szCs w:val="22"/>
                <w:color w:val="auto"/>
              </w:rPr>
            </w:pPr>
          </w:p>
        </w:tc>
        <w:tc>
          <w:tcPr>
            <w:tcW w:w="1420" w:type="dxa"/>
            <w:vAlign w:val="bottom"/>
          </w:tcPr>
          <w:p>
            <w:pPr>
              <w:jc w:val="right"/>
              <w:ind w:right="801"/>
              <w:spacing w:after="0"/>
              <w:rPr>
                <w:sz w:val="20"/>
                <w:szCs w:val="20"/>
                <w:color w:val="auto"/>
              </w:rPr>
            </w:pPr>
            <w:r>
              <w:rPr>
                <w:rFonts w:ascii="Arial" w:cs="Arial" w:eastAsia="Arial" w:hAnsi="Arial"/>
                <w:sz w:val="20"/>
                <w:szCs w:val="20"/>
                <w:b w:val="1"/>
                <w:bCs w:val="1"/>
                <w:color w:val="auto"/>
              </w:rPr>
              <w:t>Total</w:t>
            </w:r>
          </w:p>
        </w:tc>
      </w:tr>
      <w:tr>
        <w:trPr>
          <w:trHeight w:val="23"/>
        </w:trPr>
        <w:tc>
          <w:tcPr>
            <w:tcW w:w="19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2260" w:type="dxa"/>
            <w:vAlign w:val="bottom"/>
            <w:gridSpan w:val="2"/>
          </w:tcPr>
          <w:p>
            <w:pPr>
              <w:ind w:left="20"/>
              <w:spacing w:after="0"/>
              <w:rPr>
                <w:sz w:val="20"/>
                <w:szCs w:val="20"/>
                <w:color w:val="auto"/>
              </w:rPr>
            </w:pPr>
            <w:r>
              <w:rPr>
                <w:rFonts w:ascii="Arial" w:cs="Arial" w:eastAsia="Arial" w:hAnsi="Arial"/>
                <w:sz w:val="20"/>
                <w:szCs w:val="20"/>
                <w:color w:val="auto"/>
              </w:rPr>
              <w:t>Daniel S. Jaffee</w:t>
            </w:r>
          </w:p>
        </w:tc>
        <w:tc>
          <w:tcPr>
            <w:tcW w:w="540" w:type="dxa"/>
            <w:vAlign w:val="bottom"/>
          </w:tcPr>
          <w:p>
            <w:pPr>
              <w:jc w:val="right"/>
              <w:ind w:right="321"/>
              <w:spacing w:after="0"/>
              <w:rPr>
                <w:sz w:val="20"/>
                <w:szCs w:val="20"/>
                <w:color w:val="auto"/>
              </w:rPr>
            </w:pPr>
            <w:r>
              <w:rPr>
                <w:rFonts w:ascii="Arial" w:cs="Arial" w:eastAsia="Arial" w:hAnsi="Arial"/>
                <w:sz w:val="20"/>
                <w:szCs w:val="20"/>
                <w:color w:val="auto"/>
                <w:w w:val="89"/>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189,539</w:t>
            </w:r>
          </w:p>
        </w:tc>
        <w:tc>
          <w:tcPr>
            <w:tcW w:w="3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12,005</w:t>
            </w:r>
          </w:p>
        </w:tc>
        <w:tc>
          <w:tcPr>
            <w:tcW w:w="300" w:type="dxa"/>
            <w:vAlign w:val="bottom"/>
          </w:tcPr>
          <w:p>
            <w:pPr>
              <w:spacing w:after="0"/>
              <w:rPr>
                <w:sz w:val="22"/>
                <w:szCs w:val="22"/>
                <w:color w:val="auto"/>
              </w:rPr>
            </w:pPr>
          </w:p>
        </w:tc>
        <w:tc>
          <w:tcPr>
            <w:tcW w:w="800" w:type="dxa"/>
            <w:vAlign w:val="bottom"/>
          </w:tcPr>
          <w:p>
            <w:pPr>
              <w:jc w:val="right"/>
              <w:ind w:right="58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201,544</w:t>
            </w:r>
          </w:p>
        </w:tc>
      </w:tr>
      <w:tr>
        <w:trPr>
          <w:trHeight w:val="2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Daniel T. Smith</w:t>
            </w:r>
          </w:p>
        </w:tc>
        <w:tc>
          <w:tcPr>
            <w:tcW w:w="54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20"/>
                <w:szCs w:val="20"/>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39,858</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248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20"/>
                <w:szCs w:val="20"/>
                <w:color w:val="auto"/>
              </w:rPr>
              <w:t>11,054</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50,912</w:t>
            </w:r>
          </w:p>
        </w:tc>
      </w:tr>
      <w:tr>
        <w:trPr>
          <w:trHeight w:val="261"/>
        </w:trPr>
        <w:tc>
          <w:tcPr>
            <w:tcW w:w="2260" w:type="dxa"/>
            <w:vAlign w:val="bottom"/>
            <w:gridSpan w:val="2"/>
          </w:tcPr>
          <w:p>
            <w:pPr>
              <w:ind w:left="20"/>
              <w:spacing w:after="0"/>
              <w:rPr>
                <w:sz w:val="20"/>
                <w:szCs w:val="20"/>
                <w:color w:val="auto"/>
              </w:rPr>
            </w:pPr>
            <w:r>
              <w:rPr>
                <w:rFonts w:ascii="Arial" w:cs="Arial" w:eastAsia="Arial" w:hAnsi="Arial"/>
                <w:sz w:val="20"/>
                <w:szCs w:val="20"/>
                <w:color w:val="auto"/>
              </w:rPr>
              <w:t>Thomas F. Cofsky</w:t>
            </w:r>
          </w:p>
        </w:tc>
        <w:tc>
          <w:tcPr>
            <w:tcW w:w="540" w:type="dxa"/>
            <w:vAlign w:val="bottom"/>
          </w:tcPr>
          <w:p>
            <w:pPr>
              <w:jc w:val="right"/>
              <w:ind w:right="321"/>
              <w:spacing w:after="0"/>
              <w:rPr>
                <w:sz w:val="20"/>
                <w:szCs w:val="20"/>
                <w:color w:val="auto"/>
              </w:rPr>
            </w:pPr>
            <w:r>
              <w:rPr>
                <w:rFonts w:ascii="Arial" w:cs="Arial" w:eastAsia="Arial" w:hAnsi="Arial"/>
                <w:sz w:val="20"/>
                <w:szCs w:val="20"/>
                <w:color w:val="auto"/>
                <w:w w:val="89"/>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58,664</w:t>
            </w:r>
          </w:p>
        </w:tc>
        <w:tc>
          <w:tcPr>
            <w:tcW w:w="3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11,717</w:t>
            </w:r>
          </w:p>
        </w:tc>
        <w:tc>
          <w:tcPr>
            <w:tcW w:w="300" w:type="dxa"/>
            <w:vAlign w:val="bottom"/>
          </w:tcPr>
          <w:p>
            <w:pPr>
              <w:spacing w:after="0"/>
              <w:rPr>
                <w:sz w:val="22"/>
                <w:szCs w:val="22"/>
                <w:color w:val="auto"/>
              </w:rPr>
            </w:pPr>
          </w:p>
        </w:tc>
        <w:tc>
          <w:tcPr>
            <w:tcW w:w="800" w:type="dxa"/>
            <w:vAlign w:val="bottom"/>
          </w:tcPr>
          <w:p>
            <w:pPr>
              <w:jc w:val="right"/>
              <w:ind w:right="58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70,381</w:t>
            </w:r>
          </w:p>
        </w:tc>
      </w:tr>
      <w:tr>
        <w:trPr>
          <w:trHeight w:val="2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Douglas A. Graham</w:t>
            </w:r>
          </w:p>
        </w:tc>
        <w:tc>
          <w:tcPr>
            <w:tcW w:w="54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20"/>
                <w:szCs w:val="20"/>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17,374</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248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20"/>
                <w:szCs w:val="20"/>
                <w:color w:val="auto"/>
              </w:rPr>
              <w:t>1,948</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19,322</w:t>
            </w:r>
          </w:p>
        </w:tc>
      </w:tr>
      <w:tr>
        <w:trPr>
          <w:trHeight w:val="261"/>
        </w:trPr>
        <w:tc>
          <w:tcPr>
            <w:tcW w:w="2260" w:type="dxa"/>
            <w:vAlign w:val="bottom"/>
            <w:gridSpan w:val="2"/>
          </w:tcPr>
          <w:p>
            <w:pPr>
              <w:ind w:left="20"/>
              <w:spacing w:after="0"/>
              <w:rPr>
                <w:sz w:val="20"/>
                <w:szCs w:val="20"/>
                <w:color w:val="auto"/>
              </w:rPr>
            </w:pPr>
            <w:r>
              <w:rPr>
                <w:rFonts w:ascii="Arial" w:cs="Arial" w:eastAsia="Arial" w:hAnsi="Arial"/>
                <w:sz w:val="20"/>
                <w:szCs w:val="20"/>
                <w:color w:val="auto"/>
              </w:rPr>
              <w:t>Mark E. Lewry</w:t>
            </w:r>
          </w:p>
        </w:tc>
        <w:tc>
          <w:tcPr>
            <w:tcW w:w="540" w:type="dxa"/>
            <w:vAlign w:val="bottom"/>
          </w:tcPr>
          <w:p>
            <w:pPr>
              <w:jc w:val="right"/>
              <w:ind w:right="321"/>
              <w:spacing w:after="0"/>
              <w:rPr>
                <w:sz w:val="20"/>
                <w:szCs w:val="20"/>
                <w:color w:val="auto"/>
              </w:rPr>
            </w:pPr>
            <w:r>
              <w:rPr>
                <w:rFonts w:ascii="Arial" w:cs="Arial" w:eastAsia="Arial" w:hAnsi="Arial"/>
                <w:sz w:val="20"/>
                <w:szCs w:val="20"/>
                <w:color w:val="auto"/>
                <w:w w:val="89"/>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23,621</w:t>
            </w:r>
          </w:p>
        </w:tc>
        <w:tc>
          <w:tcPr>
            <w:tcW w:w="3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2780" w:type="dxa"/>
            <w:vAlign w:val="bottom"/>
            <w:gridSpan w:val="2"/>
          </w:tcPr>
          <w:p>
            <w:pPr>
              <w:ind w:left="1680"/>
              <w:spacing w:after="0"/>
              <w:rPr>
                <w:sz w:val="20"/>
                <w:szCs w:val="20"/>
                <w:color w:val="auto"/>
              </w:rPr>
            </w:pPr>
            <w:r>
              <w:rPr>
                <w:rFonts w:ascii="Arial" w:cs="Arial" w:eastAsia="Arial" w:hAnsi="Arial"/>
                <w:sz w:val="20"/>
                <w:szCs w:val="20"/>
                <w:color w:val="auto"/>
              </w:rPr>
              <w:t>— (C)</w:t>
            </w:r>
          </w:p>
        </w:tc>
        <w:tc>
          <w:tcPr>
            <w:tcW w:w="800" w:type="dxa"/>
            <w:vAlign w:val="bottom"/>
          </w:tcPr>
          <w:p>
            <w:pPr>
              <w:jc w:val="right"/>
              <w:ind w:right="58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23,621</w:t>
            </w:r>
          </w:p>
        </w:tc>
      </w:tr>
    </w:tbl>
    <w:p>
      <w:pPr>
        <w:spacing w:after="0" w:line="191" w:lineRule="exact"/>
        <w:rPr>
          <w:sz w:val="20"/>
          <w:szCs w:val="20"/>
          <w:color w:val="auto"/>
        </w:rPr>
      </w:pPr>
    </w:p>
    <w:p>
      <w:pPr>
        <w:jc w:val="both"/>
        <w:ind w:left="660" w:right="20" w:hanging="4"/>
        <w:spacing w:after="0" w:line="253" w:lineRule="auto"/>
        <w:tabs>
          <w:tab w:leader="none" w:pos="1234"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amounts shown include the change in the actuarial present value of benefits under our pension plan during the fiscal year. For Messrs. Jaffee and Lewry, the amounts shown also include the change in the actuarial present value of benefits under our SERP.</w:t>
      </w:r>
    </w:p>
    <w:p>
      <w:pPr>
        <w:spacing w:after="0" w:line="320" w:lineRule="exact"/>
        <w:rPr>
          <w:rFonts w:ascii="Arial" w:cs="Arial" w:eastAsia="Arial" w:hAnsi="Arial"/>
          <w:sz w:val="22"/>
          <w:szCs w:val="22"/>
          <w:color w:val="auto"/>
        </w:rPr>
      </w:pPr>
    </w:p>
    <w:p>
      <w:pPr>
        <w:ind w:left="1260" w:hanging="604"/>
        <w:spacing w:after="0"/>
        <w:tabs>
          <w:tab w:leader="none" w:pos="1260"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amount shown for Mr. Jaffee represents earnings from our executive deferred compensation plan that exceed</w:t>
      </w:r>
    </w:p>
    <w:p>
      <w:pPr>
        <w:spacing w:after="0" w:line="56" w:lineRule="exact"/>
        <w:rPr>
          <w:rFonts w:ascii="Arial" w:cs="Arial" w:eastAsia="Arial" w:hAnsi="Arial"/>
          <w:sz w:val="19"/>
          <w:szCs w:val="19"/>
          <w:color w:val="auto"/>
        </w:rPr>
      </w:pPr>
    </w:p>
    <w:p>
      <w:pPr>
        <w:jc w:val="both"/>
        <w:ind w:left="660"/>
        <w:spacing w:after="0" w:line="302" w:lineRule="auto"/>
        <w:rPr>
          <w:rFonts w:ascii="Arial" w:cs="Arial" w:eastAsia="Arial" w:hAnsi="Arial"/>
          <w:sz w:val="19"/>
          <w:szCs w:val="19"/>
          <w:color w:val="auto"/>
        </w:rPr>
      </w:pPr>
      <w:r>
        <w:rPr>
          <w:rFonts w:ascii="Arial" w:cs="Arial" w:eastAsia="Arial" w:hAnsi="Arial"/>
          <w:sz w:val="19"/>
          <w:szCs w:val="19"/>
          <w:color w:val="auto"/>
        </w:rPr>
        <w:t>120% of the applicable federal rate. The amounts shown for Messrs. Smith, Cofsky and Graham each represent earnings from our executive deferred compensation plan and, for Mr. Smith and Graham, also include earnings from the executive deferred bonus portion of our annual incentive plan that exceed 120% of the applicable federal rate.</w:t>
      </w:r>
    </w:p>
    <w:p>
      <w:pPr>
        <w:spacing w:after="0" w:line="278" w:lineRule="exact"/>
        <w:rPr>
          <w:rFonts w:ascii="Arial" w:cs="Arial" w:eastAsia="Arial" w:hAnsi="Arial"/>
          <w:sz w:val="19"/>
          <w:szCs w:val="19"/>
          <w:color w:val="auto"/>
        </w:rPr>
      </w:pPr>
    </w:p>
    <w:p>
      <w:pPr>
        <w:jc w:val="both"/>
        <w:ind w:left="660" w:hanging="4"/>
        <w:spacing w:after="0" w:line="253" w:lineRule="auto"/>
        <w:tabs>
          <w:tab w:leader="none" w:pos="1268"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amount shown for Mr. Lewry is zero because he did not elect to defer any compensation into our executive deferred compensation plan and did not have any earnings on prior year awards from the executive deferred bonus portion of our annual incentive plan.</w:t>
      </w:r>
    </w:p>
    <w:p>
      <w:pPr>
        <w:spacing w:after="0" w:line="145" w:lineRule="exact"/>
        <w:rPr>
          <w:rFonts w:ascii="Arial" w:cs="Arial" w:eastAsia="Arial" w:hAnsi="Arial"/>
          <w:sz w:val="22"/>
          <w:szCs w:val="22"/>
          <w:color w:val="auto"/>
        </w:rPr>
      </w:pPr>
    </w:p>
    <w:p>
      <w:pPr>
        <w:ind w:left="480" w:hanging="472"/>
        <w:spacing w:after="0"/>
        <w:tabs>
          <w:tab w:leader="none" w:pos="4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amounts shown in this column for fiscal 2015 are described in the following table:</w:t>
      </w:r>
    </w:p>
    <w:p>
      <w:pPr>
        <w:spacing w:after="0" w:line="33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All Other Compensation Table</w:t>
      </w:r>
    </w:p>
    <w:p>
      <w:pPr>
        <w:spacing w:after="0" w:line="68"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Dividends on</w:t>
            </w: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Unvested</w:t>
            </w:r>
          </w:p>
        </w:tc>
        <w:tc>
          <w:tcPr>
            <w:tcW w:w="18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4"/>
              </w:rPr>
              <w:t>Interest Earned</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401(k) Plan</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Restricted</w:t>
            </w:r>
          </w:p>
        </w:tc>
        <w:tc>
          <w:tcPr>
            <w:tcW w:w="18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1"/>
              </w:rPr>
              <w:t>on Executive</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Company</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Perquisites</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8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1"/>
              </w:rPr>
              <w:t>Deferred Bonus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Matching</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Post-Termination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78"/>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Contributions</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Compensation</w:t>
            </w:r>
          </w:p>
        </w:tc>
        <w:tc>
          <w:tcPr>
            <w:tcW w:w="2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r>
      <w:tr>
        <w:trPr>
          <w:trHeight w:val="210"/>
        </w:trPr>
        <w:tc>
          <w:tcPr>
            <w:tcW w:w="20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(A)</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(B)</w:t>
            </w:r>
          </w:p>
        </w:tc>
        <w:tc>
          <w:tcPr>
            <w:tcW w:w="18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8"/>
              </w:rPr>
              <w:t>(C)</w:t>
            </w:r>
          </w:p>
        </w:tc>
        <w:tc>
          <w:tcPr>
            <w:tcW w:w="140" w:type="dxa"/>
            <w:vAlign w:val="bottom"/>
          </w:tcPr>
          <w:p>
            <w:pPr>
              <w:spacing w:after="0"/>
              <w:rPr>
                <w:sz w:val="18"/>
                <w:szCs w:val="18"/>
                <w:color w:val="auto"/>
              </w:rPr>
            </w:pPr>
          </w:p>
        </w:tc>
        <w:tc>
          <w:tcPr>
            <w:tcW w:w="1180" w:type="dxa"/>
            <w:vAlign w:val="bottom"/>
          </w:tcPr>
          <w:p>
            <w:pPr>
              <w:jc w:val="center"/>
              <w:ind w:right="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6"/>
                <w:szCs w:val="16"/>
                <w:b w:val="1"/>
                <w:bCs w:val="1"/>
                <w:color w:val="auto"/>
              </w:rPr>
              <w:t>($)</w:t>
            </w:r>
          </w:p>
        </w:tc>
      </w:tr>
      <w:tr>
        <w:trPr>
          <w:trHeight w:val="33"/>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S. Jaffee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25,588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9,676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46,851</w:t>
            </w: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Daniel T. Smith</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700" w:type="dxa"/>
            <w:vAlign w:val="bottom"/>
          </w:tcPr>
          <w:p>
            <w:pPr>
              <w:jc w:val="right"/>
              <w:ind w:right="49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18"/>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4,385</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200"/>
              <w:spacing w:after="0"/>
              <w:rPr>
                <w:sz w:val="20"/>
                <w:szCs w:val="20"/>
                <w:color w:val="auto"/>
              </w:rPr>
            </w:pPr>
            <w:r>
              <w:rPr>
                <w:rFonts w:ascii="Arial" w:cs="Arial" w:eastAsia="Arial" w:hAnsi="Arial"/>
                <w:sz w:val="18"/>
                <w:szCs w:val="18"/>
                <w:color w:val="auto"/>
              </w:rPr>
              <w:t>11,355</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F. Cofsky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18,825</w:t>
            </w: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Douglas A. Graham</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700" w:type="dxa"/>
            <w:vAlign w:val="bottom"/>
          </w:tcPr>
          <w:p>
            <w:pPr>
              <w:jc w:val="right"/>
              <w:ind w:right="49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18"/>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200"/>
              <w:spacing w:after="0"/>
              <w:rPr>
                <w:sz w:val="20"/>
                <w:szCs w:val="20"/>
                <w:color w:val="auto"/>
              </w:rPr>
            </w:pPr>
            <w:r>
              <w:rPr>
                <w:rFonts w:ascii="Arial" w:cs="Arial" w:eastAsia="Arial" w:hAnsi="Arial"/>
                <w:sz w:val="18"/>
                <w:szCs w:val="18"/>
                <w:color w:val="auto"/>
              </w:rPr>
              <w:t>13,426</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E. Lewry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6,986</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25,429</w:t>
            </w:r>
          </w:p>
        </w:tc>
      </w:tr>
      <w:tr>
        <w:trPr>
          <w:trHeight w:val="27"/>
        </w:trPr>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68" w:lineRule="exact"/>
        <w:rPr>
          <w:sz w:val="20"/>
          <w:szCs w:val="20"/>
          <w:color w:val="auto"/>
        </w:rPr>
      </w:pPr>
    </w:p>
    <w:p>
      <w:pPr>
        <w:jc w:val="both"/>
        <w:ind w:left="660" w:hanging="4"/>
        <w:spacing w:after="0" w:line="294" w:lineRule="auto"/>
        <w:tabs>
          <w:tab w:leader="none" w:pos="1196" w:val="left"/>
        </w:tabs>
        <w:numPr>
          <w:ilvl w:val="0"/>
          <w:numId w:val="46"/>
        </w:numPr>
        <w:rPr>
          <w:rFonts w:ascii="Arial" w:cs="Arial" w:eastAsia="Arial" w:hAnsi="Arial"/>
          <w:sz w:val="19"/>
          <w:szCs w:val="19"/>
          <w:color w:val="auto"/>
        </w:rPr>
      </w:pPr>
      <w:r>
        <w:rPr>
          <w:rFonts w:ascii="Arial" w:cs="Arial" w:eastAsia="Arial" w:hAnsi="Arial"/>
          <w:sz w:val="19"/>
          <w:szCs w:val="19"/>
          <w:color w:val="auto"/>
        </w:rPr>
        <w:t>Perquisites for the named executive officers generally consist of auto allowances, paid parking, airline executive club memberships, remote Internet access costs and periodical subscriptions. The amounts shown reflect the actual cost to us for providing these perquisites. The perquisites received by Mr. Jaffee consisted of the following which were paid by the Company: $5,925 auto allowance, $3,948 for parking, airline executive club membership, remote Internet access and related fees and periodical subscriptions. The perquisites received by Mr. Cofsky consisted of the following which were paid by the Company: $6,300 auto allowance, $3,948 for parking and remote Internet access.</w:t>
      </w:r>
    </w:p>
    <w:p>
      <w:pPr>
        <w:sectPr>
          <w:pgSz w:w="11900" w:h="16838" w:orient="portrait"/>
          <w:cols w:equalWidth="0" w:num="1">
            <w:col w:w="11420"/>
          </w:cols>
          <w:pgMar w:left="240" w:top="780"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80" w:right="239" w:bottom="1440" w:gutter="0" w:footer="0" w:header="0"/>
          <w:type w:val="continuous"/>
        </w:sectPr>
      </w:pPr>
    </w:p>
    <w:bookmarkStart w:id="49" w:name="page50"/>
    <w:bookmarkEnd w:id="49"/>
    <w:p>
      <w:pPr>
        <w:ind w:left="660" w:hanging="4"/>
        <w:spacing w:after="0" w:line="263" w:lineRule="auto"/>
        <w:tabs>
          <w:tab w:leader="none" w:pos="1257" w:val="left"/>
        </w:tabs>
        <w:numPr>
          <w:ilvl w:val="1"/>
          <w:numId w:val="47"/>
        </w:numPr>
        <w:rPr>
          <w:rFonts w:ascii="Arial" w:cs="Arial" w:eastAsia="Arial" w:hAnsi="Arial"/>
          <w:sz w:val="22"/>
          <w:szCs w:val="22"/>
          <w:color w:val="auto"/>
        </w:rPr>
      </w:pPr>
      <w:r>
        <w:rPr>
          <w:rFonts w:ascii="Arial" w:cs="Arial" w:eastAsia="Arial" w:hAnsi="Arial"/>
          <w:sz w:val="22"/>
          <w:szCs w:val="22"/>
          <w:color w:val="auto"/>
        </w:rPr>
        <w:t>Amounts shown represent dividend payments on unvested shares of restricted stock held by the named executive officers that are reportable as either dividend or ordinary income.</w:t>
      </w:r>
    </w:p>
    <w:p>
      <w:pPr>
        <w:spacing w:after="0" w:line="309" w:lineRule="exact"/>
        <w:rPr>
          <w:rFonts w:ascii="Arial" w:cs="Arial" w:eastAsia="Arial" w:hAnsi="Arial"/>
          <w:sz w:val="22"/>
          <w:szCs w:val="22"/>
          <w:color w:val="auto"/>
        </w:rPr>
      </w:pPr>
    </w:p>
    <w:p>
      <w:pPr>
        <w:jc w:val="both"/>
        <w:ind w:left="660" w:hanging="4"/>
        <w:spacing w:after="0" w:line="261" w:lineRule="auto"/>
        <w:tabs>
          <w:tab w:leader="none" w:pos="1172" w:val="left"/>
        </w:tabs>
        <w:numPr>
          <w:ilvl w:val="1"/>
          <w:numId w:val="47"/>
        </w:numPr>
        <w:rPr>
          <w:rFonts w:ascii="Arial" w:cs="Arial" w:eastAsia="Arial" w:hAnsi="Arial"/>
          <w:sz w:val="21"/>
          <w:szCs w:val="21"/>
          <w:color w:val="auto"/>
        </w:rPr>
      </w:pPr>
      <w:r>
        <w:rPr>
          <w:rFonts w:ascii="Arial" w:cs="Arial" w:eastAsia="Arial" w:hAnsi="Arial"/>
          <w:sz w:val="21"/>
          <w:szCs w:val="21"/>
          <w:color w:val="auto"/>
        </w:rPr>
        <w:t>Executive deferred bonuses awarded under our annual incentive plan earn interest at a rate equal to our long-term cost of borrowing plus 1% as described above under “Compensation Discussion and Analysis – Annual and Deferred Incentive Compensation.” The amounts shown are the interest earned on all unvested executive deferred bonus awards that do not exceed 120% of the applicable federal rate, regardless of the fiscal year in which the awards were earned. For earnings that exceed 120% of the applicable federal rate, see the column titled “Nonqualified Deferred Compensation Earnings” in the table to footnote (3) of this Summary Compensation Table.</w:t>
      </w:r>
    </w:p>
    <w:p>
      <w:pPr>
        <w:spacing w:after="0" w:line="315" w:lineRule="exact"/>
        <w:rPr>
          <w:rFonts w:ascii="Arial" w:cs="Arial" w:eastAsia="Arial" w:hAnsi="Arial"/>
          <w:sz w:val="21"/>
          <w:szCs w:val="21"/>
          <w:color w:val="auto"/>
        </w:rPr>
      </w:pPr>
    </w:p>
    <w:p>
      <w:pPr>
        <w:ind w:left="660" w:hanging="4"/>
        <w:spacing w:after="0" w:line="263" w:lineRule="auto"/>
        <w:tabs>
          <w:tab w:leader="none" w:pos="1186"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amount shown for Mr. Lewry is zero because he has not yet been awarded an executive deferred bonus under our annual incentive plan.</w:t>
      </w:r>
    </w:p>
    <w:p>
      <w:pPr>
        <w:spacing w:after="0" w:line="134" w:lineRule="exact"/>
        <w:rPr>
          <w:rFonts w:ascii="Arial" w:cs="Arial" w:eastAsia="Arial" w:hAnsi="Arial"/>
          <w:sz w:val="22"/>
          <w:szCs w:val="22"/>
          <w:color w:val="auto"/>
        </w:rPr>
      </w:pPr>
    </w:p>
    <w:p>
      <w:pPr>
        <w:jc w:val="both"/>
        <w:ind w:firstLine="8"/>
        <w:spacing w:after="0" w:line="253" w:lineRule="auto"/>
        <w:tabs>
          <w:tab w:leader="none" w:pos="557" w:val="left"/>
        </w:tabs>
        <w:numPr>
          <w:ilvl w:val="0"/>
          <w:numId w:val="48"/>
        </w:numPr>
        <w:rPr>
          <w:rFonts w:ascii="Arial" w:cs="Arial" w:eastAsia="Arial" w:hAnsi="Arial"/>
          <w:sz w:val="22"/>
          <w:szCs w:val="22"/>
          <w:color w:val="auto"/>
        </w:rPr>
      </w:pPr>
      <w:r>
        <w:rPr>
          <w:rFonts w:ascii="Arial" w:cs="Arial" w:eastAsia="Arial" w:hAnsi="Arial"/>
          <w:sz w:val="22"/>
          <w:szCs w:val="22"/>
          <w:color w:val="auto"/>
        </w:rPr>
        <w:t>Mr. Lewry joined the Company on March 31, 2014. Upon joining the Company, Mr. Lewry received an award of 12,000 restricted shares of Common Stock, all of which will “cliff” vest on April 7, 2019, provided that Mr. Lewry is employed by the Company on that date.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Grants of Plan-Based Awards during Fiscal 2015</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table discloses certain information regarding grants of plan-based awards to the named executive officers during fiscal 2015.</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w w:val="93"/>
              </w:rPr>
              <w:t>Estimated Future Payouts Under Non-Equity Incentive Plan Awards (1)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Equity Plan Awards (2)</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Threshold</w:t>
            </w:r>
          </w:p>
        </w:tc>
        <w:tc>
          <w:tcPr>
            <w:tcW w:w="20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Target</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5"/>
          </w:tcPr>
          <w:p>
            <w:pPr>
              <w:ind w:left="460"/>
              <w:spacing w:after="0"/>
              <w:rPr>
                <w:sz w:val="20"/>
                <w:szCs w:val="20"/>
                <w:color w:val="auto"/>
              </w:rPr>
            </w:pPr>
            <w:r>
              <w:rPr>
                <w:rFonts w:ascii="Arial" w:cs="Arial" w:eastAsia="Arial" w:hAnsi="Arial"/>
                <w:sz w:val="14"/>
                <w:szCs w:val="14"/>
                <w:b w:val="1"/>
                <w:bCs w:val="1"/>
                <w:color w:val="auto"/>
              </w:rPr>
              <w:t>Maximum</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All Other</w:t>
            </w:r>
          </w:p>
        </w:tc>
        <w:tc>
          <w:tcPr>
            <w:tcW w:w="9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120" w:type="dxa"/>
            <w:vAlign w:val="bottom"/>
          </w:tcPr>
          <w:p>
            <w:pPr>
              <w:spacing w:after="0"/>
              <w:rPr>
                <w:sz w:val="12"/>
                <w:szCs w:val="12"/>
                <w:color w:val="auto"/>
              </w:rPr>
            </w:pPr>
          </w:p>
        </w:tc>
        <w:tc>
          <w:tcPr>
            <w:tcW w:w="7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Deferred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78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88"/>
              </w:rPr>
              <w:t>Cash Bonus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Cash Bonus</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Cash Bonus</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of</w:t>
            </w:r>
          </w:p>
        </w:tc>
        <w:tc>
          <w:tcPr>
            <w:tcW w:w="120" w:type="dxa"/>
            <w:vAlign w:val="bottom"/>
          </w:tcPr>
          <w:p>
            <w:pPr>
              <w:spacing w:after="0"/>
              <w:rPr>
                <w:sz w:val="12"/>
                <w:szCs w:val="12"/>
                <w:color w:val="auto"/>
              </w:rPr>
            </w:pPr>
          </w:p>
        </w:tc>
        <w:tc>
          <w:tcPr>
            <w:tcW w:w="78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Bonus</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Bonus</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Bonus</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7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S. Jaffee</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3"/>
              </w:rPr>
              <w:t>70,484</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281,938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563,875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Daniel T. Smith</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120"/>
              <w:spacing w:after="0"/>
              <w:rPr>
                <w:sz w:val="20"/>
                <w:szCs w:val="20"/>
                <w:color w:val="auto"/>
              </w:rPr>
            </w:pPr>
            <w:r>
              <w:rPr>
                <w:rFonts w:ascii="Arial" w:cs="Arial" w:eastAsia="Arial" w:hAnsi="Arial"/>
                <w:sz w:val="16"/>
                <w:szCs w:val="16"/>
                <w:color w:val="auto"/>
                <w:w w:val="93"/>
              </w:rPr>
              <w:t>19,760</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33,875</w:t>
            </w:r>
          </w:p>
        </w:tc>
        <w:tc>
          <w:tcPr>
            <w:tcW w:w="12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79,042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45,167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158,083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90,333</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F. Cofsky</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3"/>
              </w:rPr>
              <w:t>25,400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101,600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203,200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101,600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Douglas A. Graham</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120"/>
              <w:spacing w:after="0"/>
              <w:rPr>
                <w:sz w:val="20"/>
                <w:szCs w:val="20"/>
                <w:color w:val="auto"/>
              </w:rPr>
            </w:pPr>
            <w:r>
              <w:rPr>
                <w:rFonts w:ascii="Arial" w:cs="Arial" w:eastAsia="Arial" w:hAnsi="Arial"/>
                <w:sz w:val="16"/>
                <w:szCs w:val="16"/>
                <w:color w:val="auto"/>
                <w:w w:val="93"/>
              </w:rPr>
              <w:t>19,688</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20,250</w:t>
            </w:r>
          </w:p>
        </w:tc>
        <w:tc>
          <w:tcPr>
            <w:tcW w:w="12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78,750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27,000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157,500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54,000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 E. Lewry</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35,000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52,500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70,000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140,000</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8"/>
        <w:spacing w:after="0" w:line="263" w:lineRule="auto"/>
        <w:tabs>
          <w:tab w:leader="none" w:pos="479"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amounts represent the potential range of cash bonus awards and executive deferred bonus awards targeted for fiscal 2015 performance under our annual incentive plan. The actual amounts of cash and executive deferred bonuses awarded for fiscal 2015 are disclosed in the Summary Compensation Table in the column captioned “Non-Equity Incentive Plan Compensation.” For a discussion of the performance metrics applicable to these awards, see “Compensation Discussion and Analysis – Annual and Deferred Incentive Compensation – Operation of the Annual Incentive Plan” above.</w:t>
      </w:r>
    </w:p>
    <w:p>
      <w:pPr>
        <w:spacing w:after="0" w:line="135" w:lineRule="exact"/>
        <w:rPr>
          <w:rFonts w:ascii="Arial" w:cs="Arial" w:eastAsia="Arial" w:hAnsi="Arial"/>
          <w:sz w:val="21"/>
          <w:szCs w:val="21"/>
          <w:color w:val="auto"/>
        </w:rPr>
      </w:pPr>
    </w:p>
    <w:p>
      <w:pPr>
        <w:ind w:firstLine="8"/>
        <w:spacing w:after="0" w:line="263" w:lineRule="auto"/>
        <w:tabs>
          <w:tab w:leader="none" w:pos="479" w:val="left"/>
        </w:tabs>
        <w:numPr>
          <w:ilvl w:val="0"/>
          <w:numId w:val="49"/>
        </w:numPr>
        <w:rPr>
          <w:rFonts w:ascii="Arial" w:cs="Arial" w:eastAsia="Arial" w:hAnsi="Arial"/>
          <w:sz w:val="22"/>
          <w:szCs w:val="22"/>
          <w:color w:val="auto"/>
        </w:rPr>
      </w:pPr>
      <w:r>
        <w:rPr>
          <w:rFonts w:ascii="Arial" w:cs="Arial" w:eastAsia="Arial" w:hAnsi="Arial"/>
          <w:sz w:val="22"/>
          <w:szCs w:val="22"/>
          <w:color w:val="auto"/>
        </w:rPr>
        <w:t>Granted by our Compensation Committee under our Incentive Plan as described in “Compensation Discussion and Analysis – Long-Term Equity Incentives” above.</w:t>
      </w:r>
    </w:p>
    <w:p>
      <w:pPr>
        <w:spacing w:after="0" w:line="134" w:lineRule="exact"/>
        <w:rPr>
          <w:rFonts w:ascii="Arial" w:cs="Arial" w:eastAsia="Arial" w:hAnsi="Arial"/>
          <w:sz w:val="22"/>
          <w:szCs w:val="22"/>
          <w:color w:val="auto"/>
        </w:rPr>
      </w:pPr>
    </w:p>
    <w:p>
      <w:pPr>
        <w:ind w:left="460" w:hanging="452"/>
        <w:spacing w:after="0"/>
        <w:tabs>
          <w:tab w:leader="none" w:pos="4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Amount represents the total fair value of restricted stock granted in fiscal 2015 under ASC 718.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955"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Outstanding Equity Awards at Fiscal 2015 Year End</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table provides information on the unexercised stock options and unvested restricted stock held by the named executive officers as of July 31, 2015.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right"/>
              <w:ind w:right="353"/>
              <w:spacing w:after="0"/>
              <w:rPr>
                <w:sz w:val="20"/>
                <w:szCs w:val="20"/>
                <w:color w:val="auto"/>
              </w:rPr>
            </w:pPr>
            <w:r>
              <w:rPr>
                <w:rFonts w:ascii="Arial" w:cs="Arial" w:eastAsia="Arial" w:hAnsi="Arial"/>
                <w:sz w:val="18"/>
                <w:szCs w:val="18"/>
                <w:b w:val="1"/>
                <w:bCs w:val="1"/>
                <w:color w:val="auto"/>
              </w:rPr>
              <w:t>Option Awards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0" w:type="dxa"/>
            <w:vAlign w:val="bottom"/>
            <w:gridSpan w:val="4"/>
          </w:tcPr>
          <w:p>
            <w:pPr>
              <w:jc w:val="right"/>
              <w:ind w:right="1014"/>
              <w:spacing w:after="0"/>
              <w:rPr>
                <w:sz w:val="20"/>
                <w:szCs w:val="20"/>
                <w:color w:val="auto"/>
              </w:rPr>
            </w:pPr>
            <w:r>
              <w:rPr>
                <w:rFonts w:ascii="Arial" w:cs="Arial" w:eastAsia="Arial" w:hAnsi="Arial"/>
                <w:sz w:val="18"/>
                <w:szCs w:val="18"/>
                <w:b w:val="1"/>
                <w:bCs w:val="1"/>
                <w:color w:val="auto"/>
                <w:w w:val="90"/>
              </w:rPr>
              <w:t>Stock Awards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4"/>
              <w:spacing w:after="0"/>
              <w:rPr>
                <w:sz w:val="20"/>
                <w:szCs w:val="20"/>
                <w:color w:val="auto"/>
              </w:rPr>
            </w:pPr>
            <w:r>
              <w:rPr>
                <w:rFonts w:ascii="Arial" w:cs="Arial" w:eastAsia="Arial" w:hAnsi="Arial"/>
                <w:sz w:val="16"/>
                <w:szCs w:val="16"/>
                <w:b w:val="1"/>
                <w:bCs w:val="1"/>
                <w:color w:val="auto"/>
                <w:w w:val="94"/>
              </w:rPr>
              <w:t>Market Value of</w:t>
            </w: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Securities</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Securities</w:t>
            </w: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Shares or Units</w:t>
            </w: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Number of Shares or</w:t>
            </w:r>
          </w:p>
        </w:tc>
        <w:tc>
          <w:tcPr>
            <w:tcW w:w="180" w:type="dxa"/>
            <w:vAlign w:val="bottom"/>
          </w:tcPr>
          <w:p>
            <w:pPr>
              <w:spacing w:after="0"/>
              <w:rPr>
                <w:sz w:val="17"/>
                <w:szCs w:val="17"/>
                <w:color w:val="auto"/>
              </w:rPr>
            </w:pPr>
          </w:p>
        </w:tc>
        <w:tc>
          <w:tcPr>
            <w:tcW w:w="142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of Stock That</w:t>
            </w: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Unexercised Options</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Unexercised Options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16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Units of Stock That</w:t>
            </w:r>
          </w:p>
        </w:tc>
        <w:tc>
          <w:tcPr>
            <w:tcW w:w="180" w:type="dxa"/>
            <w:vAlign w:val="bottom"/>
          </w:tcPr>
          <w:p>
            <w:pPr>
              <w:spacing w:after="0"/>
              <w:rPr>
                <w:sz w:val="17"/>
                <w:szCs w:val="17"/>
                <w:color w:val="auto"/>
              </w:rPr>
            </w:pPr>
          </w:p>
        </w:tc>
        <w:tc>
          <w:tcPr>
            <w:tcW w:w="142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Have Not Vested</w:t>
            </w: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Exercise Price</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Expiration</w:t>
            </w:r>
          </w:p>
        </w:tc>
        <w:tc>
          <w:tcPr>
            <w:tcW w:w="16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Have Not Vested</w:t>
            </w:r>
          </w:p>
        </w:tc>
        <w:tc>
          <w:tcPr>
            <w:tcW w:w="180" w:type="dxa"/>
            <w:vAlign w:val="bottom"/>
          </w:tcPr>
          <w:p>
            <w:pPr>
              <w:spacing w:after="0"/>
              <w:rPr>
                <w:sz w:val="17"/>
                <w:szCs w:val="17"/>
                <w:color w:val="auto"/>
              </w:rPr>
            </w:pPr>
          </w:p>
        </w:tc>
        <w:tc>
          <w:tcPr>
            <w:tcW w:w="1420" w:type="dxa"/>
            <w:vAlign w:val="bottom"/>
          </w:tcPr>
          <w:p>
            <w:pPr>
              <w:jc w:val="center"/>
              <w:ind w:right="94"/>
              <w:spacing w:after="0"/>
              <w:rPr>
                <w:sz w:val="20"/>
                <w:szCs w:val="20"/>
                <w:color w:val="auto"/>
              </w:rPr>
            </w:pPr>
            <w:r>
              <w:rPr>
                <w:rFonts w:ascii="Arial" w:cs="Arial" w:eastAsia="Arial" w:hAnsi="Arial"/>
                <w:sz w:val="16"/>
                <w:szCs w:val="16"/>
                <w:b w:val="1"/>
                <w:bCs w:val="1"/>
                <w:color w:val="auto"/>
              </w:rPr>
              <w:t>($)</w:t>
            </w:r>
          </w:p>
        </w:tc>
      </w:tr>
      <w:tr>
        <w:trPr>
          <w:trHeight w:val="210"/>
        </w:trPr>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Unexercisable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1080" w:type="dxa"/>
            <w:vAlign w:val="bottom"/>
          </w:tcPr>
          <w:p>
            <w:pPr>
              <w:jc w:val="center"/>
              <w:ind w:left="43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4"/>
              <w:spacing w:after="0"/>
              <w:rPr>
                <w:sz w:val="20"/>
                <w:szCs w:val="20"/>
                <w:color w:val="auto"/>
              </w:rPr>
            </w:pPr>
            <w:r>
              <w:rPr>
                <w:rFonts w:ascii="Arial" w:cs="Arial" w:eastAsia="Arial" w:hAnsi="Arial"/>
                <w:sz w:val="16"/>
                <w:szCs w:val="16"/>
                <w:b w:val="1"/>
                <w:bCs w:val="1"/>
                <w:color w:val="auto"/>
              </w:rPr>
              <w:t>(1)</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656,500</w:t>
            </w:r>
          </w:p>
        </w:tc>
      </w:tr>
      <w:tr>
        <w:trPr>
          <w:trHeight w:val="243"/>
        </w:trPr>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6,390</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167,801</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Daniel T. Smith</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3"/>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Thomas F. Cofsky</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3"/>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3,791</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99,552</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Douglas A. Graham</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3"/>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26,260</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Mark E. Lewry</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3"/>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12,000</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315,120</w:t>
            </w:r>
          </w:p>
        </w:tc>
      </w:tr>
    </w:tbl>
    <w:p>
      <w:pPr>
        <w:spacing w:after="0" w:line="195" w:lineRule="exact"/>
        <w:rPr>
          <w:sz w:val="20"/>
          <w:szCs w:val="20"/>
          <w:color w:val="auto"/>
        </w:rPr>
      </w:pPr>
    </w:p>
    <w:p>
      <w:pPr>
        <w:ind w:firstLine="8"/>
        <w:spacing w:after="0" w:line="263" w:lineRule="auto"/>
        <w:tabs>
          <w:tab w:leader="none" w:pos="468" w:val="left"/>
        </w:tabs>
        <w:numPr>
          <w:ilvl w:val="0"/>
          <w:numId w:val="50"/>
        </w:numPr>
        <w:rPr>
          <w:rFonts w:ascii="Arial" w:cs="Arial" w:eastAsia="Arial" w:hAnsi="Arial"/>
          <w:sz w:val="22"/>
          <w:szCs w:val="22"/>
          <w:color w:val="auto"/>
        </w:rPr>
      </w:pPr>
      <w:r>
        <w:rPr>
          <w:rFonts w:ascii="Arial" w:cs="Arial" w:eastAsia="Arial" w:hAnsi="Arial"/>
          <w:sz w:val="22"/>
          <w:szCs w:val="22"/>
          <w:color w:val="auto"/>
        </w:rPr>
        <w:t>Market value for our Class B Stock and Common Stock has been calculated using the closing sale price of our Common Stock on July 31, 2015, the last trading day of fiscal 2015, which was $26.26.</w:t>
      </w:r>
    </w:p>
    <w:p>
      <w:pPr>
        <w:spacing w:after="0" w:line="134" w:lineRule="exact"/>
        <w:rPr>
          <w:rFonts w:ascii="Arial" w:cs="Arial" w:eastAsia="Arial" w:hAnsi="Arial"/>
          <w:sz w:val="22"/>
          <w:szCs w:val="22"/>
          <w:color w:val="auto"/>
        </w:rPr>
      </w:pPr>
    </w:p>
    <w:p>
      <w:pPr>
        <w:ind w:left="480" w:hanging="472"/>
        <w:spacing w:after="0"/>
        <w:tabs>
          <w:tab w:leader="none" w:pos="4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Restricted shares of Class B Stock awarded on October 6, 2010, which vested on October 6, 2015.</w:t>
      </w:r>
    </w:p>
    <w:p>
      <w:pPr>
        <w:spacing w:after="0" w:line="179" w:lineRule="exact"/>
        <w:rPr>
          <w:rFonts w:ascii="Arial" w:cs="Arial" w:eastAsia="Arial" w:hAnsi="Arial"/>
          <w:sz w:val="22"/>
          <w:szCs w:val="22"/>
          <w:color w:val="auto"/>
        </w:rPr>
      </w:pPr>
    </w:p>
    <w:p>
      <w:pPr>
        <w:ind w:left="480" w:hanging="472"/>
        <w:spacing w:after="0"/>
        <w:tabs>
          <w:tab w:leader="none" w:pos="4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Restricted shares of Class B Stock awarded on October 16, 2013, scheduled to vest on July 31, 2016.</w:t>
      </w:r>
    </w:p>
    <w:p>
      <w:pPr>
        <w:spacing w:after="0" w:line="179" w:lineRule="exact"/>
        <w:rPr>
          <w:rFonts w:ascii="Arial" w:cs="Arial" w:eastAsia="Arial" w:hAnsi="Arial"/>
          <w:sz w:val="22"/>
          <w:szCs w:val="22"/>
          <w:color w:val="auto"/>
        </w:rPr>
      </w:pPr>
    </w:p>
    <w:p>
      <w:pPr>
        <w:ind w:left="480" w:hanging="472"/>
        <w:spacing w:after="0"/>
        <w:tabs>
          <w:tab w:leader="none" w:pos="4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Restricted shares of Class B Stock awarded on October 16, 2013, scheduled to vest on July 31, 2016.</w:t>
      </w:r>
    </w:p>
    <w:p>
      <w:pPr>
        <w:spacing w:after="0" w:line="179" w:lineRule="exact"/>
        <w:rPr>
          <w:rFonts w:ascii="Arial" w:cs="Arial" w:eastAsia="Arial" w:hAnsi="Arial"/>
          <w:sz w:val="22"/>
          <w:szCs w:val="22"/>
          <w:color w:val="auto"/>
        </w:rPr>
      </w:pPr>
    </w:p>
    <w:p>
      <w:pPr>
        <w:ind w:left="480" w:hanging="472"/>
        <w:spacing w:after="0"/>
        <w:tabs>
          <w:tab w:leader="none" w:pos="4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Restricted shares of Common Stock awarded on March 17, 2014, scheduled to vest on March 17, 2016.</w:t>
      </w:r>
    </w:p>
    <w:p>
      <w:pPr>
        <w:spacing w:after="0" w:line="179" w:lineRule="exact"/>
        <w:rPr>
          <w:rFonts w:ascii="Arial" w:cs="Arial" w:eastAsia="Arial" w:hAnsi="Arial"/>
          <w:sz w:val="22"/>
          <w:szCs w:val="22"/>
          <w:color w:val="auto"/>
        </w:rPr>
      </w:pPr>
    </w:p>
    <w:p>
      <w:pPr>
        <w:ind w:left="480" w:hanging="472"/>
        <w:spacing w:after="0"/>
        <w:tabs>
          <w:tab w:leader="none" w:pos="4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Restricted shares of Common Stock awarded on April 7, 2014, scheduled to vest on April 7, 2019.</w:t>
      </w:r>
    </w:p>
    <w:p>
      <w:pPr>
        <w:spacing w:after="0" w:line="200" w:lineRule="exact"/>
        <w:rPr>
          <w:sz w:val="20"/>
          <w:szCs w:val="20"/>
          <w:color w:val="auto"/>
        </w:rPr>
      </w:pPr>
    </w:p>
    <w:p>
      <w:pPr>
        <w:spacing w:after="0" w:line="230"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Option Exercises and Stock Vested for Fiscal 2015</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provides information for the named executive officers on:</w:t>
      </w:r>
    </w:p>
    <w:p>
      <w:pPr>
        <w:spacing w:after="0" w:line="193" w:lineRule="exact"/>
        <w:rPr>
          <w:sz w:val="20"/>
          <w:szCs w:val="20"/>
          <w:color w:val="auto"/>
        </w:rPr>
      </w:pPr>
    </w:p>
    <w:p>
      <w:pPr>
        <w:ind w:left="980" w:hanging="324"/>
        <w:spacing w:after="0" w:line="269" w:lineRule="auto"/>
        <w:tabs>
          <w:tab w:leader="none" w:pos="980" w:val="left"/>
        </w:tabs>
        <w:numPr>
          <w:ilvl w:val="0"/>
          <w:numId w:val="51"/>
        </w:numPr>
        <w:rPr>
          <w:rFonts w:ascii="Arial" w:cs="Arial" w:eastAsia="Arial" w:hAnsi="Arial"/>
          <w:sz w:val="25"/>
          <w:szCs w:val="25"/>
          <w:color w:val="auto"/>
        </w:rPr>
      </w:pPr>
      <w:r>
        <w:rPr>
          <w:rFonts w:ascii="Arial" w:cs="Arial" w:eastAsia="Arial" w:hAnsi="Arial"/>
          <w:sz w:val="22"/>
          <w:szCs w:val="22"/>
          <w:color w:val="auto"/>
        </w:rPr>
        <w:t>the number of shares of the Company’s stock acquired and the value received from stock option exercises during fiscal 2015; and</w:t>
      </w:r>
    </w:p>
    <w:p>
      <w:pPr>
        <w:spacing w:after="0" w:line="42" w:lineRule="exact"/>
        <w:rPr>
          <w:rFonts w:ascii="Arial" w:cs="Arial" w:eastAsia="Arial" w:hAnsi="Arial"/>
          <w:sz w:val="25"/>
          <w:szCs w:val="25"/>
          <w:color w:val="auto"/>
        </w:rPr>
      </w:pPr>
    </w:p>
    <w:p>
      <w:pPr>
        <w:ind w:left="980" w:hanging="324"/>
        <w:spacing w:after="0" w:line="269" w:lineRule="auto"/>
        <w:tabs>
          <w:tab w:leader="none" w:pos="980" w:val="left"/>
        </w:tabs>
        <w:numPr>
          <w:ilvl w:val="0"/>
          <w:numId w:val="51"/>
        </w:numPr>
        <w:rPr>
          <w:rFonts w:ascii="Arial" w:cs="Arial" w:eastAsia="Arial" w:hAnsi="Arial"/>
          <w:sz w:val="25"/>
          <w:szCs w:val="25"/>
          <w:color w:val="auto"/>
        </w:rPr>
      </w:pPr>
      <w:r>
        <w:rPr>
          <w:rFonts w:ascii="Arial" w:cs="Arial" w:eastAsia="Arial" w:hAnsi="Arial"/>
          <w:sz w:val="22"/>
          <w:szCs w:val="22"/>
          <w:color w:val="auto"/>
        </w:rPr>
        <w:t>the number of restricted shares of the Company’s stock that vested and the value received upon vesting during fiscal 2015.</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The shares acquired and vested by Mr. Jaffee and Mr. Cofsky were shares of Class B Stock. The shares acquired and vested by Mr.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Smith were shares of Common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74"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6"/>
        </w:trPr>
        <w:tc>
          <w:tcPr>
            <w:tcW w:w="3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60" w:type="dxa"/>
            <w:vAlign w:val="bottom"/>
            <w:gridSpan w:val="3"/>
          </w:tcPr>
          <w:p>
            <w:pPr>
              <w:jc w:val="right"/>
              <w:ind w:right="656"/>
              <w:spacing w:after="0"/>
              <w:rPr>
                <w:sz w:val="20"/>
                <w:szCs w:val="20"/>
                <w:color w:val="auto"/>
              </w:rPr>
            </w:pPr>
            <w:r>
              <w:rPr>
                <w:rFonts w:ascii="Arial" w:cs="Arial" w:eastAsia="Arial" w:hAnsi="Arial"/>
                <w:sz w:val="20"/>
                <w:szCs w:val="20"/>
                <w:b w:val="1"/>
                <w:bCs w:val="1"/>
                <w:color w:val="auto"/>
              </w:rPr>
              <w:t>Option Awards</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0" w:type="dxa"/>
            <w:vAlign w:val="bottom"/>
            <w:gridSpan w:val="3"/>
          </w:tcPr>
          <w:p>
            <w:pPr>
              <w:jc w:val="right"/>
              <w:spacing w:after="0"/>
              <w:rPr>
                <w:sz w:val="20"/>
                <w:szCs w:val="20"/>
                <w:color w:val="auto"/>
              </w:rPr>
            </w:pPr>
            <w:r>
              <w:rPr>
                <w:rFonts w:ascii="Arial" w:cs="Arial" w:eastAsia="Arial" w:hAnsi="Arial"/>
                <w:sz w:val="20"/>
                <w:szCs w:val="20"/>
                <w:b w:val="1"/>
                <w:bCs w:val="1"/>
                <w:color w:val="auto"/>
              </w:rPr>
              <w:t>Stock Awards</w:t>
            </w:r>
          </w:p>
        </w:tc>
        <w:tc>
          <w:tcPr>
            <w:tcW w:w="1260" w:type="dxa"/>
            <w:vAlign w:val="bottom"/>
          </w:tcPr>
          <w:p>
            <w:pPr>
              <w:spacing w:after="0"/>
              <w:rPr>
                <w:sz w:val="22"/>
                <w:szCs w:val="22"/>
                <w:color w:val="auto"/>
              </w:rPr>
            </w:pPr>
          </w:p>
        </w:tc>
      </w:tr>
      <w:tr>
        <w:trPr>
          <w:trHeight w:val="2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27"/>
        </w:trPr>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center"/>
              <w:ind w:right="220"/>
              <w:spacing w:after="0" w:line="228" w:lineRule="exact"/>
              <w:rPr>
                <w:sz w:val="20"/>
                <w:szCs w:val="20"/>
                <w:color w:val="auto"/>
              </w:rPr>
            </w:pPr>
            <w:r>
              <w:rPr>
                <w:rFonts w:ascii="Arial" w:cs="Arial" w:eastAsia="Arial" w:hAnsi="Arial"/>
                <w:sz w:val="20"/>
                <w:szCs w:val="20"/>
                <w:b w:val="1"/>
                <w:bCs w:val="1"/>
                <w:color w:val="auto"/>
                <w:w w:val="89"/>
              </w:rPr>
              <w:t>Number of Shares</w:t>
            </w:r>
          </w:p>
        </w:tc>
        <w:tc>
          <w:tcPr>
            <w:tcW w:w="1940" w:type="dxa"/>
            <w:vAlign w:val="bottom"/>
            <w:gridSpan w:val="3"/>
          </w:tcPr>
          <w:p>
            <w:pPr>
              <w:jc w:val="right"/>
              <w:ind w:right="320"/>
              <w:spacing w:after="0" w:line="228" w:lineRule="exact"/>
              <w:rPr>
                <w:sz w:val="20"/>
                <w:szCs w:val="20"/>
                <w:color w:val="auto"/>
              </w:rPr>
            </w:pPr>
            <w:r>
              <w:rPr>
                <w:rFonts w:ascii="Arial" w:cs="Arial" w:eastAsia="Arial" w:hAnsi="Arial"/>
                <w:sz w:val="20"/>
                <w:szCs w:val="20"/>
                <w:b w:val="1"/>
                <w:bCs w:val="1"/>
                <w:color w:val="auto"/>
                <w:w w:val="94"/>
              </w:rPr>
              <w:t>Value Realized on</w:t>
            </w:r>
          </w:p>
        </w:tc>
        <w:tc>
          <w:tcPr>
            <w:tcW w:w="2140" w:type="dxa"/>
            <w:vAlign w:val="bottom"/>
            <w:gridSpan w:val="2"/>
          </w:tcPr>
          <w:p>
            <w:pPr>
              <w:jc w:val="center"/>
              <w:ind w:right="440"/>
              <w:spacing w:after="0" w:line="228" w:lineRule="exact"/>
              <w:rPr>
                <w:sz w:val="20"/>
                <w:szCs w:val="20"/>
                <w:color w:val="auto"/>
              </w:rPr>
            </w:pPr>
            <w:r>
              <w:rPr>
                <w:rFonts w:ascii="Arial" w:cs="Arial" w:eastAsia="Arial" w:hAnsi="Arial"/>
                <w:sz w:val="20"/>
                <w:szCs w:val="20"/>
                <w:b w:val="1"/>
                <w:bCs w:val="1"/>
                <w:color w:val="auto"/>
                <w:w w:val="89"/>
              </w:rPr>
              <w:t>Number of Shares</w:t>
            </w:r>
          </w:p>
        </w:tc>
        <w:tc>
          <w:tcPr>
            <w:tcW w:w="17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9"/>
              </w:rPr>
              <w:t>Value Realized on</w:t>
            </w:r>
          </w:p>
        </w:tc>
      </w:tr>
      <w:tr>
        <w:trPr>
          <w:trHeight w:val="230"/>
        </w:trPr>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0"/>
              </w:rPr>
              <w:t>Acquired on</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Exercise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0"/>
              </w:rPr>
              <w:t>Acquired on</w:t>
            </w:r>
          </w:p>
        </w:tc>
        <w:tc>
          <w:tcPr>
            <w:tcW w:w="460" w:type="dxa"/>
            <w:vAlign w:val="bottom"/>
          </w:tcPr>
          <w:p>
            <w:pPr>
              <w:spacing w:after="0"/>
              <w:rPr>
                <w:sz w:val="19"/>
                <w:szCs w:val="19"/>
                <w:color w:val="auto"/>
              </w:rPr>
            </w:pPr>
          </w:p>
        </w:tc>
        <w:tc>
          <w:tcPr>
            <w:tcW w:w="1260" w:type="dxa"/>
            <w:vAlign w:val="bottom"/>
          </w:tcPr>
          <w:p>
            <w:pPr>
              <w:jc w:val="center"/>
              <w:ind w:right="335"/>
              <w:spacing w:after="0"/>
              <w:rPr>
                <w:sz w:val="20"/>
                <w:szCs w:val="20"/>
                <w:color w:val="auto"/>
              </w:rPr>
            </w:pPr>
            <w:r>
              <w:rPr>
                <w:rFonts w:ascii="Arial" w:cs="Arial" w:eastAsia="Arial" w:hAnsi="Arial"/>
                <w:sz w:val="20"/>
                <w:szCs w:val="20"/>
                <w:b w:val="1"/>
                <w:bCs w:val="1"/>
                <w:color w:val="auto"/>
                <w:w w:val="85"/>
              </w:rPr>
              <w:t>Vesting</w:t>
            </w:r>
          </w:p>
        </w:tc>
      </w:tr>
      <w:tr>
        <w:trPr>
          <w:trHeight w:val="230"/>
        </w:trPr>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5"/>
              </w:rPr>
              <w:t>Exercise</w:t>
            </w:r>
          </w:p>
        </w:tc>
        <w:tc>
          <w:tcPr>
            <w:tcW w:w="1300" w:type="dxa"/>
            <w:vAlign w:val="bottom"/>
          </w:tcPr>
          <w:p>
            <w:pPr>
              <w:jc w:val="right"/>
              <w:ind w:right="216"/>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5"/>
              </w:rPr>
              <w:t>Vesting</w:t>
            </w:r>
          </w:p>
        </w:tc>
        <w:tc>
          <w:tcPr>
            <w:tcW w:w="460" w:type="dxa"/>
            <w:vAlign w:val="bottom"/>
          </w:tcPr>
          <w:p>
            <w:pPr>
              <w:spacing w:after="0"/>
              <w:rPr>
                <w:sz w:val="19"/>
                <w:szCs w:val="19"/>
                <w:color w:val="auto"/>
              </w:rPr>
            </w:pPr>
          </w:p>
        </w:tc>
        <w:tc>
          <w:tcPr>
            <w:tcW w:w="1260" w:type="dxa"/>
            <w:vAlign w:val="bottom"/>
          </w:tcPr>
          <w:p>
            <w:pPr>
              <w:jc w:val="center"/>
              <w:ind w:right="355"/>
              <w:spacing w:after="0"/>
              <w:rPr>
                <w:sz w:val="20"/>
                <w:szCs w:val="20"/>
                <w:color w:val="auto"/>
              </w:rPr>
            </w:pPr>
            <w:r>
              <w:rPr>
                <w:rFonts w:ascii="Arial" w:cs="Arial" w:eastAsia="Arial" w:hAnsi="Arial"/>
                <w:sz w:val="20"/>
                <w:szCs w:val="20"/>
                <w:b w:val="1"/>
                <w:bCs w:val="1"/>
                <w:color w:val="auto"/>
                <w:w w:val="97"/>
              </w:rPr>
              <w:t>($)</w:t>
            </w:r>
          </w:p>
        </w:tc>
      </w:tr>
      <w:tr>
        <w:trPr>
          <w:trHeight w:val="256"/>
        </w:trPr>
        <w:tc>
          <w:tcPr>
            <w:tcW w:w="366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1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22"/>
                <w:szCs w:val="22"/>
                <w:color w:val="auto"/>
              </w:rPr>
            </w:pPr>
          </w:p>
        </w:tc>
        <w:tc>
          <w:tcPr>
            <w:tcW w:w="1300" w:type="dxa"/>
            <w:vAlign w:val="bottom"/>
          </w:tcPr>
          <w:p>
            <w:pPr>
              <w:jc w:val="right"/>
              <w:ind w:right="216"/>
              <w:spacing w:after="0"/>
              <w:rPr>
                <w:sz w:val="20"/>
                <w:szCs w:val="20"/>
                <w:color w:val="auto"/>
              </w:rPr>
            </w:pPr>
            <w:r>
              <w:rPr>
                <w:rFonts w:ascii="Arial" w:cs="Arial" w:eastAsia="Arial" w:hAnsi="Arial"/>
                <w:sz w:val="20"/>
                <w:szCs w:val="20"/>
                <w:b w:val="1"/>
                <w:bCs w:val="1"/>
                <w:color w:val="auto"/>
              </w:rPr>
              <w:t>(1)</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center"/>
              <w:ind w:right="355"/>
              <w:spacing w:after="0"/>
              <w:rPr>
                <w:sz w:val="20"/>
                <w:szCs w:val="20"/>
                <w:color w:val="auto"/>
              </w:rPr>
            </w:pPr>
            <w:r>
              <w:rPr>
                <w:rFonts w:ascii="Arial" w:cs="Arial" w:eastAsia="Arial" w:hAnsi="Arial"/>
                <w:sz w:val="20"/>
                <w:szCs w:val="20"/>
                <w:b w:val="1"/>
                <w:bCs w:val="1"/>
                <w:color w:val="auto"/>
                <w:w w:val="97"/>
              </w:rPr>
              <w:t>(1)</w:t>
            </w:r>
          </w:p>
        </w:tc>
      </w:tr>
      <w:tr>
        <w:trPr>
          <w:trHeight w:val="23"/>
        </w:trPr>
        <w:tc>
          <w:tcPr>
            <w:tcW w:w="3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1960" w:type="dxa"/>
            <w:vAlign w:val="bottom"/>
            <w:gridSpan w:val="2"/>
            <w:shd w:val="clear" w:color="auto" w:fill="CCEEFF"/>
          </w:tcPr>
          <w:p>
            <w:pPr>
              <w:ind w:left="1400"/>
              <w:spacing w:after="0"/>
              <w:rPr>
                <w:sz w:val="20"/>
                <w:szCs w:val="20"/>
                <w:color w:val="auto"/>
              </w:rPr>
            </w:pPr>
            <w:r>
              <w:rPr>
                <w:rFonts w:ascii="Arial" w:cs="Arial" w:eastAsia="Arial" w:hAnsi="Arial"/>
                <w:sz w:val="22"/>
                <w:szCs w:val="22"/>
                <w:color w:val="auto"/>
              </w:rPr>
              <w:t>—</w:t>
            </w:r>
          </w:p>
        </w:tc>
        <w:tc>
          <w:tcPr>
            <w:tcW w:w="1300" w:type="dxa"/>
            <w:vAlign w:val="bottom"/>
            <w:shd w:val="clear" w:color="auto" w:fill="CCEEFF"/>
          </w:tcPr>
          <w:p>
            <w:pPr>
              <w:jc w:val="right"/>
              <w:ind w:right="1056"/>
              <w:spacing w:after="0"/>
              <w:rPr>
                <w:sz w:val="20"/>
                <w:szCs w:val="20"/>
                <w:color w:val="auto"/>
              </w:rPr>
            </w:pPr>
            <w:r>
              <w:rPr>
                <w:rFonts w:ascii="Arial" w:cs="Arial" w:eastAsia="Arial" w:hAnsi="Arial"/>
                <w:sz w:val="22"/>
                <w:szCs w:val="22"/>
                <w:color w:val="auto"/>
                <w:w w:val="97"/>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30,006</w:t>
            </w: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13"/>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792,708</w:t>
            </w:r>
          </w:p>
        </w:tc>
      </w:tr>
      <w:tr>
        <w:trPr>
          <w:trHeight w:val="289"/>
        </w:trPr>
        <w:tc>
          <w:tcPr>
            <w:tcW w:w="366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1960" w:type="dxa"/>
            <w:vAlign w:val="bottom"/>
            <w:gridSpan w:val="2"/>
          </w:tcPr>
          <w:p>
            <w:pPr>
              <w:ind w:left="1400"/>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056"/>
              <w:spacing w:after="0"/>
              <w:rPr>
                <w:sz w:val="20"/>
                <w:szCs w:val="20"/>
                <w:color w:val="auto"/>
              </w:rPr>
            </w:pPr>
            <w:r>
              <w:rPr>
                <w:rFonts w:ascii="Arial" w:cs="Arial" w:eastAsia="Arial" w:hAnsi="Arial"/>
                <w:sz w:val="22"/>
                <w:szCs w:val="22"/>
                <w:color w:val="auto"/>
                <w:w w:val="97"/>
              </w:rPr>
              <w:t>$</w:t>
            </w:r>
          </w:p>
        </w:tc>
        <w:tc>
          <w:tcPr>
            <w:tcW w:w="64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1700" w:type="dxa"/>
            <w:vAlign w:val="bottom"/>
          </w:tcPr>
          <w:p>
            <w:pPr>
              <w:jc w:val="right"/>
              <w:spacing w:after="0"/>
              <w:rPr>
                <w:sz w:val="20"/>
                <w:szCs w:val="20"/>
                <w:color w:val="auto"/>
              </w:rPr>
            </w:pPr>
            <w:r>
              <w:rPr>
                <w:rFonts w:ascii="Arial" w:cs="Arial" w:eastAsia="Arial" w:hAnsi="Arial"/>
                <w:sz w:val="22"/>
                <w:szCs w:val="22"/>
                <w:color w:val="auto"/>
              </w:rPr>
              <w:t>1,000</w:t>
            </w:r>
          </w:p>
        </w:tc>
        <w:tc>
          <w:tcPr>
            <w:tcW w:w="440" w:type="dxa"/>
            <w:vAlign w:val="bottom"/>
          </w:tcPr>
          <w:p>
            <w:pPr>
              <w:spacing w:after="0"/>
              <w:rPr>
                <w:sz w:val="24"/>
                <w:szCs w:val="24"/>
                <w:color w:val="auto"/>
              </w:rPr>
            </w:pPr>
          </w:p>
        </w:tc>
        <w:tc>
          <w:tcPr>
            <w:tcW w:w="460" w:type="dxa"/>
            <w:vAlign w:val="bottom"/>
          </w:tcPr>
          <w:p>
            <w:pPr>
              <w:jc w:val="right"/>
              <w:ind w:right="213"/>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33,600</w:t>
            </w:r>
          </w:p>
        </w:tc>
      </w:tr>
      <w:tr>
        <w:trPr>
          <w:trHeight w:val="30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w:t>
            </w:r>
          </w:p>
        </w:tc>
        <w:tc>
          <w:tcPr>
            <w:tcW w:w="1960" w:type="dxa"/>
            <w:vAlign w:val="bottom"/>
            <w:gridSpan w:val="2"/>
            <w:shd w:val="clear" w:color="auto" w:fill="CCEEFF"/>
          </w:tcPr>
          <w:p>
            <w:pPr>
              <w:ind w:left="1400"/>
              <w:spacing w:after="0"/>
              <w:rPr>
                <w:sz w:val="20"/>
                <w:szCs w:val="20"/>
                <w:color w:val="auto"/>
              </w:rPr>
            </w:pPr>
            <w:r>
              <w:rPr>
                <w:rFonts w:ascii="Arial" w:cs="Arial" w:eastAsia="Arial" w:hAnsi="Arial"/>
                <w:sz w:val="22"/>
                <w:szCs w:val="22"/>
                <w:color w:val="auto"/>
              </w:rPr>
              <w:t>—</w:t>
            </w:r>
          </w:p>
        </w:tc>
        <w:tc>
          <w:tcPr>
            <w:tcW w:w="1300" w:type="dxa"/>
            <w:vAlign w:val="bottom"/>
            <w:shd w:val="clear" w:color="auto" w:fill="CCEEFF"/>
          </w:tcPr>
          <w:p>
            <w:pPr>
              <w:jc w:val="right"/>
              <w:ind w:right="1056"/>
              <w:spacing w:after="0"/>
              <w:rPr>
                <w:sz w:val="20"/>
                <w:szCs w:val="20"/>
                <w:color w:val="auto"/>
              </w:rPr>
            </w:pPr>
            <w:r>
              <w:rPr>
                <w:rFonts w:ascii="Arial" w:cs="Arial" w:eastAsia="Arial" w:hAnsi="Arial"/>
                <w:sz w:val="22"/>
                <w:szCs w:val="22"/>
                <w:color w:val="auto"/>
                <w:w w:val="97"/>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2,344</w:t>
            </w: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13"/>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61,553</w:t>
            </w:r>
          </w:p>
        </w:tc>
      </w:tr>
      <w:tr>
        <w:trPr>
          <w:trHeight w:val="289"/>
        </w:trPr>
        <w:tc>
          <w:tcPr>
            <w:tcW w:w="366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1960" w:type="dxa"/>
            <w:vAlign w:val="bottom"/>
            <w:gridSpan w:val="2"/>
          </w:tcPr>
          <w:p>
            <w:pPr>
              <w:ind w:left="1400"/>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056"/>
              <w:spacing w:after="0"/>
              <w:rPr>
                <w:sz w:val="20"/>
                <w:szCs w:val="20"/>
                <w:color w:val="auto"/>
              </w:rPr>
            </w:pPr>
            <w:r>
              <w:rPr>
                <w:rFonts w:ascii="Arial" w:cs="Arial" w:eastAsia="Arial" w:hAnsi="Arial"/>
                <w:sz w:val="22"/>
                <w:szCs w:val="22"/>
                <w:color w:val="auto"/>
                <w:w w:val="97"/>
              </w:rPr>
              <w:t>$</w:t>
            </w:r>
          </w:p>
        </w:tc>
        <w:tc>
          <w:tcPr>
            <w:tcW w:w="64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140" w:type="dxa"/>
            <w:vAlign w:val="bottom"/>
            <w:gridSpan w:val="2"/>
          </w:tcPr>
          <w:p>
            <w:pPr>
              <w:jc w:val="right"/>
              <w:ind w:right="540"/>
              <w:spacing w:after="0"/>
              <w:rPr>
                <w:sz w:val="20"/>
                <w:szCs w:val="20"/>
                <w:color w:val="auto"/>
              </w:rPr>
            </w:pPr>
            <w:r>
              <w:rPr>
                <w:rFonts w:ascii="Arial" w:cs="Arial" w:eastAsia="Arial" w:hAnsi="Arial"/>
                <w:sz w:val="22"/>
                <w:szCs w:val="22"/>
                <w:color w:val="auto"/>
              </w:rPr>
              <w:t>—</w:t>
            </w:r>
          </w:p>
        </w:tc>
        <w:tc>
          <w:tcPr>
            <w:tcW w:w="460" w:type="dxa"/>
            <w:vAlign w:val="bottom"/>
          </w:tcPr>
          <w:p>
            <w:pPr>
              <w:jc w:val="right"/>
              <w:ind w:right="213"/>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0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1960" w:type="dxa"/>
            <w:vAlign w:val="bottom"/>
            <w:gridSpan w:val="2"/>
            <w:shd w:val="clear" w:color="auto" w:fill="CCEEFF"/>
          </w:tcPr>
          <w:p>
            <w:pPr>
              <w:ind w:left="1400"/>
              <w:spacing w:after="0"/>
              <w:rPr>
                <w:sz w:val="20"/>
                <w:szCs w:val="20"/>
                <w:color w:val="auto"/>
              </w:rPr>
            </w:pPr>
            <w:r>
              <w:rPr>
                <w:rFonts w:ascii="Arial" w:cs="Arial" w:eastAsia="Arial" w:hAnsi="Arial"/>
                <w:sz w:val="22"/>
                <w:szCs w:val="22"/>
                <w:color w:val="auto"/>
              </w:rPr>
              <w:t>—</w:t>
            </w:r>
          </w:p>
        </w:tc>
        <w:tc>
          <w:tcPr>
            <w:tcW w:w="1300" w:type="dxa"/>
            <w:vAlign w:val="bottom"/>
            <w:shd w:val="clear" w:color="auto" w:fill="CCEEFF"/>
          </w:tcPr>
          <w:p>
            <w:pPr>
              <w:jc w:val="right"/>
              <w:ind w:right="1056"/>
              <w:spacing w:after="0"/>
              <w:rPr>
                <w:sz w:val="20"/>
                <w:szCs w:val="20"/>
                <w:color w:val="auto"/>
              </w:rPr>
            </w:pPr>
            <w:r>
              <w:rPr>
                <w:rFonts w:ascii="Arial" w:cs="Arial" w:eastAsia="Arial" w:hAnsi="Arial"/>
                <w:sz w:val="22"/>
                <w:szCs w:val="22"/>
                <w:color w:val="auto"/>
                <w:w w:val="97"/>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2140" w:type="dxa"/>
            <w:vAlign w:val="bottom"/>
            <w:gridSpan w:val="2"/>
            <w:shd w:val="clear" w:color="auto" w:fill="CCEEFF"/>
          </w:tcPr>
          <w:p>
            <w:pPr>
              <w:jc w:val="right"/>
              <w:ind w:right="540"/>
              <w:spacing w:after="0"/>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jc w:val="right"/>
              <w:ind w:right="213"/>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bl>
    <w:p>
      <w:pPr>
        <w:spacing w:after="0" w:line="168" w:lineRule="exact"/>
        <w:rPr>
          <w:sz w:val="20"/>
          <w:szCs w:val="20"/>
          <w:color w:val="auto"/>
        </w:rPr>
      </w:pPr>
    </w:p>
    <w:p>
      <w:pPr>
        <w:jc w:val="both"/>
        <w:ind w:firstLine="8"/>
        <w:spacing w:after="0" w:line="253" w:lineRule="auto"/>
        <w:tabs>
          <w:tab w:leader="none" w:pos="5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Value Realized on Exercise represents the difference between the market price of our Common Stock on the date of exercise and the grant price, multiplied by the number of shares acquired. The Value Realized on Vesting represents the market price of our Common Stock on the date of vesting multiplied by the number of shares vested.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Pension Benefits for Fiscal 2015</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 xml:space="preserve">Defined benefit pension plan: </w:t>
      </w:r>
      <w:r>
        <w:rPr>
          <w:rFonts w:ascii="Arial" w:cs="Arial" w:eastAsia="Arial" w:hAnsi="Arial"/>
          <w:sz w:val="21"/>
          <w:szCs w:val="21"/>
          <w:color w:val="auto"/>
        </w:rPr>
        <w:t>All U.S.-based employees participate in our non-contributory, tax-qualified, defined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pension plan commencing on the first February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or August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that follows the date when an employee achieves one year of service and age 21. For salaried employees, including the named executive officers, the pension plan provides for pensions based on credited years of service (capped at 30 years) and Final Average Compensation.</w:t>
      </w:r>
    </w:p>
    <w:p>
      <w:pPr>
        <w:spacing w:after="0" w:line="1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p>
      <w:pPr>
        <w:spacing w:after="0" w:line="200" w:lineRule="exact"/>
        <w:rPr>
          <w:sz w:val="20"/>
          <w:szCs w:val="20"/>
          <w:color w:val="auto"/>
        </w:rPr>
      </w:pPr>
    </w:p>
    <w:p>
      <w:pPr>
        <w:spacing w:after="0" w:line="298"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0.55% of Final Average Compensation</w:t>
      </w:r>
    </w:p>
    <w:p>
      <w:pPr>
        <w:spacing w:after="0" w:line="44"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0.55% of Final Average Compensation that exceeds</w:t>
      </w:r>
    </w:p>
    <w:p>
      <w:pPr>
        <w:spacing w:after="0" w:line="8" w:lineRule="exact"/>
        <w:rPr>
          <w:sz w:val="20"/>
          <w:szCs w:val="20"/>
          <w:color w:val="auto"/>
        </w:rPr>
      </w:pPr>
    </w:p>
    <w:p>
      <w:pPr>
        <w:ind w:left="2960" w:right="4160" w:hanging="170"/>
        <w:spacing w:after="0" w:line="368" w:lineRule="auto"/>
        <w:tabs>
          <w:tab w:leader="none" w:pos="3851" w:val="left"/>
        </w:tabs>
        <w:numPr>
          <w:ilvl w:val="0"/>
          <w:numId w:val="53"/>
        </w:numPr>
        <w:rPr>
          <w:rFonts w:ascii="Arial" w:cs="Arial" w:eastAsia="Arial" w:hAnsi="Arial"/>
          <w:sz w:val="19"/>
          <w:szCs w:val="19"/>
          <w:color w:val="auto"/>
        </w:rPr>
      </w:pPr>
      <w:r>
        <w:rPr>
          <w:rFonts w:ascii="Arial" w:cs="Arial" w:eastAsia="Arial" w:hAnsi="Arial"/>
          <w:sz w:val="19"/>
          <w:szCs w:val="19"/>
          <w:color w:val="auto"/>
        </w:rPr>
        <w:t>Social Security Covered Compensation Multiplied by years of credited service</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participant’s right to an accrued benefit becomes non-forfeitable after five years of vesting service. Normal retirement age under the plan is age 65, or the date a participant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27" w:right="239" w:bottom="1440" w:gutter="0" w:footer="0" w:header="0"/>
        </w:sectPr>
      </w:pPr>
    </w:p>
    <w:bookmarkStart w:id="52" w:name="page53"/>
    <w:bookmarkEnd w:id="52"/>
    <w:p>
      <w:pPr>
        <w:jc w:val="both"/>
        <w:ind w:firstLine="648"/>
        <w:spacing w:after="0" w:line="253" w:lineRule="auto"/>
        <w:rPr>
          <w:sz w:val="20"/>
          <w:szCs w:val="20"/>
          <w:color w:val="auto"/>
        </w:rPr>
      </w:pPr>
      <w:r>
        <w:rPr>
          <w:rFonts w:ascii="Arial" w:cs="Arial" w:eastAsia="Arial" w:hAnsi="Arial"/>
          <w:sz w:val="22"/>
          <w:szCs w:val="22"/>
          <w:color w:val="auto"/>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SERP: </w:t>
      </w:r>
      <w:r>
        <w:rPr>
          <w:rFonts w:ascii="Arial" w:cs="Arial" w:eastAsia="Arial" w:hAnsi="Arial"/>
          <w:sz w:val="21"/>
          <w:szCs w:val="21"/>
          <w:color w:val="auto"/>
        </w:rPr>
        <w:t>Our SERP provides benefits that would have been provided under our pension plan absent Code limitations on</w:t>
      </w:r>
      <w:r>
        <w:rPr>
          <w:rFonts w:ascii="Arial" w:cs="Arial" w:eastAsia="Arial" w:hAnsi="Arial"/>
          <w:sz w:val="21"/>
          <w:szCs w:val="21"/>
          <w:b w:val="1"/>
          <w:bCs w:val="1"/>
          <w:color w:val="auto"/>
        </w:rPr>
        <w:t xml:space="preserve"> </w:t>
      </w:r>
      <w:r>
        <w:rPr>
          <w:rFonts w:ascii="Arial" w:cs="Arial" w:eastAsia="Arial" w:hAnsi="Arial"/>
          <w:sz w:val="21"/>
          <w:szCs w:val="21"/>
          <w:color w:val="auto"/>
        </w:rPr>
        <w:t>benefits and on compensation for purposes of calculating benefits, offset by the actual pension benefits. All employees whose pension plan benefits are limited by those Code limitations may participate in the SERP. Currently, Daniel S. Jaffee, our CEO, and Mark E. Lewry, our COO, are the only participants; however, Mr. Lewry will not be vested in the plan until March 31, 2019. Benefits provided under the SERP are paid in five equal annual installments beginning six months after the participant’s separation from service; however, if upon termination of employment the present value of the participant’s accumulated benefits does not exceed $50,000, payment will be made in a lump sum, as soon as administratively feasible after the first day of the calendar month that follows six months of separation from service.</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shows the present value of the accumulated benefits under the pension plan and under the SERP for each of the named executive officers. No payments were made to any named executive officer under the pension plan or the SERP during fiscal 2015.</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Number of Years of</w:t>
            </w:r>
          </w:p>
        </w:tc>
        <w:tc>
          <w:tcPr>
            <w:tcW w:w="280" w:type="dxa"/>
            <w:vAlign w:val="bottom"/>
          </w:tcPr>
          <w:p>
            <w:pPr>
              <w:spacing w:after="0"/>
              <w:rPr>
                <w:sz w:val="19"/>
                <w:szCs w:val="19"/>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8"/>
              </w:rPr>
              <w:t>Present Value of</w:t>
            </w:r>
          </w:p>
        </w:tc>
      </w:t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Credited Service</w:t>
            </w:r>
          </w:p>
        </w:tc>
        <w:tc>
          <w:tcPr>
            <w:tcW w:w="280" w:type="dxa"/>
            <w:vAlign w:val="bottom"/>
          </w:tcPr>
          <w:p>
            <w:pPr>
              <w:spacing w:after="0"/>
              <w:rPr>
                <w:sz w:val="19"/>
                <w:szCs w:val="19"/>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8"/>
              </w:rPr>
              <w:t>Accumulated Benefits</w:t>
            </w:r>
          </w:p>
        </w:tc>
      </w:t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9"/>
              </w:rPr>
              <w:t>($)</w:t>
            </w:r>
          </w:p>
        </w:tc>
      </w:tr>
      <w:tr>
        <w:trPr>
          <w:trHeight w:val="256"/>
        </w:trPr>
        <w:tc>
          <w:tcPr>
            <w:tcW w:w="274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29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Plan Name</w:t>
            </w:r>
          </w:p>
        </w:tc>
        <w:tc>
          <w:tcPr>
            <w:tcW w:w="2740" w:type="dxa"/>
            <w:vAlign w:val="bottom"/>
          </w:tcPr>
          <w:p>
            <w:pPr>
              <w:jc w:val="center"/>
              <w:spacing w:after="0"/>
              <w:rPr>
                <w:sz w:val="20"/>
                <w:szCs w:val="20"/>
                <w:color w:val="auto"/>
              </w:rPr>
            </w:pPr>
            <w:r>
              <w:rPr>
                <w:rFonts w:ascii="Arial" w:cs="Arial" w:eastAsia="Arial" w:hAnsi="Arial"/>
                <w:sz w:val="20"/>
                <w:szCs w:val="20"/>
                <w:b w:val="1"/>
                <w:bCs w:val="1"/>
                <w:color w:val="auto"/>
                <w:w w:val="89"/>
              </w:rPr>
              <w:t>(1)</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9"/>
              </w:rPr>
              <w:t>(2)</w:t>
            </w:r>
          </w:p>
        </w:tc>
      </w:tr>
      <w:tr>
        <w:trPr>
          <w:trHeight w:val="23"/>
        </w:trPr>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91"/>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0"/>
              </w:rPr>
              <w:t>27.75</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459,946</w:t>
            </w:r>
          </w:p>
        </w:tc>
      </w:tr>
      <w:tr>
        <w:trPr>
          <w:trHeight w:val="289"/>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SERP</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27.75</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tcPr>
          <w:p>
            <w:pPr>
              <w:jc w:val="right"/>
              <w:spacing w:after="0"/>
              <w:rPr>
                <w:sz w:val="20"/>
                <w:szCs w:val="20"/>
                <w:color w:val="auto"/>
              </w:rPr>
            </w:pPr>
            <w:r>
              <w:rPr>
                <w:rFonts w:ascii="Arial" w:cs="Arial" w:eastAsia="Arial" w:hAnsi="Arial"/>
                <w:sz w:val="22"/>
                <w:szCs w:val="22"/>
                <w:color w:val="auto"/>
              </w:rPr>
              <w:t>606,492</w:t>
            </w:r>
          </w:p>
        </w:tc>
      </w:tr>
      <w:tr>
        <w:trPr>
          <w:trHeight w:val="306"/>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T. Smith</w:t>
            </w: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0"/>
              </w:rPr>
              <w:t>14.79</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165,171</w:t>
            </w:r>
          </w:p>
        </w:tc>
      </w:tr>
      <w:tr>
        <w:trPr>
          <w:trHeight w:val="289"/>
        </w:trPr>
        <w:tc>
          <w:tcPr>
            <w:tcW w:w="2740" w:type="dxa"/>
            <w:vAlign w:val="bottom"/>
            <w:gridSpan w:val="2"/>
          </w:tcPr>
          <w:p>
            <w:pPr>
              <w:ind w:left="40"/>
              <w:spacing w:after="0"/>
              <w:rPr>
                <w:sz w:val="20"/>
                <w:szCs w:val="20"/>
                <w:color w:val="auto"/>
              </w:rPr>
            </w:pPr>
            <w:r>
              <w:rPr>
                <w:rFonts w:ascii="Arial" w:cs="Arial" w:eastAsia="Arial" w:hAnsi="Arial"/>
                <w:sz w:val="22"/>
                <w:szCs w:val="22"/>
                <w:color w:val="auto"/>
              </w:rPr>
              <w:t>Thomas F. Cofsky</w:t>
            </w:r>
          </w:p>
        </w:tc>
        <w:tc>
          <w:tcPr>
            <w:tcW w:w="298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28.33</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tcPr>
          <w:p>
            <w:pPr>
              <w:jc w:val="right"/>
              <w:spacing w:after="0"/>
              <w:rPr>
                <w:sz w:val="20"/>
                <w:szCs w:val="20"/>
                <w:color w:val="auto"/>
              </w:rPr>
            </w:pPr>
            <w:r>
              <w:rPr>
                <w:rFonts w:ascii="Arial" w:cs="Arial" w:eastAsia="Arial" w:hAnsi="Arial"/>
                <w:sz w:val="22"/>
                <w:szCs w:val="22"/>
                <w:color w:val="auto"/>
              </w:rPr>
              <w:t>455,129</w:t>
            </w:r>
          </w:p>
        </w:tc>
      </w:tr>
      <w:tr>
        <w:trPr>
          <w:trHeight w:val="306"/>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Douglas A. Graham</w:t>
            </w: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8"/>
              </w:rPr>
              <w:t>4.48</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50,719</w:t>
            </w:r>
          </w:p>
        </w:tc>
      </w:tr>
      <w:tr>
        <w:trPr>
          <w:trHeight w:val="289"/>
        </w:trPr>
        <w:tc>
          <w:tcPr>
            <w:tcW w:w="2740" w:type="dxa"/>
            <w:vAlign w:val="bottom"/>
            <w:gridSpan w:val="2"/>
          </w:tcPr>
          <w:p>
            <w:pPr>
              <w:ind w:left="40"/>
              <w:spacing w:after="0"/>
              <w:rPr>
                <w:sz w:val="20"/>
                <w:szCs w:val="20"/>
                <w:color w:val="auto"/>
              </w:rPr>
            </w:pPr>
            <w:r>
              <w:rPr>
                <w:rFonts w:ascii="Arial" w:cs="Arial" w:eastAsia="Arial" w:hAnsi="Arial"/>
                <w:sz w:val="22"/>
                <w:szCs w:val="22"/>
                <w:color w:val="auto"/>
              </w:rPr>
              <w:t>Mark E. Lewry</w:t>
            </w:r>
          </w:p>
        </w:tc>
        <w:tc>
          <w:tcPr>
            <w:tcW w:w="298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tcPr>
          <w:p>
            <w:pPr>
              <w:jc w:val="center"/>
              <w:spacing w:after="0"/>
              <w:rPr>
                <w:sz w:val="20"/>
                <w:szCs w:val="20"/>
                <w:color w:val="auto"/>
              </w:rPr>
            </w:pPr>
            <w:r>
              <w:rPr>
                <w:rFonts w:ascii="Arial" w:cs="Arial" w:eastAsia="Arial" w:hAnsi="Arial"/>
                <w:sz w:val="22"/>
                <w:szCs w:val="22"/>
                <w:color w:val="auto"/>
                <w:w w:val="88"/>
              </w:rPr>
              <w:t>1.33</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tcPr>
          <w:p>
            <w:pPr>
              <w:jc w:val="right"/>
              <w:spacing w:after="0"/>
              <w:rPr>
                <w:sz w:val="20"/>
                <w:szCs w:val="20"/>
                <w:color w:val="auto"/>
              </w:rPr>
            </w:pPr>
            <w:r>
              <w:rPr>
                <w:rFonts w:ascii="Arial" w:cs="Arial" w:eastAsia="Arial" w:hAnsi="Arial"/>
                <w:sz w:val="22"/>
                <w:szCs w:val="22"/>
                <w:color w:val="auto"/>
              </w:rPr>
              <w:t>18,998</w:t>
            </w:r>
          </w:p>
        </w:tc>
      </w:tr>
      <w:tr>
        <w:trPr>
          <w:trHeight w:val="306"/>
        </w:trPr>
        <w:tc>
          <w:tcPr>
            <w:tcW w:w="2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SERP</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8"/>
              </w:rPr>
              <w:t>1.33</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6,411</w:t>
            </w:r>
          </w:p>
        </w:tc>
      </w:tr>
    </w:tbl>
    <w:p>
      <w:pPr>
        <w:spacing w:after="0" w:line="168" w:lineRule="exact"/>
        <w:rPr>
          <w:sz w:val="20"/>
          <w:szCs w:val="20"/>
          <w:color w:val="auto"/>
        </w:rPr>
      </w:pPr>
    </w:p>
    <w:p>
      <w:pPr>
        <w:ind w:left="480" w:hanging="472"/>
        <w:spacing w:after="0"/>
        <w:tabs>
          <w:tab w:leader="none" w:pos="4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Credited service is actual years of employment with the Company.</w:t>
      </w:r>
    </w:p>
    <w:p>
      <w:pPr>
        <w:spacing w:after="0" w:line="179" w:lineRule="exact"/>
        <w:rPr>
          <w:rFonts w:ascii="Arial" w:cs="Arial" w:eastAsia="Arial" w:hAnsi="Arial"/>
          <w:sz w:val="22"/>
          <w:szCs w:val="22"/>
          <w:color w:val="auto"/>
        </w:rPr>
      </w:pPr>
    </w:p>
    <w:p>
      <w:pPr>
        <w:jc w:val="both"/>
        <w:ind w:firstLine="8"/>
        <w:spacing w:after="0" w:line="265" w:lineRule="auto"/>
        <w:tabs>
          <w:tab w:leader="none" w:pos="567"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assumed retirement age used to calculate the actuarial present value for each named executive officer’s accumulated benefits is age 65, the age at which each named executive officer would be eligible to receive unreduced benefits. The other assumptions used are the same as those used to prepare the pension disclosures in the notes to our audited consolidated financial statements included in our Annual Report on Form 10-K for fiscal year ended July 31, 2015.</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Deferred Compensation for Fiscal 2015</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provide an executive deferred compensation plan in which all executive officers and other senior managers are eligible to participate. Participating executives may defer up to 50% of base salary and 100% of annual cash incentive bonus into the plan. The Company makes no contributions.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80" w:right="23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22"/>
          <w:szCs w:val="22"/>
          <w:color w:val="auto"/>
        </w:rPr>
        <w:t>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table shows contributions, earnings and balances in our executive deferred compensation plan for the named executive officers during fiscal 2015.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6"/>
              </w:rPr>
              <w:t>Aggregate</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7"/>
              </w:rPr>
              <w:t>Executive</w:t>
            </w:r>
          </w:p>
        </w:tc>
        <w:tc>
          <w:tcPr>
            <w:tcW w:w="14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8"/>
              </w:rPr>
              <w:t>Registrant</w:t>
            </w: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1"/>
              </w:rPr>
              <w:t>Earnings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0"/>
              </w:rPr>
              <w:t>Contributions in</w:t>
            </w:r>
          </w:p>
        </w:tc>
        <w:tc>
          <w:tcPr>
            <w:tcW w:w="14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90"/>
              </w:rPr>
              <w:t>Contributions in</w:t>
            </w: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9"/>
              </w:rPr>
              <w:t>in Last</w:t>
            </w:r>
          </w:p>
        </w:tc>
        <w:tc>
          <w:tcPr>
            <w:tcW w:w="16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6"/>
              </w:rPr>
              <w:t>Aggregate</w:t>
            </w:r>
          </w:p>
        </w:tc>
        <w:tc>
          <w:tcPr>
            <w:tcW w:w="220" w:type="dxa"/>
            <w:vAlign w:val="bottom"/>
          </w:tcPr>
          <w:p>
            <w:pPr>
              <w:spacing w:after="0"/>
              <w:rPr>
                <w:sz w:val="19"/>
                <w:szCs w:val="19"/>
                <w:color w:val="auto"/>
              </w:rPr>
            </w:pPr>
          </w:p>
        </w:tc>
        <w:tc>
          <w:tcPr>
            <w:tcW w:w="1260" w:type="dxa"/>
            <w:vAlign w:val="bottom"/>
          </w:tcPr>
          <w:p>
            <w:pPr>
              <w:jc w:val="center"/>
              <w:ind w:right="95"/>
              <w:spacing w:after="0"/>
              <w:rPr>
                <w:sz w:val="20"/>
                <w:szCs w:val="20"/>
                <w:color w:val="auto"/>
              </w:rPr>
            </w:pPr>
            <w:r>
              <w:rPr>
                <w:rFonts w:ascii="Arial" w:cs="Arial" w:eastAsia="Arial" w:hAnsi="Arial"/>
                <w:sz w:val="20"/>
                <w:szCs w:val="20"/>
                <w:b w:val="1"/>
                <w:bCs w:val="1"/>
                <w:color w:val="auto"/>
                <w:w w:val="86"/>
              </w:rPr>
              <w:t>Aggregate</w:t>
            </w: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9"/>
              </w:rPr>
              <w:t>Last Fiscal Year</w:t>
            </w:r>
          </w:p>
        </w:tc>
        <w:tc>
          <w:tcPr>
            <w:tcW w:w="14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9"/>
              </w:rPr>
              <w:t>Last Fiscal Year</w:t>
            </w: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8"/>
              </w:rPr>
              <w:t>Fiscal Year</w:t>
            </w:r>
          </w:p>
        </w:tc>
        <w:tc>
          <w:tcPr>
            <w:tcW w:w="16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2"/>
              </w:rPr>
              <w:t>Withdrawals/</w:t>
            </w:r>
          </w:p>
        </w:tc>
        <w:tc>
          <w:tcPr>
            <w:tcW w:w="14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Balance at Last</w:t>
            </w: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56"/>
              <w:spacing w:after="0"/>
              <w:rPr>
                <w:sz w:val="20"/>
                <w:szCs w:val="20"/>
                <w:color w:val="auto"/>
              </w:rPr>
            </w:pPr>
            <w:r>
              <w:rPr>
                <w:rFonts w:ascii="Arial" w:cs="Arial" w:eastAsia="Arial" w:hAnsi="Arial"/>
                <w:sz w:val="20"/>
                <w:szCs w:val="20"/>
                <w:b w:val="1"/>
                <w:bCs w:val="1"/>
                <w:color w:val="auto"/>
                <w:w w:val="97"/>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center"/>
              <w:ind w:right="36"/>
              <w:spacing w:after="0"/>
              <w:rPr>
                <w:sz w:val="20"/>
                <w:szCs w:val="20"/>
                <w:color w:val="auto"/>
              </w:rPr>
            </w:pPr>
            <w:r>
              <w:rPr>
                <w:rFonts w:ascii="Arial" w:cs="Arial" w:eastAsia="Arial" w:hAnsi="Arial"/>
                <w:sz w:val="20"/>
                <w:szCs w:val="20"/>
                <w:b w:val="1"/>
                <w:bCs w:val="1"/>
                <w:color w:val="auto"/>
                <w:w w:val="97"/>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7"/>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9"/>
              </w:rPr>
              <w:t>Distributions</w:t>
            </w:r>
          </w:p>
        </w:tc>
        <w:tc>
          <w:tcPr>
            <w:tcW w:w="14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Fiscal Year End</w:t>
            </w:r>
          </w:p>
        </w:tc>
      </w:tr>
      <w:tr>
        <w:trPr>
          <w:trHeight w:val="256"/>
        </w:trPr>
        <w:tc>
          <w:tcPr>
            <w:tcW w:w="250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160" w:type="dxa"/>
            <w:vAlign w:val="bottom"/>
          </w:tcPr>
          <w:p>
            <w:pPr>
              <w:spacing w:after="0"/>
              <w:rPr>
                <w:sz w:val="22"/>
                <w:szCs w:val="22"/>
                <w:color w:val="auto"/>
              </w:rPr>
            </w:pPr>
          </w:p>
        </w:tc>
        <w:tc>
          <w:tcPr>
            <w:tcW w:w="1560" w:type="dxa"/>
            <w:vAlign w:val="bottom"/>
          </w:tcPr>
          <w:p>
            <w:pPr>
              <w:jc w:val="center"/>
              <w:ind w:right="56"/>
              <w:spacing w:after="0"/>
              <w:rPr>
                <w:sz w:val="20"/>
                <w:szCs w:val="20"/>
                <w:color w:val="auto"/>
              </w:rPr>
            </w:pPr>
            <w:r>
              <w:rPr>
                <w:rFonts w:ascii="Arial" w:cs="Arial" w:eastAsia="Arial" w:hAnsi="Arial"/>
                <w:sz w:val="20"/>
                <w:szCs w:val="20"/>
                <w:b w:val="1"/>
                <w:bCs w:val="1"/>
                <w:color w:val="auto"/>
                <w:w w:val="97"/>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center"/>
              <w:ind w:right="36"/>
              <w:spacing w:after="0"/>
              <w:rPr>
                <w:sz w:val="20"/>
                <w:szCs w:val="20"/>
                <w:color w:val="auto"/>
              </w:rPr>
            </w:pPr>
            <w:r>
              <w:rPr>
                <w:rFonts w:ascii="Arial" w:cs="Arial" w:eastAsia="Arial" w:hAnsi="Arial"/>
                <w:sz w:val="20"/>
                <w:szCs w:val="20"/>
                <w:b w:val="1"/>
                <w:bCs w:val="1"/>
                <w:color w:val="auto"/>
                <w:w w:val="97"/>
              </w:rPr>
              <w:t>(2)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center"/>
              <w:ind w:right="117"/>
              <w:spacing w:after="0"/>
              <w:rPr>
                <w:sz w:val="20"/>
                <w:szCs w:val="20"/>
                <w:color w:val="auto"/>
              </w:rPr>
            </w:pPr>
            <w:r>
              <w:rPr>
                <w:rFonts w:ascii="Arial" w:cs="Arial" w:eastAsia="Arial" w:hAnsi="Arial"/>
                <w:sz w:val="20"/>
                <w:szCs w:val="20"/>
                <w:b w:val="1"/>
                <w:bCs w:val="1"/>
                <w:color w:val="auto"/>
                <w:w w:val="89"/>
              </w:rPr>
              <w:t>(3)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center"/>
              <w:ind w:right="56"/>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center"/>
              <w:ind w:right="115"/>
              <w:spacing w:after="0"/>
              <w:rPr>
                <w:sz w:val="20"/>
                <w:szCs w:val="20"/>
                <w:color w:val="auto"/>
              </w:rPr>
            </w:pPr>
            <w:r>
              <w:rPr>
                <w:rFonts w:ascii="Arial" w:cs="Arial" w:eastAsia="Arial" w:hAnsi="Arial"/>
                <w:sz w:val="20"/>
                <w:szCs w:val="20"/>
                <w:b w:val="1"/>
                <w:bCs w:val="1"/>
                <w:color w:val="auto"/>
                <w:w w:val="97"/>
              </w:rPr>
              <w:t>($)</w:t>
            </w:r>
          </w:p>
        </w:tc>
      </w:tr>
      <w:tr>
        <w:trPr>
          <w:trHeight w:val="23"/>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22"/>
                <w:szCs w:val="22"/>
                <w:color w:val="auto"/>
              </w:rPr>
              <w:t>32,418</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83,694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646,493</w:t>
            </w:r>
          </w:p>
        </w:tc>
      </w:tr>
      <w:tr>
        <w:trPr>
          <w:trHeight w:val="289"/>
        </w:trPr>
        <w:tc>
          <w:tcPr>
            <w:tcW w:w="250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ind w:left="124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17"/>
              <w:spacing w:after="0"/>
              <w:rPr>
                <w:sz w:val="20"/>
                <w:szCs w:val="20"/>
                <w:color w:val="auto"/>
              </w:rPr>
            </w:pPr>
            <w:r>
              <w:rPr>
                <w:rFonts w:ascii="Arial" w:cs="Arial" w:eastAsia="Arial" w:hAnsi="Arial"/>
                <w:sz w:val="22"/>
                <w:szCs w:val="22"/>
                <w:color w:val="auto"/>
              </w:rPr>
              <w:t>24,244</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502,713</w:t>
            </w:r>
          </w:p>
        </w:tc>
      </w:tr>
      <w:tr>
        <w:trPr>
          <w:trHeight w:val="306"/>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36,839</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22"/>
                <w:szCs w:val="22"/>
                <w:color w:val="auto"/>
              </w:rPr>
              <w:t>31,740</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33,173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676,372</w:t>
            </w:r>
          </w:p>
        </w:tc>
      </w:tr>
      <w:tr>
        <w:trPr>
          <w:trHeight w:val="289"/>
        </w:trPr>
        <w:tc>
          <w:tcPr>
            <w:tcW w:w="250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ind w:left="124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17"/>
              <w:spacing w:after="0"/>
              <w:rPr>
                <w:sz w:val="20"/>
                <w:szCs w:val="20"/>
                <w:color w:val="auto"/>
              </w:rPr>
            </w:pPr>
            <w:r>
              <w:rPr>
                <w:rFonts w:ascii="Arial" w:cs="Arial" w:eastAsia="Arial" w:hAnsi="Arial"/>
                <w:sz w:val="22"/>
                <w:szCs w:val="22"/>
                <w:color w:val="auto"/>
              </w:rPr>
              <w:t>1,598</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33,131</w:t>
            </w:r>
          </w:p>
        </w:tc>
      </w:tr>
      <w:tr>
        <w:trPr>
          <w:trHeight w:val="306"/>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96,599</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96,599</w:t>
            </w:r>
          </w:p>
        </w:tc>
      </w:tr>
    </w:tbl>
    <w:p>
      <w:pPr>
        <w:spacing w:after="0" w:line="168" w:lineRule="exact"/>
        <w:rPr>
          <w:sz w:val="20"/>
          <w:szCs w:val="20"/>
          <w:color w:val="auto"/>
        </w:rPr>
      </w:pPr>
    </w:p>
    <w:p>
      <w:pPr>
        <w:ind w:left="480" w:hanging="472"/>
        <w:spacing w:after="0"/>
        <w:tabs>
          <w:tab w:leader="none" w:pos="4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amounts in this column are voluntary deductions from salary and cash incentive awards by the named executive officers.</w:t>
      </w:r>
    </w:p>
    <w:p>
      <w:pPr>
        <w:spacing w:after="0" w:line="213" w:lineRule="exact"/>
        <w:rPr>
          <w:rFonts w:ascii="Arial" w:cs="Arial" w:eastAsia="Arial" w:hAnsi="Arial"/>
          <w:sz w:val="19"/>
          <w:szCs w:val="19"/>
          <w:color w:val="auto"/>
        </w:rPr>
      </w:pPr>
    </w:p>
    <w:p>
      <w:pPr>
        <w:ind w:left="480" w:hanging="472"/>
        <w:spacing w:after="0"/>
        <w:tabs>
          <w:tab w:leader="none" w:pos="4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We make no contribution to the executive deferred compensation plan.</w:t>
      </w:r>
    </w:p>
    <w:p>
      <w:pPr>
        <w:spacing w:after="0" w:line="179" w:lineRule="exact"/>
        <w:rPr>
          <w:rFonts w:ascii="Arial" w:cs="Arial" w:eastAsia="Arial" w:hAnsi="Arial"/>
          <w:sz w:val="22"/>
          <w:szCs w:val="22"/>
          <w:color w:val="auto"/>
        </w:rPr>
      </w:pPr>
    </w:p>
    <w:p>
      <w:pPr>
        <w:ind w:left="520" w:hanging="512"/>
        <w:spacing w:after="0"/>
        <w:tabs>
          <w:tab w:leader="none" w:pos="5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We credit the accounts under the terms of the plan with an interest rate that is equal to our long-term cost of borrowing plus</w:t>
      </w:r>
    </w:p>
    <w:p>
      <w:pPr>
        <w:spacing w:after="0" w:line="56"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1%. The amounts shown include the following amounts exceeding 120% of the applicable federal rate and reported as compensation to the following named executive officers in the Summary Compensation Table: Mr. Jaffee $12,005, Mr. Smith $8,959, Mr. Cofsky $11,717 and Mr. Graham $590.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Compensation Plans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provides information about our equity compensation plans and stock that may be issued upon the exercise of options and rights that have been or may be granted to employees or members of our Board of Directors under those plans as of July 31,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of Stock</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Number of Shares of Stock to</w:t>
            </w:r>
          </w:p>
        </w:tc>
        <w:tc>
          <w:tcPr>
            <w:tcW w:w="12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 Average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Equity Compensation</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87"/>
              </w:rPr>
              <w:t>be Issued Upon Exercise of</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Exercise Price of</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Plans (excluding those</w:t>
            </w:r>
          </w:p>
        </w:tc>
      </w:tr>
      <w:tr>
        <w:trPr>
          <w:trHeight w:val="234"/>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Outstanding Options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 Options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listed in the first column)</w:t>
            </w:r>
          </w:p>
        </w:tc>
      </w:tr>
      <w:tr>
        <w:trPr>
          <w:trHeight w:val="27"/>
        </w:trPr>
        <w:tc>
          <w:tcPr>
            <w:tcW w:w="2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2"/>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Equity Compensation Plan Approved</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3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 our Stockholders</w:t>
            </w: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2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41,250  Common Stock</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(2)</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15.43</w:t>
            </w:r>
          </w:p>
        </w:tc>
        <w:tc>
          <w:tcPr>
            <w:tcW w:w="220" w:type="dxa"/>
            <w:vAlign w:val="bottom"/>
            <w:shd w:val="clear" w:color="auto" w:fill="CCEEFF"/>
          </w:tcPr>
          <w:p>
            <w:pPr>
              <w:spacing w:after="0"/>
              <w:rPr>
                <w:sz w:val="20"/>
                <w:szCs w:val="20"/>
                <w:color w:val="auto"/>
              </w:rPr>
            </w:pPr>
          </w:p>
        </w:tc>
        <w:tc>
          <w:tcPr>
            <w:tcW w:w="2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541,604 (3)</w:t>
            </w:r>
          </w:p>
        </w:tc>
      </w:tr>
      <w:tr>
        <w:trPr>
          <w:trHeight w:val="27"/>
        </w:trPr>
        <w:tc>
          <w:tcPr>
            <w:tcW w:w="2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16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This plan is our 2006 Long Term Incentive Plan.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80" w:right="239" w:bottom="1440" w:gutter="0" w:footer="0" w:header="0"/>
        </w:sectPr>
      </w:pPr>
    </w:p>
    <w:bookmarkStart w:id="54" w:name="page55"/>
    <w:bookmarkEnd w:id="54"/>
    <w:p>
      <w:pPr>
        <w:jc w:val="both"/>
        <w:ind w:firstLine="8"/>
        <w:spacing w:after="0" w:line="253" w:lineRule="auto"/>
        <w:tabs>
          <w:tab w:leader="none" w:pos="510" w:val="left"/>
        </w:tabs>
        <w:numPr>
          <w:ilvl w:val="0"/>
          <w:numId w:val="56"/>
        </w:numPr>
        <w:rPr>
          <w:rFonts w:ascii="Arial" w:cs="Arial" w:eastAsia="Arial" w:hAnsi="Arial"/>
          <w:sz w:val="22"/>
          <w:szCs w:val="22"/>
          <w:color w:val="auto"/>
        </w:rPr>
      </w:pPr>
      <w:r>
        <w:rPr>
          <w:rFonts w:ascii="Arial" w:cs="Arial" w:eastAsia="Arial" w:hAnsi="Arial"/>
          <w:sz w:val="22"/>
          <w:szCs w:val="22"/>
          <w:color w:val="auto"/>
        </w:rPr>
        <w:t>Under this plan, awards made to members of the Jaffee family are for shares of Class B Stock. There were no awards to the Jaffee family outstanding as of July 31, 2015. Awards made to other employees or non-employee directors are for shares of Common Stock.</w:t>
      </w:r>
    </w:p>
    <w:p>
      <w:pPr>
        <w:spacing w:after="0" w:line="145" w:lineRule="exact"/>
        <w:rPr>
          <w:rFonts w:ascii="Arial" w:cs="Arial" w:eastAsia="Arial" w:hAnsi="Arial"/>
          <w:sz w:val="22"/>
          <w:szCs w:val="22"/>
          <w:color w:val="auto"/>
        </w:rPr>
      </w:pPr>
    </w:p>
    <w:p>
      <w:pPr>
        <w:jc w:val="both"/>
        <w:ind w:firstLine="8"/>
        <w:spacing w:after="0" w:line="253" w:lineRule="auto"/>
        <w:tabs>
          <w:tab w:leader="none" w:pos="468" w:val="left"/>
        </w:tabs>
        <w:numPr>
          <w:ilvl w:val="0"/>
          <w:numId w:val="56"/>
        </w:numPr>
        <w:rPr>
          <w:rFonts w:ascii="Arial" w:cs="Arial" w:eastAsia="Arial" w:hAnsi="Arial"/>
          <w:sz w:val="22"/>
          <w:szCs w:val="22"/>
          <w:color w:val="auto"/>
        </w:rPr>
      </w:pPr>
      <w:r>
        <w:rPr>
          <w:rFonts w:ascii="Arial" w:cs="Arial" w:eastAsia="Arial" w:hAnsi="Arial"/>
          <w:sz w:val="22"/>
          <w:szCs w:val="22"/>
          <w:color w:val="auto"/>
        </w:rPr>
        <w:t>Prior to issuance of awards under this plan, it is not possible to determine whether awards will be for shares of Common Stock or shares of Class B Stock. Awards made to members of the Jaffee family will be for shares of Class B Stock. Awards made to other employees or non-employee directors will be for shares of Common Stock.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Benefits upon Termination or Change in Control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We do not have a prospective severance plan that covers any of the named executive officers and generally have no employment or prospective severance agreements with the named executive officers.</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Our only other provisions for benefits upon termination of employment or change in control are in existing compensation plans and apply to all participants in those plans.</w:t>
      </w:r>
    </w:p>
    <w:p>
      <w:pPr>
        <w:spacing w:after="0" w:line="53" w:lineRule="exact"/>
        <w:rPr>
          <w:sz w:val="20"/>
          <w:szCs w:val="20"/>
          <w:color w:val="auto"/>
        </w:rPr>
      </w:pPr>
    </w:p>
    <w:p>
      <w:pPr>
        <w:jc w:val="both"/>
        <w:ind w:left="980" w:hanging="324"/>
        <w:spacing w:after="0" w:line="273" w:lineRule="auto"/>
        <w:tabs>
          <w:tab w:leader="none" w:pos="980" w:val="left"/>
        </w:tabs>
        <w:numPr>
          <w:ilvl w:val="0"/>
          <w:numId w:val="57"/>
        </w:numPr>
        <w:rPr>
          <w:rFonts w:ascii="Arial" w:cs="Arial" w:eastAsia="Arial" w:hAnsi="Arial"/>
          <w:sz w:val="25"/>
          <w:szCs w:val="25"/>
          <w:color w:val="auto"/>
        </w:rPr>
      </w:pPr>
      <w:r>
        <w:rPr>
          <w:rFonts w:ascii="Arial" w:cs="Arial" w:eastAsia="Arial" w:hAnsi="Arial"/>
          <w:sz w:val="22"/>
          <w:szCs w:val="22"/>
          <w:color w:val="auto"/>
        </w:rPr>
        <w:t>Our annual incentive plan provides for immediate vesting, as allowed by law, of a participant’s executive deferred bonus award account upon the participant’s death, disability, retirement with age plus years of service equal to 80 years, or change in control of the Company.</w:t>
      </w:r>
    </w:p>
    <w:p>
      <w:pPr>
        <w:spacing w:after="0" w:line="42" w:lineRule="exact"/>
        <w:rPr>
          <w:rFonts w:ascii="Arial" w:cs="Arial" w:eastAsia="Arial" w:hAnsi="Arial"/>
          <w:sz w:val="25"/>
          <w:szCs w:val="25"/>
          <w:color w:val="auto"/>
        </w:rPr>
      </w:pPr>
    </w:p>
    <w:p>
      <w:pPr>
        <w:jc w:val="both"/>
        <w:ind w:left="980" w:hanging="324"/>
        <w:spacing w:after="0" w:line="278" w:lineRule="auto"/>
        <w:tabs>
          <w:tab w:leader="none" w:pos="980" w:val="left"/>
        </w:tabs>
        <w:numPr>
          <w:ilvl w:val="0"/>
          <w:numId w:val="57"/>
        </w:numPr>
        <w:rPr>
          <w:rFonts w:ascii="Arial" w:cs="Arial" w:eastAsia="Arial" w:hAnsi="Arial"/>
          <w:sz w:val="25"/>
          <w:szCs w:val="25"/>
          <w:color w:val="auto"/>
        </w:rPr>
      </w:pPr>
      <w:r>
        <w:rPr>
          <w:rFonts w:ascii="Arial" w:cs="Arial" w:eastAsia="Arial" w:hAnsi="Arial"/>
          <w:sz w:val="22"/>
          <w:szCs w:val="22"/>
          <w:color w:val="auto"/>
        </w:rPr>
        <w:t>Our Incentive Plan and the agreements issued under it provide for immediate vesting of restricted stock and immediate vesting and exercisability of stock options upon a participant’s death, disability or a change in control of the Company. Upon retirement with age plus years of service equal to 80 years, all stock options become immediately vested and exercisable. Upon any of these termination events, the participant, or his beneficiary in the case of the participant’s death, may exercise any outstanding stock options for a period of three years or until their expiration dates, whichever occurs first.</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2015” above.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table also does not include balances under our executive deferred compensation plan. Those balances and the circumstances under which the named executive officers may receive distributions from that plan are disclosed in the Nonqualified Deferred Compensation Table and the introduction to that table.</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noted, the amounts shown assume that each named executive officer’s employment terminated on July 31, 2015, the last day of our most recently completed fiscal year, and when applicable, the closing sale price of our Common Stock on July 31, 2015, the last trading day of fiscal 2015, which was $26.26.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80"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53"/>
        </w:trPr>
        <w:tc>
          <w:tcPr>
            <w:tcW w:w="4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2"/>
          </w:tcPr>
          <w:p>
            <w:pPr>
              <w:jc w:val="center"/>
              <w:ind w:right="520"/>
              <w:spacing w:after="0"/>
              <w:rPr>
                <w:sz w:val="20"/>
                <w:szCs w:val="20"/>
                <w:color w:val="auto"/>
              </w:rPr>
            </w:pPr>
            <w:r>
              <w:rPr>
                <w:rFonts w:ascii="Arial" w:cs="Arial" w:eastAsia="Arial" w:hAnsi="Arial"/>
                <w:sz w:val="22"/>
                <w:szCs w:val="22"/>
                <w:b w:val="1"/>
                <w:bCs w:val="1"/>
                <w:color w:val="auto"/>
                <w:w w:val="90"/>
              </w:rPr>
              <w:t>Annual Incentive Plan</w:t>
            </w:r>
          </w:p>
        </w:tc>
        <w:tc>
          <w:tcPr>
            <w:tcW w:w="200" w:type="dxa"/>
            <w:vAlign w:val="bottom"/>
          </w:tcPr>
          <w:p>
            <w:pPr>
              <w:spacing w:after="0"/>
              <w:rPr>
                <w:sz w:val="21"/>
                <w:szCs w:val="21"/>
                <w:color w:val="auto"/>
              </w:rPr>
            </w:pPr>
          </w:p>
        </w:tc>
        <w:tc>
          <w:tcPr>
            <w:tcW w:w="2200" w:type="dxa"/>
            <w:vAlign w:val="bottom"/>
            <w:gridSpan w:val="2"/>
          </w:tcPr>
          <w:p>
            <w:pPr>
              <w:jc w:val="center"/>
              <w:ind w:right="560"/>
              <w:spacing w:after="0"/>
              <w:rPr>
                <w:sz w:val="20"/>
                <w:szCs w:val="20"/>
                <w:color w:val="auto"/>
              </w:rPr>
            </w:pPr>
            <w:r>
              <w:rPr>
                <w:rFonts w:ascii="Arial" w:cs="Arial" w:eastAsia="Arial" w:hAnsi="Arial"/>
                <w:sz w:val="22"/>
                <w:szCs w:val="22"/>
                <w:b w:val="1"/>
                <w:bCs w:val="1"/>
                <w:color w:val="auto"/>
                <w:w w:val="90"/>
              </w:rPr>
              <w:t>2006 Long Term</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3"/>
          </w:tcPr>
          <w:p>
            <w:pPr>
              <w:jc w:val="center"/>
              <w:ind w:right="360"/>
              <w:spacing w:after="0" w:line="243" w:lineRule="exact"/>
              <w:rPr>
                <w:sz w:val="20"/>
                <w:szCs w:val="20"/>
                <w:color w:val="auto"/>
              </w:rPr>
            </w:pPr>
            <w:r>
              <w:rPr>
                <w:rFonts w:ascii="Arial" w:cs="Arial" w:eastAsia="Arial" w:hAnsi="Arial"/>
                <w:sz w:val="22"/>
                <w:szCs w:val="22"/>
                <w:b w:val="1"/>
                <w:bCs w:val="1"/>
                <w:color w:val="auto"/>
                <w:w w:val="87"/>
              </w:rPr>
              <w:t>Deferred Bonus Account</w:t>
            </w:r>
          </w:p>
        </w:tc>
        <w:tc>
          <w:tcPr>
            <w:tcW w:w="200" w:type="dxa"/>
            <w:vAlign w:val="bottom"/>
          </w:tcPr>
          <w:p>
            <w:pPr>
              <w:spacing w:after="0"/>
              <w:rPr>
                <w:sz w:val="21"/>
                <w:szCs w:val="21"/>
                <w:color w:val="auto"/>
              </w:rPr>
            </w:pPr>
          </w:p>
        </w:tc>
        <w:tc>
          <w:tcPr>
            <w:tcW w:w="2200" w:type="dxa"/>
            <w:vAlign w:val="bottom"/>
            <w:gridSpan w:val="2"/>
          </w:tcPr>
          <w:p>
            <w:pPr>
              <w:jc w:val="center"/>
              <w:ind w:right="540"/>
              <w:spacing w:after="0" w:line="243" w:lineRule="exact"/>
              <w:rPr>
                <w:sz w:val="20"/>
                <w:szCs w:val="20"/>
                <w:color w:val="auto"/>
              </w:rPr>
            </w:pPr>
            <w:r>
              <w:rPr>
                <w:rFonts w:ascii="Arial" w:cs="Arial" w:eastAsia="Arial" w:hAnsi="Arial"/>
                <w:sz w:val="22"/>
                <w:szCs w:val="22"/>
                <w:b w:val="1"/>
                <w:bCs w:val="1"/>
                <w:color w:val="auto"/>
                <w:w w:val="90"/>
              </w:rPr>
              <w:t>Incentive Plan</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center"/>
              <w:ind w:right="72"/>
              <w:spacing w:after="0" w:line="243" w:lineRule="exact"/>
              <w:rPr>
                <w:sz w:val="20"/>
                <w:szCs w:val="20"/>
                <w:color w:val="auto"/>
              </w:rPr>
            </w:pPr>
            <w:r>
              <w:rPr>
                <w:rFonts w:ascii="Arial" w:cs="Arial" w:eastAsia="Arial" w:hAnsi="Arial"/>
                <w:sz w:val="22"/>
                <w:szCs w:val="22"/>
                <w:b w:val="1"/>
                <w:bCs w:val="1"/>
                <w:color w:val="auto"/>
                <w:w w:val="96"/>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center"/>
              <w:ind w:right="92"/>
              <w:spacing w:after="0" w:line="243" w:lineRule="exact"/>
              <w:rPr>
                <w:sz w:val="20"/>
                <w:szCs w:val="20"/>
                <w:color w:val="auto"/>
              </w:rPr>
            </w:pPr>
            <w:r>
              <w:rPr>
                <w:rFonts w:ascii="Arial" w:cs="Arial" w:eastAsia="Arial" w:hAnsi="Arial"/>
                <w:sz w:val="22"/>
                <w:szCs w:val="22"/>
                <w:b w:val="1"/>
                <w:bCs w:val="1"/>
                <w:color w:val="auto"/>
                <w:w w:val="96"/>
              </w:rPr>
              <w:t>($)</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52"/>
              <w:spacing w:after="0" w:line="243" w:lineRule="exact"/>
              <w:rPr>
                <w:sz w:val="20"/>
                <w:szCs w:val="20"/>
                <w:color w:val="auto"/>
              </w:rPr>
            </w:pPr>
            <w:r>
              <w:rPr>
                <w:rFonts w:ascii="Arial" w:cs="Arial" w:eastAsia="Arial" w:hAnsi="Arial"/>
                <w:sz w:val="22"/>
                <w:szCs w:val="22"/>
                <w:b w:val="1"/>
                <w:bCs w:val="1"/>
                <w:color w:val="auto"/>
              </w:rPr>
              <w:t>Total</w:t>
            </w:r>
          </w:p>
        </w:tc>
      </w:tr>
      <w:tr>
        <w:trPr>
          <w:trHeight w:val="291"/>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96"/>
              </w:rPr>
              <w:t>(1)</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96"/>
              </w:rPr>
              <w:t>(2)</w:t>
            </w:r>
          </w:p>
        </w:tc>
        <w:tc>
          <w:tcPr>
            <w:tcW w:w="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w:t>
            </w:r>
          </w:p>
        </w:tc>
      </w:tr>
      <w:tr>
        <w:trPr>
          <w:trHeight w:val="297"/>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1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9"/>
        </w:trPr>
        <w:tc>
          <w:tcPr>
            <w:tcW w:w="454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66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ind w:right="12"/>
              <w:spacing w:after="0"/>
              <w:rPr>
                <w:sz w:val="20"/>
                <w:szCs w:val="20"/>
                <w:color w:val="auto"/>
              </w:rPr>
            </w:pPr>
            <w:r>
              <w:rPr>
                <w:rFonts w:ascii="Arial" w:cs="Arial" w:eastAsia="Arial" w:hAnsi="Arial"/>
                <w:sz w:val="22"/>
                <w:szCs w:val="22"/>
                <w:color w:val="auto"/>
              </w:rPr>
              <w:t>824,301</w:t>
            </w:r>
          </w:p>
        </w:tc>
        <w:tc>
          <w:tcPr>
            <w:tcW w:w="34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824,301</w:t>
            </w:r>
          </w:p>
        </w:tc>
      </w:tr>
      <w:tr>
        <w:trPr>
          <w:trHeight w:val="346"/>
        </w:trPr>
        <w:tc>
          <w:tcPr>
            <w:tcW w:w="4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9"/>
        </w:trPr>
        <w:tc>
          <w:tcPr>
            <w:tcW w:w="454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6"/>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Change in Control, Death, Disability</w:t>
            </w: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89,283</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200" w:type="dxa"/>
            <w:vAlign w:val="bottom"/>
            <w:gridSpan w:val="2"/>
            <w:shd w:val="clear" w:color="auto" w:fill="CCEEFF"/>
          </w:tcPr>
          <w:p>
            <w:pPr>
              <w:jc w:val="right"/>
              <w:ind w:right="460"/>
              <w:spacing w:after="0"/>
              <w:rPr>
                <w:sz w:val="20"/>
                <w:szCs w:val="20"/>
                <w:color w:val="auto"/>
              </w:rPr>
            </w:pPr>
            <w:r>
              <w:rPr>
                <w:rFonts w:ascii="Arial" w:cs="Arial" w:eastAsia="Arial" w:hAnsi="Arial"/>
                <w:sz w:val="22"/>
                <w:szCs w:val="22"/>
                <w:color w:val="auto"/>
              </w:rPr>
              <w:t>—</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89,283</w:t>
            </w:r>
          </w:p>
        </w:tc>
      </w:tr>
      <w:tr>
        <w:trPr>
          <w:trHeight w:val="338"/>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w:t>
            </w:r>
          </w:p>
        </w:tc>
        <w:tc>
          <w:tcPr>
            <w:tcW w:w="1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9"/>
        </w:trPr>
        <w:tc>
          <w:tcPr>
            <w:tcW w:w="454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66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ind w:right="12"/>
              <w:spacing w:after="0"/>
              <w:rPr>
                <w:sz w:val="20"/>
                <w:szCs w:val="20"/>
                <w:color w:val="auto"/>
              </w:rPr>
            </w:pPr>
            <w:r>
              <w:rPr>
                <w:rFonts w:ascii="Arial" w:cs="Arial" w:eastAsia="Arial" w:hAnsi="Arial"/>
                <w:sz w:val="22"/>
                <w:szCs w:val="22"/>
                <w:color w:val="auto"/>
              </w:rPr>
              <w:t>99,552</w:t>
            </w:r>
          </w:p>
        </w:tc>
        <w:tc>
          <w:tcPr>
            <w:tcW w:w="34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99,552</w:t>
            </w:r>
          </w:p>
        </w:tc>
      </w:tr>
      <w:tr>
        <w:trPr>
          <w:trHeight w:val="346"/>
        </w:trPr>
        <w:tc>
          <w:tcPr>
            <w:tcW w:w="4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9"/>
        </w:trPr>
        <w:tc>
          <w:tcPr>
            <w:tcW w:w="454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6"/>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Change in Control, Death, Disability</w:t>
            </w: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52,463</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26,260</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78,723</w:t>
            </w:r>
          </w:p>
        </w:tc>
      </w:tr>
      <w:tr>
        <w:trPr>
          <w:trHeight w:val="338"/>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1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0"/>
        </w:trPr>
        <w:tc>
          <w:tcPr>
            <w:tcW w:w="454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66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ind w:right="12"/>
              <w:spacing w:after="0"/>
              <w:rPr>
                <w:sz w:val="20"/>
                <w:szCs w:val="20"/>
                <w:color w:val="auto"/>
              </w:rPr>
            </w:pPr>
            <w:r>
              <w:rPr>
                <w:rFonts w:ascii="Arial" w:cs="Arial" w:eastAsia="Arial" w:hAnsi="Arial"/>
                <w:sz w:val="22"/>
                <w:szCs w:val="22"/>
                <w:color w:val="auto"/>
              </w:rPr>
              <w:t>315,120</w:t>
            </w:r>
          </w:p>
        </w:tc>
        <w:tc>
          <w:tcPr>
            <w:tcW w:w="34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315,120</w:t>
            </w:r>
          </w:p>
        </w:tc>
      </w:tr>
    </w:tbl>
    <w:p>
      <w:pPr>
        <w:spacing w:after="0" w:line="185" w:lineRule="exact"/>
        <w:rPr>
          <w:sz w:val="20"/>
          <w:szCs w:val="20"/>
          <w:color w:val="auto"/>
        </w:rPr>
      </w:pPr>
    </w:p>
    <w:p>
      <w:pPr>
        <w:jc w:val="both"/>
        <w:ind w:firstLine="8"/>
        <w:spacing w:after="0" w:line="250" w:lineRule="auto"/>
        <w:tabs>
          <w:tab w:leader="none" w:pos="552"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amounts shown reflect each named executive officer’s balance in his executive deferred bonus account of our annual incentive plan. As explained above, our annual incentive plan provides for immediate vesting and payment, as allowed by law, of a participant’s executive deferred bonus award account upon the participant’s death, disability, retirement with age plus years of service equal to 80 years, or change in control of the Company.</w:t>
      </w:r>
    </w:p>
    <w:p>
      <w:pPr>
        <w:spacing w:after="0" w:line="147" w:lineRule="exact"/>
        <w:rPr>
          <w:rFonts w:ascii="Arial" w:cs="Arial" w:eastAsia="Arial" w:hAnsi="Arial"/>
          <w:sz w:val="22"/>
          <w:szCs w:val="22"/>
          <w:color w:val="auto"/>
        </w:rPr>
      </w:pPr>
    </w:p>
    <w:p>
      <w:pPr>
        <w:jc w:val="both"/>
        <w:ind w:firstLine="8"/>
        <w:spacing w:after="0" w:line="265" w:lineRule="auto"/>
        <w:tabs>
          <w:tab w:leader="none" w:pos="496"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amounts shown represent, as of July 31, 2015: (a) the market price of any unvested shares of restricted stock; and/or (b) the excess of the market price of the shares of stock underlying unvested stock options over the option exercise price. As of July 31, 2015, none of the named executive officers had any unvested stock options. As explained above, previously unvested shares of restricted stock and stock options become immediately vested upon the events listed.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1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STOCK OWNERSHIP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Stockholders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sets forth information as of October 13, 2015,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executive officers.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gridSpan w:val="6"/>
          </w:tcPr>
          <w:p>
            <w:pPr>
              <w:jc w:val="right"/>
              <w:ind w:right="730"/>
              <w:spacing w:after="0"/>
              <w:rPr>
                <w:sz w:val="20"/>
                <w:szCs w:val="20"/>
                <w:color w:val="auto"/>
              </w:rPr>
            </w:pPr>
            <w:r>
              <w:rPr>
                <w:rFonts w:ascii="Arial" w:cs="Arial" w:eastAsia="Arial" w:hAnsi="Arial"/>
                <w:sz w:val="18"/>
                <w:szCs w:val="18"/>
                <w:b w:val="1"/>
                <w:bCs w:val="1"/>
                <w:color w:val="auto"/>
              </w:rPr>
              <w:t>Amount and Nature of Beneficial Ownership (1)</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Voting Power of</w:t>
            </w: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Number of Shares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Common Stock and</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43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Class</w:t>
            </w:r>
          </w:p>
        </w:tc>
        <w:tc>
          <w:tcPr>
            <w:tcW w:w="2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Class B Stock</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Stock of Class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Class B Stock</w:t>
            </w:r>
          </w:p>
        </w:tc>
      </w:tr>
      <w:tr>
        <w:trPr>
          <w:trHeight w:val="27"/>
        </w:trPr>
        <w:tc>
          <w:tcPr>
            <w:tcW w:w="4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Jaffee (2)</w:t>
            </w: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410 N. Michigan Avenue</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409,558</w:t>
            </w:r>
          </w:p>
        </w:tc>
        <w:tc>
          <w:tcPr>
            <w:tcW w:w="940" w:type="dxa"/>
            <w:vAlign w:val="bottom"/>
          </w:tcPr>
          <w:p>
            <w:pPr>
              <w:ind w:left="6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Chicago, IL 60611</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97"/>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 (2)</w:t>
            </w: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410 N. Michigan Avenue</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393,118</w:t>
            </w:r>
          </w:p>
        </w:tc>
        <w:tc>
          <w:tcPr>
            <w:tcW w:w="940" w:type="dxa"/>
            <w:vAlign w:val="bottom"/>
          </w:tcPr>
          <w:p>
            <w:pPr>
              <w:ind w:left="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14.59%</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Chicago, IL 60611</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97"/>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Jaffee Investment Partnership, L.P.</w:t>
            </w: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410 N. Michigan Avenue</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1,250,000</w:t>
            </w:r>
          </w:p>
        </w:tc>
        <w:tc>
          <w:tcPr>
            <w:tcW w:w="940" w:type="dxa"/>
            <w:vAlign w:val="bottom"/>
          </w:tcPr>
          <w:p>
            <w:pPr>
              <w:ind w:lef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57.05%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46.40%</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Chicago, IL 60611</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97"/>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Dimensional Fund Advisors LP</w:t>
            </w: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359,841</w:t>
            </w:r>
          </w:p>
        </w:tc>
        <w:tc>
          <w:tcPr>
            <w:tcW w:w="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Building One</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6300 Bee Cave Road</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gridSpan w:val="2"/>
          </w:tcPr>
          <w:p>
            <w:pPr>
              <w:ind w:left="340"/>
              <w:spacing w:after="0"/>
              <w:rPr>
                <w:sz w:val="20"/>
                <w:szCs w:val="20"/>
                <w:color w:val="auto"/>
              </w:rPr>
            </w:pPr>
            <w:r>
              <w:rPr>
                <w:rFonts w:ascii="Arial" w:cs="Arial" w:eastAsia="Arial" w:hAnsi="Arial"/>
                <w:sz w:val="18"/>
                <w:szCs w:val="18"/>
                <w:color w:val="auto"/>
              </w:rPr>
              <w:t>Austin, TX 78746</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GAMCO Asset Management Inc. et al.</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875,729</w:t>
            </w:r>
          </w:p>
        </w:tc>
        <w:tc>
          <w:tcPr>
            <w:tcW w:w="940" w:type="dxa"/>
            <w:vAlign w:val="bottom"/>
          </w:tcPr>
          <w:p>
            <w:pPr>
              <w:ind w:lef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One Corporate Center</w:t>
            </w: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Rye, NY 10580</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Renaissance Technologies LLC</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394,625</w:t>
            </w:r>
          </w:p>
        </w:tc>
        <w:tc>
          <w:tcPr>
            <w:tcW w:w="940" w:type="dxa"/>
            <w:vAlign w:val="bottom"/>
          </w:tcPr>
          <w:p>
            <w:pPr>
              <w:ind w:lef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800 Third Avenue</w:t>
            </w: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New York, NY 10022</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T. Rowe Price Associates, Inc.</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625,706</w:t>
            </w:r>
          </w:p>
        </w:tc>
        <w:tc>
          <w:tcPr>
            <w:tcW w:w="940" w:type="dxa"/>
            <w:vAlign w:val="bottom"/>
          </w:tcPr>
          <w:p>
            <w:pPr>
              <w:ind w:left="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100 East Pratt Street</w:t>
            </w: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Baltimore, MD 21202</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Harvey Partners, LLC</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305,807</w:t>
            </w:r>
          </w:p>
        </w:tc>
        <w:tc>
          <w:tcPr>
            <w:tcW w:w="940" w:type="dxa"/>
            <w:vAlign w:val="bottom"/>
          </w:tcPr>
          <w:p>
            <w:pPr>
              <w:ind w:lef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551 Fifth Avenue, 36th Floor</w:t>
            </w: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New York, NY 10176</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774"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774" w:right="239" w:bottom="1440" w:gutter="0" w:footer="0" w:header="0"/>
          <w:type w:val="continuous"/>
        </w:sectPr>
      </w:pPr>
    </w:p>
    <w:bookmarkStart w:id="57" w:name="page58"/>
    <w:bookmarkEnd w:id="57"/>
    <w:p>
      <w:pPr>
        <w:jc w:val="both"/>
        <w:ind w:firstLine="8"/>
        <w:spacing w:after="0" w:line="289" w:lineRule="auto"/>
        <w:tabs>
          <w:tab w:leader="none" w:pos="502" w:val="left"/>
        </w:tabs>
        <w:numPr>
          <w:ilvl w:val="0"/>
          <w:numId w:val="59"/>
        </w:numPr>
        <w:rPr>
          <w:rFonts w:ascii="Arial" w:cs="Arial" w:eastAsia="Arial" w:hAnsi="Arial"/>
          <w:sz w:val="19"/>
          <w:szCs w:val="19"/>
          <w:color w:val="auto"/>
        </w:rPr>
      </w:pPr>
      <w:r>
        <w:rPr>
          <w:rFonts w:ascii="Arial" w:cs="Arial" w:eastAsia="Arial" w:hAnsi="Arial"/>
          <w:sz w:val="19"/>
          <w:szCs w:val="19"/>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13, 2015,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5,028,047 shares of Common Stock and 2,190,994 shares of Class B Stock outstanding as of the close of business on October 13, 2015. Shares of Common Stock and Class B Stock subject to options, warrants or other rights that are exercisable or convertible within 60 days after October 13, 2015,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17" w:lineRule="exact"/>
        <w:rPr>
          <w:rFonts w:ascii="Arial" w:cs="Arial" w:eastAsia="Arial" w:hAnsi="Arial"/>
          <w:sz w:val="19"/>
          <w:szCs w:val="19"/>
          <w:color w:val="auto"/>
        </w:rPr>
      </w:pPr>
    </w:p>
    <w:p>
      <w:pPr>
        <w:ind w:left="480" w:hanging="472"/>
        <w:spacing w:after="0"/>
        <w:tabs>
          <w:tab w:leader="none" w:pos="4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Daniel S. Jaffee is Richard M. Jaffee’s son.</w:t>
      </w:r>
    </w:p>
    <w:p>
      <w:pPr>
        <w:spacing w:after="0" w:line="179" w:lineRule="exact"/>
        <w:rPr>
          <w:rFonts w:ascii="Arial" w:cs="Arial" w:eastAsia="Arial" w:hAnsi="Arial"/>
          <w:sz w:val="22"/>
          <w:szCs w:val="22"/>
          <w:color w:val="auto"/>
        </w:rPr>
      </w:pPr>
    </w:p>
    <w:p>
      <w:pPr>
        <w:jc w:val="both"/>
        <w:ind w:firstLine="8"/>
        <w:spacing w:after="0" w:line="271" w:lineRule="auto"/>
        <w:tabs>
          <w:tab w:leader="none" w:pos="537" w:val="left"/>
        </w:tabs>
        <w:numPr>
          <w:ilvl w:val="0"/>
          <w:numId w:val="59"/>
        </w:numPr>
        <w:rPr>
          <w:rFonts w:ascii="Arial" w:cs="Arial" w:eastAsia="Arial" w:hAnsi="Arial"/>
          <w:sz w:val="21"/>
          <w:szCs w:val="21"/>
          <w:color w:val="auto"/>
        </w:rPr>
      </w:pPr>
      <w:r>
        <w:rPr>
          <w:rFonts w:ascii="Arial" w:cs="Arial" w:eastAsia="Arial" w:hAnsi="Arial"/>
          <w:sz w:val="21"/>
          <w:szCs w:val="21"/>
          <w:color w:val="auto"/>
        </w:rPr>
        <w:t>Consists of 290,895 shares held in a revocable trust of which Richard M. Jaffee is the grantor and, during his lifetime, the trustee and sole beneficiary, and 118,538 shares held in a revocable trust of which his spouse is the grantor and, during her lifetime, the trustee and sole beneficiary, and 125 shares held in joint tenancy with his spouse.</w:t>
      </w:r>
    </w:p>
    <w:p>
      <w:pPr>
        <w:spacing w:after="0" w:line="127" w:lineRule="exact"/>
        <w:rPr>
          <w:rFonts w:ascii="Arial" w:cs="Arial" w:eastAsia="Arial" w:hAnsi="Arial"/>
          <w:sz w:val="21"/>
          <w:szCs w:val="21"/>
          <w:color w:val="auto"/>
        </w:rPr>
      </w:pPr>
    </w:p>
    <w:p>
      <w:pPr>
        <w:jc w:val="both"/>
        <w:ind w:firstLine="8"/>
        <w:spacing w:after="0" w:line="297" w:lineRule="auto"/>
        <w:tabs>
          <w:tab w:leader="none" w:pos="4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Jaffee Investment Partnership, L.P. is managed by its general partners, generally acting by a majority vote. Two of the general partners, Richard M. Jaffee and his spouse Shirley H. Jaffee, each have eight votes. Each of the remaining four general partners, Daniel S. Jaffee, Karen Jaffee Cofsky, Susan Jaffee and Nancy E. Jaffee, all children of Richard M. and Shirley H. Jaffee, have one vote. Richard M. Jaffee, as the managing general partner, might be deemed to have, but disclaims, beneficial ownership of the partnership’s shares, which are not reflected in his share ownership shown in this table.</w:t>
      </w:r>
    </w:p>
    <w:p>
      <w:pPr>
        <w:spacing w:after="0" w:line="106" w:lineRule="exact"/>
        <w:rPr>
          <w:rFonts w:ascii="Arial" w:cs="Arial" w:eastAsia="Arial" w:hAnsi="Arial"/>
          <w:sz w:val="19"/>
          <w:szCs w:val="19"/>
          <w:color w:val="auto"/>
        </w:rPr>
      </w:pPr>
    </w:p>
    <w:p>
      <w:pPr>
        <w:ind w:left="480" w:hanging="472"/>
        <w:spacing w:after="0"/>
        <w:tabs>
          <w:tab w:leader="none" w:pos="4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Does not include shares beneficially owned by Jaffee Investment Partnership, L.P.</w:t>
      </w:r>
    </w:p>
    <w:p>
      <w:pPr>
        <w:spacing w:after="0" w:line="179" w:lineRule="exact"/>
        <w:rPr>
          <w:rFonts w:ascii="Arial" w:cs="Arial" w:eastAsia="Arial" w:hAnsi="Arial"/>
          <w:sz w:val="22"/>
          <w:szCs w:val="22"/>
          <w:color w:val="auto"/>
        </w:rPr>
      </w:pPr>
    </w:p>
    <w:p>
      <w:pPr>
        <w:jc w:val="both"/>
        <w:ind w:firstLine="8"/>
        <w:spacing w:after="0" w:line="250" w:lineRule="auto"/>
        <w:tabs>
          <w:tab w:leader="none" w:pos="531" w:val="left"/>
        </w:tabs>
        <w:numPr>
          <w:ilvl w:val="0"/>
          <w:numId w:val="59"/>
        </w:numPr>
        <w:rPr>
          <w:rFonts w:ascii="Arial" w:cs="Arial" w:eastAsia="Arial" w:hAnsi="Arial"/>
          <w:sz w:val="22"/>
          <w:szCs w:val="22"/>
          <w:color w:val="auto"/>
        </w:rPr>
      </w:pPr>
      <w:r>
        <w:rPr>
          <w:rFonts w:ascii="Arial" w:cs="Arial" w:eastAsia="Arial" w:hAnsi="Arial"/>
          <w:sz w:val="22"/>
          <w:szCs w:val="22"/>
          <w:color w:val="auto"/>
        </w:rPr>
        <w:t>Consists of 393,118 shares of Class B Stock directly owned by Daniel S. Jaffee (131,390 of which are restricted shares), 2 shares of Class B Stock owned by his spouse, 5,625 shares of Class B Stock he owns as trustee for his children and 125 shares of Class B Stock held in joint tenancy with his spouse. Of the 131,390 restricted shares of Class B Stock: (a) 6,390 shares become non-forfeitable on July 31, 2016, (b) 25,000 shares become non-forfeitable beginning no earlier than on October 19, 2016 and (c) an additional 25,000 shares become non-forfeitable no earlier than on each of the four subsequent anniversaries of October 19, 2016.</w:t>
      </w:r>
    </w:p>
    <w:p>
      <w:pPr>
        <w:spacing w:after="0" w:line="147" w:lineRule="exact"/>
        <w:rPr>
          <w:rFonts w:ascii="Arial" w:cs="Arial" w:eastAsia="Arial" w:hAnsi="Arial"/>
          <w:sz w:val="22"/>
          <w:szCs w:val="22"/>
          <w:color w:val="auto"/>
        </w:rPr>
      </w:pPr>
    </w:p>
    <w:p>
      <w:pPr>
        <w:jc w:val="both"/>
        <w:ind w:firstLine="8"/>
        <w:spacing w:after="0" w:line="288" w:lineRule="auto"/>
        <w:tabs>
          <w:tab w:leader="none" w:pos="511"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Information is as provided by the reporting persons in a Schedule 13G/A filed with the SEC on February 5, 2015. Based on such Schedule 13G/A, Dimensional Fund Advisors LP (“Dimensional”), a registered investment adviser, furnishes investment advice to four investment companies registered under the Investment Company Act of 1940 and serves as investment manager to certain other commingled group trusts and separate accounts. These investment companies, trusts and accounts are the “Funds.” In certain cases, subsidiaries of Dimensional may act as adviser or sub-adviser to certain Funds. Although such Schedule 13G/A identifies Dimensional as having sole voting power over 355,995 shares of Common Stock and sole dispositive power over 359,841 shares of Common Stock, it notes that in its role as investment advisor, sub-adviser and/or manager, neither Dimensional nor its subsidiaries possesses investment and/or voting power over the shares of Common Stock owned by the Funds, and may be deemed to be the beneficial owner of those shares under applicable SEC rules; however, all of these shares are owned by the Funds, and Dimensional disclaims beneficial ownership of such shares.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55" w:right="239" w:bottom="1440" w:gutter="0" w:footer="0" w:header="0"/>
        </w:sectPr>
      </w:pPr>
    </w:p>
    <w:bookmarkStart w:id="58" w:name="page59"/>
    <w:bookmarkEnd w:id="58"/>
    <w:p>
      <w:pPr>
        <w:jc w:val="both"/>
        <w:ind w:firstLine="8"/>
        <w:spacing w:after="0" w:line="258" w:lineRule="auto"/>
        <w:tabs>
          <w:tab w:leader="none" w:pos="481" w:val="left"/>
        </w:tabs>
        <w:numPr>
          <w:ilvl w:val="0"/>
          <w:numId w:val="60"/>
        </w:numPr>
        <w:rPr>
          <w:rFonts w:ascii="Arial" w:cs="Arial" w:eastAsia="Arial" w:hAnsi="Arial"/>
          <w:sz w:val="21"/>
          <w:szCs w:val="21"/>
          <w:color w:val="auto"/>
        </w:rPr>
      </w:pPr>
      <w:r>
        <w:rPr>
          <w:rFonts w:ascii="Arial" w:cs="Arial" w:eastAsia="Arial" w:hAnsi="Arial"/>
          <w:sz w:val="21"/>
          <w:szCs w:val="21"/>
          <w:color w:val="auto"/>
        </w:rPr>
        <w:t>Information is as provided by the reporting persons in a Schedule 13D/A filed with the SEC on June 11, 2012. Such Schedule 13D/A filed by Gabelli Funds, LLC (“Gabelli Funds”), GAMCO Asset Management, Inc. (“GAMCO”), Teton Advisors, Inc. (“Teton Advisors”), GGCP, Inc., GAMCO Investors, Inc. (“GBL”) and Mario J. Gabelli reports: (a) 165,500 shares of Common Stock beneficially owned by Gabelli Funds; (b) 583,839 shares of Common Stock beneficially owned by GAMCO; and (c) 126,390 shares of Common Stock beneficially owned by Teton Advisors. The Schedule 13D/A reports that each such entity has sole voting and sole dispositive power over the shares reported as beneficially owned by it, except that: (i) Gabelli Funds has sole dispositive and voting power with respect to the shares held by such funds so long as the aggregate voting interest of all joint filers does not exceed 25% of their total voting interest in the Company; (ii) GAMCO does not have the authority to vote 1,500 of the reported shares; (iii) in certain circumstances, proxy voting committees of each fund may have voting power over the reported shares; and (iv) the power of Mario J. Gabelli, GBL and GGCP, Inc. is indirect with respect to securities beneficially owned directly by other reporting persons.</w:t>
      </w:r>
    </w:p>
    <w:p>
      <w:pPr>
        <w:spacing w:after="0" w:line="142" w:lineRule="exact"/>
        <w:rPr>
          <w:rFonts w:ascii="Arial" w:cs="Arial" w:eastAsia="Arial" w:hAnsi="Arial"/>
          <w:sz w:val="21"/>
          <w:szCs w:val="21"/>
          <w:color w:val="auto"/>
        </w:rPr>
      </w:pPr>
    </w:p>
    <w:p>
      <w:pPr>
        <w:jc w:val="both"/>
        <w:ind w:firstLine="8"/>
        <w:spacing w:after="0" w:line="250" w:lineRule="auto"/>
        <w:tabs>
          <w:tab w:leader="none" w:pos="556"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Information is as provided by the reporting persons in a Schedule 13G/A filed with the SEC on February 12, 2015. Such Schedule 13G/A filed by Renaissance Technologies LLC, an investment adviser (“RTC”), and Renaissance Technologies Holdings Corporation, majority owner of RTC (“RTHC”), reports that RTC and RTHC have sole voting and sole dispositive power over 394,625 shares of Common Stock.</w:t>
      </w:r>
    </w:p>
    <w:p>
      <w:pPr>
        <w:spacing w:after="0" w:line="147" w:lineRule="exact"/>
        <w:rPr>
          <w:rFonts w:ascii="Arial" w:cs="Arial" w:eastAsia="Arial" w:hAnsi="Arial"/>
          <w:sz w:val="22"/>
          <w:szCs w:val="22"/>
          <w:color w:val="auto"/>
        </w:rPr>
      </w:pPr>
    </w:p>
    <w:p>
      <w:pPr>
        <w:jc w:val="both"/>
        <w:ind w:firstLine="8"/>
        <w:spacing w:after="0" w:line="247" w:lineRule="auto"/>
        <w:tabs>
          <w:tab w:leader="none" w:pos="646"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Information is as provided by the reporting persons in a Schedule 13G/A filed with the SEC on February 10, 2015. Such Schedule 13G/A filed by T. Rowe Price Associates, Inc., a registered investment adviser (“Price Associates”), and T. Rowe Price Small-Cap Value Fund, Inc. reports that Price Associates held sole voting power over 51,540 shares of Common Stock and sole dispositive power over 625,706 shares of Common Stock, and T. Rowe Price Small-Cap Value Fund, Inc. held sole voting power over 574,166 shares of Common Stock. Price Associates expressly disclaims that it is, in fact, the beneficial owner of such securities.</w:t>
      </w:r>
    </w:p>
    <w:p>
      <w:pPr>
        <w:spacing w:after="0" w:line="234" w:lineRule="exact"/>
        <w:rPr>
          <w:rFonts w:ascii="Arial" w:cs="Arial" w:eastAsia="Arial" w:hAnsi="Arial"/>
          <w:sz w:val="22"/>
          <w:szCs w:val="22"/>
          <w:color w:val="auto"/>
        </w:rPr>
      </w:pPr>
    </w:p>
    <w:p>
      <w:pPr>
        <w:jc w:val="both"/>
        <w:ind w:firstLine="8"/>
        <w:spacing w:after="0" w:line="292" w:lineRule="auto"/>
        <w:tabs>
          <w:tab w:leader="none" w:pos="579"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Information is as provided by the reporting persons in a Schedule 13G/A filed with the SEC on February 13, 2015. Based on such Schedule 13G/A, Harvey Partners, LLC (“Harvey Partners”) is the investment manager of the following entities, which hold the following number of shares of Common Stock: (a) Harvey SMidCap Fund, LP, which holds 78,284 shares of Common Stock; and (b) Harvey Master Fund, L.P., which holds 227,523 shares of Common Stock. As the investment manager of such entities, Harvey Partners possesses the sole power to vote and the sole power to direct the disposition of the aggregate 305,807 shares of Common Stock held by such entities. James A. Schwartz and Jeffrey C. Moskowitz, the managing members of Harvey Partners, share voting and investment power with respect to all securities beneficially owned by Harvey Partners.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8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Security Ownership of Management</w:t>
      </w:r>
    </w:p>
    <w:p>
      <w:pPr>
        <w:spacing w:after="0" w:line="18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following table shows the number of shares of Common Stock and Class B Stock beneficially owned as of October 13, 2015 by our directors, by the named executive officers and by our directors and named executive officers as a group.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7"/>
              </w:rPr>
              <w:t>Percentage of</w:t>
            </w:r>
          </w:p>
        </w:tc>
        <w:tc>
          <w:tcPr>
            <w:tcW w:w="25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Number of Shares</w:t>
            </w:r>
          </w:p>
        </w:tc>
      </w:tr>
      <w:tr>
        <w:trPr>
          <w:trHeight w:val="230"/>
        </w:trPr>
        <w:tc>
          <w:tcPr>
            <w:tcW w:w="3920" w:type="dxa"/>
            <w:vAlign w:val="bottom"/>
            <w:gridSpan w:val="2"/>
          </w:tcPr>
          <w:p>
            <w:pPr>
              <w:ind w:left="740"/>
              <w:spacing w:after="0"/>
              <w:rPr>
                <w:sz w:val="20"/>
                <w:szCs w:val="20"/>
                <w:color w:val="auto"/>
              </w:rPr>
            </w:pPr>
            <w:r>
              <w:rPr>
                <w:rFonts w:ascii="Arial" w:cs="Arial" w:eastAsia="Arial" w:hAnsi="Arial"/>
                <w:sz w:val="20"/>
                <w:szCs w:val="20"/>
                <w:b w:val="1"/>
                <w:bCs w:val="1"/>
                <w:color w:val="auto"/>
              </w:rPr>
              <w:t>Name of Beneficial Owner</w:t>
            </w:r>
          </w:p>
        </w:tc>
        <w:tc>
          <w:tcPr>
            <w:tcW w:w="2700" w:type="dxa"/>
            <w:vAlign w:val="bottom"/>
            <w:gridSpan w:val="3"/>
          </w:tcPr>
          <w:p>
            <w:pPr>
              <w:ind w:left="380"/>
              <w:spacing w:after="0"/>
              <w:rPr>
                <w:sz w:val="20"/>
                <w:szCs w:val="20"/>
                <w:color w:val="auto"/>
              </w:rPr>
            </w:pPr>
            <w:r>
              <w:rPr>
                <w:rFonts w:ascii="Arial" w:cs="Arial" w:eastAsia="Arial" w:hAnsi="Arial"/>
                <w:sz w:val="20"/>
                <w:szCs w:val="20"/>
                <w:b w:val="1"/>
                <w:bCs w:val="1"/>
                <w:color w:val="auto"/>
              </w:rPr>
              <w:t>Number of Shares of</w:t>
            </w:r>
          </w:p>
        </w:tc>
        <w:tc>
          <w:tcPr>
            <w:tcW w:w="22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8"/>
              </w:rPr>
              <w:t>Outstanding</w:t>
            </w:r>
          </w:p>
        </w:tc>
        <w:tc>
          <w:tcPr>
            <w:tcW w:w="1960" w:type="dxa"/>
            <w:vAlign w:val="bottom"/>
          </w:tcPr>
          <w:p>
            <w:pPr>
              <w:jc w:val="center"/>
              <w:ind w:left="454"/>
              <w:spacing w:after="0"/>
              <w:rPr>
                <w:sz w:val="20"/>
                <w:szCs w:val="20"/>
                <w:color w:val="auto"/>
              </w:rPr>
            </w:pPr>
            <w:r>
              <w:rPr>
                <w:rFonts w:ascii="Arial" w:cs="Arial" w:eastAsia="Arial" w:hAnsi="Arial"/>
                <w:sz w:val="20"/>
                <w:szCs w:val="20"/>
                <w:b w:val="1"/>
                <w:bCs w:val="1"/>
                <w:color w:val="auto"/>
                <w:w w:val="86"/>
              </w:rPr>
              <w:t>of Class B Stock</w:t>
            </w:r>
          </w:p>
        </w:tc>
        <w:tc>
          <w:tcPr>
            <w:tcW w:w="540" w:type="dxa"/>
            <w:vAlign w:val="bottom"/>
          </w:tcPr>
          <w:p>
            <w:pPr>
              <w:spacing w:after="0"/>
              <w:rPr>
                <w:sz w:val="19"/>
                <w:szCs w:val="19"/>
                <w:color w:val="auto"/>
              </w:rPr>
            </w:pPr>
          </w:p>
        </w:tc>
      </w:tr>
      <w:tr>
        <w:trPr>
          <w:trHeight w:val="256"/>
        </w:trPr>
        <w:tc>
          <w:tcPr>
            <w:tcW w:w="3700" w:type="dxa"/>
            <w:vAlign w:val="bottom"/>
          </w:tcPr>
          <w:p>
            <w:pPr>
              <w:ind w:left="1740"/>
              <w:spacing w:after="0"/>
              <w:rPr>
                <w:sz w:val="20"/>
                <w:szCs w:val="20"/>
                <w:color w:val="auto"/>
              </w:rPr>
            </w:pPr>
            <w:r>
              <w:rPr>
                <w:rFonts w:ascii="Arial" w:cs="Arial" w:eastAsia="Arial" w:hAnsi="Arial"/>
                <w:sz w:val="20"/>
                <w:szCs w:val="20"/>
                <w:b w:val="1"/>
                <w:bCs w:val="1"/>
                <w:color w:val="auto"/>
              </w:rPr>
              <w:t>(1)</w:t>
            </w:r>
          </w:p>
        </w:tc>
        <w:tc>
          <w:tcPr>
            <w:tcW w:w="2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Common Stock</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9"/>
              </w:rPr>
              <w:t>Common Stock</w:t>
            </w:r>
          </w:p>
        </w:tc>
        <w:tc>
          <w:tcPr>
            <w:tcW w:w="1960" w:type="dxa"/>
            <w:vAlign w:val="bottom"/>
          </w:tcPr>
          <w:p>
            <w:pPr>
              <w:jc w:val="center"/>
              <w:ind w:left="454"/>
              <w:spacing w:after="0"/>
              <w:rPr>
                <w:sz w:val="20"/>
                <w:szCs w:val="20"/>
                <w:color w:val="auto"/>
              </w:rPr>
            </w:pPr>
            <w:r>
              <w:rPr>
                <w:rFonts w:ascii="Arial" w:cs="Arial" w:eastAsia="Arial" w:hAnsi="Arial"/>
                <w:sz w:val="20"/>
                <w:szCs w:val="20"/>
                <w:b w:val="1"/>
                <w:bCs w:val="1"/>
                <w:color w:val="auto"/>
                <w:w w:val="97"/>
              </w:rPr>
              <w:t>(2)</w:t>
            </w:r>
          </w:p>
        </w:tc>
        <w:tc>
          <w:tcPr>
            <w:tcW w:w="540" w:type="dxa"/>
            <w:vAlign w:val="bottom"/>
          </w:tcPr>
          <w:p>
            <w:pPr>
              <w:spacing w:after="0"/>
              <w:rPr>
                <w:sz w:val="22"/>
                <w:szCs w:val="22"/>
                <w:color w:val="auto"/>
              </w:rPr>
            </w:pPr>
          </w:p>
        </w:tc>
      </w:tr>
      <w:tr>
        <w:trPr>
          <w:trHeight w:val="23"/>
        </w:trPr>
        <w:tc>
          <w:tcPr>
            <w:tcW w:w="3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91"/>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Richard M. Jaffee (3)</w:t>
            </w:r>
          </w:p>
        </w:tc>
        <w:tc>
          <w:tcPr>
            <w:tcW w:w="1940" w:type="dxa"/>
            <w:vAlign w:val="bottom"/>
            <w:shd w:val="clear" w:color="auto" w:fill="CCEEFF"/>
          </w:tcPr>
          <w:p>
            <w:pPr>
              <w:jc w:val="right"/>
              <w:ind w:right="133"/>
              <w:spacing w:after="0"/>
              <w:rPr>
                <w:sz w:val="20"/>
                <w:szCs w:val="20"/>
                <w:color w:val="auto"/>
              </w:rPr>
            </w:pPr>
            <w:r>
              <w:rPr>
                <w:rFonts w:ascii="Arial" w:cs="Arial" w:eastAsia="Arial" w:hAnsi="Arial"/>
                <w:sz w:val="22"/>
                <w:szCs w:val="22"/>
                <w:color w:val="auto"/>
              </w:rPr>
              <w:t>—</w:t>
            </w:r>
          </w:p>
        </w:tc>
        <w:tc>
          <w:tcPr>
            <w:tcW w:w="540" w:type="dxa"/>
            <w:vAlign w:val="bottom"/>
            <w:shd w:val="clear" w:color="auto" w:fill="CCEEFF"/>
          </w:tcPr>
          <w:p>
            <w:pPr>
              <w:jc w:val="center"/>
              <w:ind w:right="12"/>
              <w:spacing w:after="0"/>
              <w:rPr>
                <w:sz w:val="20"/>
                <w:szCs w:val="20"/>
                <w:color w:val="auto"/>
              </w:rPr>
            </w:pPr>
            <w:r>
              <w:rPr>
                <w:rFonts w:ascii="Arial" w:cs="Arial" w:eastAsia="Arial" w:hAnsi="Arial"/>
                <w:sz w:val="22"/>
                <w:szCs w:val="22"/>
                <w:color w:val="auto"/>
                <w:w w:val="96"/>
              </w:rPr>
              <w:t>(4)</w:t>
            </w:r>
          </w:p>
        </w:tc>
        <w:tc>
          <w:tcPr>
            <w:tcW w:w="22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54"/>
              <w:spacing w:after="0"/>
              <w:rPr>
                <w:sz w:val="20"/>
                <w:szCs w:val="20"/>
                <w:color w:val="auto"/>
              </w:rPr>
            </w:pPr>
            <w:r>
              <w:rPr>
                <w:rFonts w:ascii="Arial" w:cs="Arial" w:eastAsia="Arial" w:hAnsi="Arial"/>
                <w:sz w:val="22"/>
                <w:szCs w:val="22"/>
                <w:color w:val="auto"/>
              </w:rPr>
              <w:t>409,558</w:t>
            </w:r>
          </w:p>
        </w:tc>
        <w:tc>
          <w:tcPr>
            <w:tcW w:w="540" w:type="dxa"/>
            <w:vAlign w:val="bottom"/>
            <w:shd w:val="clear" w:color="auto" w:fill="CCEEFF"/>
          </w:tcPr>
          <w:p>
            <w:pPr>
              <w:jc w:val="center"/>
              <w:ind w:right="52"/>
              <w:spacing w:after="0"/>
              <w:rPr>
                <w:sz w:val="20"/>
                <w:szCs w:val="20"/>
                <w:color w:val="auto"/>
              </w:rPr>
            </w:pPr>
            <w:r>
              <w:rPr>
                <w:rFonts w:ascii="Arial" w:cs="Arial" w:eastAsia="Arial" w:hAnsi="Arial"/>
                <w:sz w:val="22"/>
                <w:szCs w:val="22"/>
                <w:color w:val="auto"/>
                <w:w w:val="96"/>
              </w:rPr>
              <w:t>(4)</w:t>
            </w:r>
          </w:p>
        </w:tc>
      </w:tr>
      <w:tr>
        <w:trPr>
          <w:trHeight w:val="289"/>
        </w:trPr>
        <w:tc>
          <w:tcPr>
            <w:tcW w:w="3920" w:type="dxa"/>
            <w:vAlign w:val="bottom"/>
            <w:gridSpan w:val="2"/>
          </w:tcPr>
          <w:p>
            <w:pPr>
              <w:ind w:left="40"/>
              <w:spacing w:after="0"/>
              <w:rPr>
                <w:sz w:val="20"/>
                <w:szCs w:val="20"/>
                <w:color w:val="auto"/>
              </w:rPr>
            </w:pPr>
            <w:r>
              <w:rPr>
                <w:rFonts w:ascii="Arial" w:cs="Arial" w:eastAsia="Arial" w:hAnsi="Arial"/>
                <w:sz w:val="22"/>
                <w:szCs w:val="22"/>
                <w:color w:val="auto"/>
              </w:rPr>
              <w:t>Daniel S. Jaffee (3)</w:t>
            </w:r>
          </w:p>
        </w:tc>
        <w:tc>
          <w:tcPr>
            <w:tcW w:w="1940" w:type="dxa"/>
            <w:vAlign w:val="bottom"/>
          </w:tcPr>
          <w:p>
            <w:pPr>
              <w:jc w:val="right"/>
              <w:ind w:right="133"/>
              <w:spacing w:after="0"/>
              <w:rPr>
                <w:sz w:val="20"/>
                <w:szCs w:val="20"/>
                <w:color w:val="auto"/>
              </w:rPr>
            </w:pPr>
            <w:r>
              <w:rPr>
                <w:rFonts w:ascii="Arial" w:cs="Arial" w:eastAsia="Arial" w:hAnsi="Arial"/>
                <w:sz w:val="22"/>
                <w:szCs w:val="22"/>
                <w:color w:val="auto"/>
              </w:rPr>
              <w:t>—</w:t>
            </w:r>
          </w:p>
        </w:tc>
        <w:tc>
          <w:tcPr>
            <w:tcW w:w="540" w:type="dxa"/>
            <w:vAlign w:val="bottom"/>
          </w:tcPr>
          <w:p>
            <w:pPr>
              <w:jc w:val="center"/>
              <w:ind w:right="12"/>
              <w:spacing w:after="0"/>
              <w:rPr>
                <w:sz w:val="20"/>
                <w:szCs w:val="20"/>
                <w:color w:val="auto"/>
              </w:rPr>
            </w:pPr>
            <w:r>
              <w:rPr>
                <w:rFonts w:ascii="Arial" w:cs="Arial" w:eastAsia="Arial" w:hAnsi="Arial"/>
                <w:sz w:val="22"/>
                <w:szCs w:val="22"/>
                <w:color w:val="auto"/>
                <w:w w:val="96"/>
              </w:rPr>
              <w:t>(4)</w:t>
            </w:r>
          </w:p>
        </w:tc>
        <w:tc>
          <w:tcPr>
            <w:tcW w:w="220" w:type="dxa"/>
            <w:vAlign w:val="bottom"/>
          </w:tcPr>
          <w:p>
            <w:pPr>
              <w:spacing w:after="0"/>
              <w:rPr>
                <w:sz w:val="24"/>
                <w:szCs w:val="24"/>
                <w:color w:val="auto"/>
              </w:rPr>
            </w:pPr>
          </w:p>
        </w:tc>
        <w:tc>
          <w:tcPr>
            <w:tcW w:w="204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960" w:type="dxa"/>
            <w:vAlign w:val="bottom"/>
          </w:tcPr>
          <w:p>
            <w:pPr>
              <w:jc w:val="right"/>
              <w:ind w:right="154"/>
              <w:spacing w:after="0"/>
              <w:rPr>
                <w:sz w:val="20"/>
                <w:szCs w:val="20"/>
                <w:color w:val="auto"/>
              </w:rPr>
            </w:pPr>
            <w:r>
              <w:rPr>
                <w:rFonts w:ascii="Arial" w:cs="Arial" w:eastAsia="Arial" w:hAnsi="Arial"/>
                <w:sz w:val="22"/>
                <w:szCs w:val="22"/>
                <w:color w:val="auto"/>
              </w:rPr>
              <w:t>393,118</w:t>
            </w:r>
          </w:p>
        </w:tc>
        <w:tc>
          <w:tcPr>
            <w:tcW w:w="540" w:type="dxa"/>
            <w:vAlign w:val="bottom"/>
          </w:tcPr>
          <w:p>
            <w:pPr>
              <w:jc w:val="center"/>
              <w:ind w:right="52"/>
              <w:spacing w:after="0"/>
              <w:rPr>
                <w:sz w:val="20"/>
                <w:szCs w:val="20"/>
                <w:color w:val="auto"/>
              </w:rPr>
            </w:pPr>
            <w:r>
              <w:rPr>
                <w:rFonts w:ascii="Arial" w:cs="Arial" w:eastAsia="Arial" w:hAnsi="Arial"/>
                <w:sz w:val="22"/>
                <w:szCs w:val="22"/>
                <w:color w:val="auto"/>
                <w:w w:val="96"/>
              </w:rPr>
              <w:t>(4)</w:t>
            </w:r>
          </w:p>
        </w:tc>
      </w:tr>
      <w:tr>
        <w:trPr>
          <w:trHeight w:val="30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 (3)</w:t>
            </w:r>
          </w:p>
        </w:tc>
        <w:tc>
          <w:tcPr>
            <w:tcW w:w="1940" w:type="dxa"/>
            <w:vAlign w:val="bottom"/>
            <w:shd w:val="clear" w:color="auto" w:fill="CCEEFF"/>
          </w:tcPr>
          <w:p>
            <w:pPr>
              <w:jc w:val="right"/>
              <w:ind w:right="133"/>
              <w:spacing w:after="0"/>
              <w:rPr>
                <w:sz w:val="20"/>
                <w:szCs w:val="20"/>
                <w:color w:val="auto"/>
              </w:rPr>
            </w:pPr>
            <w:r>
              <w:rPr>
                <w:rFonts w:ascii="Arial" w:cs="Arial" w:eastAsia="Arial" w:hAnsi="Arial"/>
                <w:sz w:val="22"/>
                <w:szCs w:val="22"/>
                <w:color w:val="auto"/>
              </w:rPr>
              <w:t>586</w:t>
            </w:r>
          </w:p>
        </w:tc>
        <w:tc>
          <w:tcPr>
            <w:tcW w:w="540" w:type="dxa"/>
            <w:vAlign w:val="bottom"/>
            <w:shd w:val="clear" w:color="auto" w:fill="CCEEFF"/>
          </w:tcPr>
          <w:p>
            <w:pPr>
              <w:jc w:val="center"/>
              <w:ind w:right="12"/>
              <w:spacing w:after="0"/>
              <w:rPr>
                <w:sz w:val="20"/>
                <w:szCs w:val="20"/>
                <w:color w:val="auto"/>
              </w:rPr>
            </w:pPr>
            <w:r>
              <w:rPr>
                <w:rFonts w:ascii="Arial" w:cs="Arial" w:eastAsia="Arial" w:hAnsi="Arial"/>
                <w:sz w:val="22"/>
                <w:szCs w:val="22"/>
                <w:color w:val="auto"/>
                <w:w w:val="96"/>
              </w:rPr>
              <w:t>(5)</w:t>
            </w:r>
          </w:p>
        </w:tc>
        <w:tc>
          <w:tcPr>
            <w:tcW w:w="22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54"/>
              <w:spacing w:after="0"/>
              <w:rPr>
                <w:sz w:val="20"/>
                <w:szCs w:val="20"/>
                <w:color w:val="auto"/>
              </w:rPr>
            </w:pPr>
            <w:r>
              <w:rPr>
                <w:rFonts w:ascii="Arial" w:cs="Arial" w:eastAsia="Arial" w:hAnsi="Arial"/>
                <w:sz w:val="22"/>
                <w:szCs w:val="22"/>
                <w:color w:val="auto"/>
              </w:rPr>
              <w:t>64,453</w:t>
            </w:r>
          </w:p>
        </w:tc>
        <w:tc>
          <w:tcPr>
            <w:tcW w:w="540" w:type="dxa"/>
            <w:vAlign w:val="bottom"/>
            <w:shd w:val="clear" w:color="auto" w:fill="CCEEFF"/>
          </w:tcPr>
          <w:p>
            <w:pPr>
              <w:jc w:val="center"/>
              <w:ind w:right="52"/>
              <w:spacing w:after="0"/>
              <w:rPr>
                <w:sz w:val="20"/>
                <w:szCs w:val="20"/>
                <w:color w:val="auto"/>
              </w:rPr>
            </w:pPr>
            <w:r>
              <w:rPr>
                <w:rFonts w:ascii="Arial" w:cs="Arial" w:eastAsia="Arial" w:hAnsi="Arial"/>
                <w:sz w:val="22"/>
                <w:szCs w:val="22"/>
                <w:color w:val="auto"/>
                <w:w w:val="96"/>
              </w:rPr>
              <w:t>(6)</w:t>
            </w:r>
          </w:p>
        </w:tc>
      </w:tr>
      <w:tr>
        <w:trPr>
          <w:trHeight w:val="289"/>
        </w:trPr>
        <w:tc>
          <w:tcPr>
            <w:tcW w:w="3920" w:type="dxa"/>
            <w:vAlign w:val="bottom"/>
            <w:gridSpan w:val="2"/>
          </w:tcPr>
          <w:p>
            <w:pPr>
              <w:ind w:left="40"/>
              <w:spacing w:after="0"/>
              <w:rPr>
                <w:sz w:val="20"/>
                <w:szCs w:val="20"/>
                <w:color w:val="auto"/>
              </w:rPr>
            </w:pPr>
            <w:r>
              <w:rPr>
                <w:rFonts w:ascii="Arial" w:cs="Arial" w:eastAsia="Arial" w:hAnsi="Arial"/>
                <w:sz w:val="22"/>
                <w:szCs w:val="22"/>
                <w:color w:val="auto"/>
              </w:rPr>
              <w:t>J. Steven Cole</w:t>
            </w:r>
          </w:p>
        </w:tc>
        <w:tc>
          <w:tcPr>
            <w:tcW w:w="1940" w:type="dxa"/>
            <w:vAlign w:val="bottom"/>
          </w:tcPr>
          <w:p>
            <w:pPr>
              <w:jc w:val="right"/>
              <w:ind w:right="133"/>
              <w:spacing w:after="0"/>
              <w:rPr>
                <w:sz w:val="20"/>
                <w:szCs w:val="20"/>
                <w:color w:val="auto"/>
              </w:rPr>
            </w:pPr>
            <w:r>
              <w:rPr>
                <w:rFonts w:ascii="Arial" w:cs="Arial" w:eastAsia="Arial" w:hAnsi="Arial"/>
                <w:sz w:val="22"/>
                <w:szCs w:val="22"/>
                <w:color w:val="auto"/>
              </w:rPr>
              <w:t>26,500</w:t>
            </w:r>
          </w:p>
        </w:tc>
        <w:tc>
          <w:tcPr>
            <w:tcW w:w="540" w:type="dxa"/>
            <w:vAlign w:val="bottom"/>
          </w:tcPr>
          <w:p>
            <w:pPr>
              <w:jc w:val="center"/>
              <w:ind w:right="12"/>
              <w:spacing w:after="0"/>
              <w:rPr>
                <w:sz w:val="20"/>
                <w:szCs w:val="20"/>
                <w:color w:val="auto"/>
              </w:rPr>
            </w:pPr>
            <w:r>
              <w:rPr>
                <w:rFonts w:ascii="Arial" w:cs="Arial" w:eastAsia="Arial" w:hAnsi="Arial"/>
                <w:sz w:val="22"/>
                <w:szCs w:val="22"/>
                <w:color w:val="auto"/>
                <w:w w:val="96"/>
              </w:rPr>
              <w:t>(7)</w:t>
            </w:r>
          </w:p>
        </w:tc>
        <w:tc>
          <w:tcPr>
            <w:tcW w:w="220" w:type="dxa"/>
            <w:vAlign w:val="bottom"/>
          </w:tcPr>
          <w:p>
            <w:pPr>
              <w:spacing w:after="0"/>
              <w:rPr>
                <w:sz w:val="24"/>
                <w:szCs w:val="24"/>
                <w:color w:val="auto"/>
              </w:rPr>
            </w:pPr>
          </w:p>
        </w:tc>
        <w:tc>
          <w:tcPr>
            <w:tcW w:w="204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960" w:type="dxa"/>
            <w:vAlign w:val="bottom"/>
          </w:tcPr>
          <w:p>
            <w:pPr>
              <w:jc w:val="right"/>
              <w:ind w:right="154"/>
              <w:spacing w:after="0"/>
              <w:rPr>
                <w:sz w:val="20"/>
                <w:szCs w:val="20"/>
                <w:color w:val="auto"/>
              </w:rPr>
            </w:pPr>
            <w:r>
              <w:rPr>
                <w:rFonts w:ascii="Arial" w:cs="Arial" w:eastAsia="Arial" w:hAnsi="Arial"/>
                <w:sz w:val="22"/>
                <w:szCs w:val="22"/>
                <w:color w:val="auto"/>
              </w:rPr>
              <w:t>—</w:t>
            </w:r>
          </w:p>
        </w:tc>
        <w:tc>
          <w:tcPr>
            <w:tcW w:w="540" w:type="dxa"/>
            <w:vAlign w:val="bottom"/>
          </w:tcPr>
          <w:p>
            <w:pPr>
              <w:spacing w:after="0"/>
              <w:rPr>
                <w:sz w:val="24"/>
                <w:szCs w:val="24"/>
                <w:color w:val="auto"/>
              </w:rPr>
            </w:pPr>
          </w:p>
        </w:tc>
      </w:tr>
      <w:tr>
        <w:trPr>
          <w:trHeight w:val="30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Joseph C. Miller</w:t>
            </w:r>
          </w:p>
        </w:tc>
        <w:tc>
          <w:tcPr>
            <w:tcW w:w="1940" w:type="dxa"/>
            <w:vAlign w:val="bottom"/>
            <w:shd w:val="clear" w:color="auto" w:fill="CCEEFF"/>
          </w:tcPr>
          <w:p>
            <w:pPr>
              <w:jc w:val="right"/>
              <w:ind w:right="133"/>
              <w:spacing w:after="0"/>
              <w:rPr>
                <w:sz w:val="20"/>
                <w:szCs w:val="20"/>
                <w:color w:val="auto"/>
              </w:rPr>
            </w:pPr>
            <w:r>
              <w:rPr>
                <w:rFonts w:ascii="Arial" w:cs="Arial" w:eastAsia="Arial" w:hAnsi="Arial"/>
                <w:sz w:val="22"/>
                <w:szCs w:val="22"/>
                <w:color w:val="auto"/>
              </w:rPr>
              <w:t>19,034</w:t>
            </w:r>
          </w:p>
        </w:tc>
        <w:tc>
          <w:tcPr>
            <w:tcW w:w="540" w:type="dxa"/>
            <w:vAlign w:val="bottom"/>
            <w:shd w:val="clear" w:color="auto" w:fill="CCEEFF"/>
          </w:tcPr>
          <w:p>
            <w:pPr>
              <w:jc w:val="center"/>
              <w:ind w:right="12"/>
              <w:spacing w:after="0"/>
              <w:rPr>
                <w:sz w:val="20"/>
                <w:szCs w:val="20"/>
                <w:color w:val="auto"/>
              </w:rPr>
            </w:pPr>
            <w:r>
              <w:rPr>
                <w:rFonts w:ascii="Arial" w:cs="Arial" w:eastAsia="Arial" w:hAnsi="Arial"/>
                <w:sz w:val="22"/>
                <w:szCs w:val="22"/>
                <w:color w:val="auto"/>
                <w:w w:val="96"/>
              </w:rPr>
              <w:t>(8)</w:t>
            </w:r>
          </w:p>
        </w:tc>
        <w:tc>
          <w:tcPr>
            <w:tcW w:w="22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54"/>
              <w:spacing w:after="0"/>
              <w:rPr>
                <w:sz w:val="20"/>
                <w:szCs w:val="20"/>
                <w:color w:val="auto"/>
              </w:rPr>
            </w:pPr>
            <w:r>
              <w:rPr>
                <w:rFonts w:ascii="Arial" w:cs="Arial" w:eastAsia="Arial" w:hAnsi="Arial"/>
                <w:sz w:val="22"/>
                <w:szCs w:val="22"/>
                <w:color w:val="auto"/>
              </w:rPr>
              <w:t>—</w:t>
            </w:r>
          </w:p>
        </w:tc>
        <w:tc>
          <w:tcPr>
            <w:tcW w:w="540" w:type="dxa"/>
            <w:vAlign w:val="bottom"/>
            <w:shd w:val="clear" w:color="auto" w:fill="CCEEFF"/>
          </w:tcPr>
          <w:p>
            <w:pPr>
              <w:spacing w:after="0"/>
              <w:rPr>
                <w:sz w:val="24"/>
                <w:szCs w:val="24"/>
                <w:color w:val="auto"/>
              </w:rPr>
            </w:pPr>
          </w:p>
        </w:tc>
      </w:tr>
      <w:tr>
        <w:trPr>
          <w:trHeight w:val="289"/>
        </w:trPr>
        <w:tc>
          <w:tcPr>
            <w:tcW w:w="3920" w:type="dxa"/>
            <w:vAlign w:val="bottom"/>
            <w:gridSpan w:val="2"/>
          </w:tcPr>
          <w:p>
            <w:pPr>
              <w:ind w:left="40"/>
              <w:spacing w:after="0"/>
              <w:rPr>
                <w:sz w:val="20"/>
                <w:szCs w:val="20"/>
                <w:color w:val="auto"/>
              </w:rPr>
            </w:pPr>
            <w:r>
              <w:rPr>
                <w:rFonts w:ascii="Arial" w:cs="Arial" w:eastAsia="Arial" w:hAnsi="Arial"/>
                <w:sz w:val="22"/>
                <w:szCs w:val="22"/>
                <w:color w:val="auto"/>
              </w:rPr>
              <w:t>Michael A. Nemeroff</w:t>
            </w:r>
          </w:p>
        </w:tc>
        <w:tc>
          <w:tcPr>
            <w:tcW w:w="1940" w:type="dxa"/>
            <w:vAlign w:val="bottom"/>
          </w:tcPr>
          <w:p>
            <w:pPr>
              <w:jc w:val="right"/>
              <w:ind w:right="133"/>
              <w:spacing w:after="0"/>
              <w:rPr>
                <w:sz w:val="20"/>
                <w:szCs w:val="20"/>
                <w:color w:val="auto"/>
              </w:rPr>
            </w:pPr>
            <w:r>
              <w:rPr>
                <w:rFonts w:ascii="Arial" w:cs="Arial" w:eastAsia="Arial" w:hAnsi="Arial"/>
                <w:sz w:val="22"/>
                <w:szCs w:val="22"/>
                <w:color w:val="auto"/>
              </w:rPr>
              <w:t>20,401</w:t>
            </w:r>
          </w:p>
        </w:tc>
        <w:tc>
          <w:tcPr>
            <w:tcW w:w="540" w:type="dxa"/>
            <w:vAlign w:val="bottom"/>
          </w:tcPr>
          <w:p>
            <w:pPr>
              <w:jc w:val="center"/>
              <w:ind w:right="12"/>
              <w:spacing w:after="0"/>
              <w:rPr>
                <w:sz w:val="20"/>
                <w:szCs w:val="20"/>
                <w:color w:val="auto"/>
              </w:rPr>
            </w:pPr>
            <w:r>
              <w:rPr>
                <w:rFonts w:ascii="Arial" w:cs="Arial" w:eastAsia="Arial" w:hAnsi="Arial"/>
                <w:sz w:val="22"/>
                <w:szCs w:val="22"/>
                <w:color w:val="auto"/>
                <w:w w:val="96"/>
              </w:rPr>
              <w:t>(9)</w:t>
            </w:r>
          </w:p>
        </w:tc>
        <w:tc>
          <w:tcPr>
            <w:tcW w:w="220" w:type="dxa"/>
            <w:vAlign w:val="bottom"/>
          </w:tcPr>
          <w:p>
            <w:pPr>
              <w:spacing w:after="0"/>
              <w:rPr>
                <w:sz w:val="24"/>
                <w:szCs w:val="24"/>
                <w:color w:val="auto"/>
              </w:rPr>
            </w:pPr>
          </w:p>
        </w:tc>
        <w:tc>
          <w:tcPr>
            <w:tcW w:w="204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960" w:type="dxa"/>
            <w:vAlign w:val="bottom"/>
          </w:tcPr>
          <w:p>
            <w:pPr>
              <w:jc w:val="right"/>
              <w:ind w:right="154"/>
              <w:spacing w:after="0"/>
              <w:rPr>
                <w:sz w:val="20"/>
                <w:szCs w:val="20"/>
                <w:color w:val="auto"/>
              </w:rPr>
            </w:pPr>
            <w:r>
              <w:rPr>
                <w:rFonts w:ascii="Arial" w:cs="Arial" w:eastAsia="Arial" w:hAnsi="Arial"/>
                <w:sz w:val="22"/>
                <w:szCs w:val="22"/>
                <w:color w:val="auto"/>
              </w:rPr>
              <w:t>—</w:t>
            </w:r>
          </w:p>
        </w:tc>
        <w:tc>
          <w:tcPr>
            <w:tcW w:w="540" w:type="dxa"/>
            <w:vAlign w:val="bottom"/>
          </w:tcPr>
          <w:p>
            <w:pPr>
              <w:spacing w:after="0"/>
              <w:rPr>
                <w:sz w:val="24"/>
                <w:szCs w:val="24"/>
                <w:color w:val="auto"/>
              </w:rPr>
            </w:pPr>
          </w:p>
        </w:tc>
      </w:tr>
      <w:tr>
        <w:trPr>
          <w:trHeight w:val="30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Allan H. Selig</w:t>
            </w:r>
          </w:p>
        </w:tc>
        <w:tc>
          <w:tcPr>
            <w:tcW w:w="1940" w:type="dxa"/>
            <w:vAlign w:val="bottom"/>
            <w:shd w:val="clear" w:color="auto" w:fill="CCEEFF"/>
          </w:tcPr>
          <w:p>
            <w:pPr>
              <w:jc w:val="right"/>
              <w:ind w:right="133"/>
              <w:spacing w:after="0"/>
              <w:rPr>
                <w:sz w:val="20"/>
                <w:szCs w:val="20"/>
                <w:color w:val="auto"/>
              </w:rPr>
            </w:pPr>
            <w:r>
              <w:rPr>
                <w:rFonts w:ascii="Arial" w:cs="Arial" w:eastAsia="Arial" w:hAnsi="Arial"/>
                <w:sz w:val="22"/>
                <w:szCs w:val="22"/>
                <w:color w:val="auto"/>
              </w:rPr>
              <w:t>22,000</w:t>
            </w:r>
          </w:p>
        </w:tc>
        <w:tc>
          <w:tcPr>
            <w:tcW w:w="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54"/>
              <w:spacing w:after="0"/>
              <w:rPr>
                <w:sz w:val="20"/>
                <w:szCs w:val="20"/>
                <w:color w:val="auto"/>
              </w:rPr>
            </w:pPr>
            <w:r>
              <w:rPr>
                <w:rFonts w:ascii="Arial" w:cs="Arial" w:eastAsia="Arial" w:hAnsi="Arial"/>
                <w:sz w:val="22"/>
                <w:szCs w:val="22"/>
                <w:color w:val="auto"/>
              </w:rPr>
              <w:t>—</w:t>
            </w:r>
          </w:p>
        </w:tc>
        <w:tc>
          <w:tcPr>
            <w:tcW w:w="540" w:type="dxa"/>
            <w:vAlign w:val="bottom"/>
            <w:shd w:val="clear" w:color="auto" w:fill="CCEEFF"/>
          </w:tcPr>
          <w:p>
            <w:pPr>
              <w:spacing w:after="0"/>
              <w:rPr>
                <w:sz w:val="24"/>
                <w:szCs w:val="24"/>
                <w:color w:val="auto"/>
              </w:rPr>
            </w:pPr>
          </w:p>
        </w:tc>
      </w:tr>
      <w:tr>
        <w:trPr>
          <w:trHeight w:val="289"/>
        </w:trPr>
        <w:tc>
          <w:tcPr>
            <w:tcW w:w="3920" w:type="dxa"/>
            <w:vAlign w:val="bottom"/>
            <w:gridSpan w:val="2"/>
          </w:tcPr>
          <w:p>
            <w:pPr>
              <w:ind w:left="40"/>
              <w:spacing w:after="0"/>
              <w:rPr>
                <w:sz w:val="20"/>
                <w:szCs w:val="20"/>
                <w:color w:val="auto"/>
              </w:rPr>
            </w:pPr>
            <w:r>
              <w:rPr>
                <w:rFonts w:ascii="Arial" w:cs="Arial" w:eastAsia="Arial" w:hAnsi="Arial"/>
                <w:sz w:val="22"/>
                <w:szCs w:val="22"/>
                <w:color w:val="auto"/>
              </w:rPr>
              <w:t>Paul E. Suckow</w:t>
            </w:r>
          </w:p>
        </w:tc>
        <w:tc>
          <w:tcPr>
            <w:tcW w:w="1940" w:type="dxa"/>
            <w:vAlign w:val="bottom"/>
          </w:tcPr>
          <w:p>
            <w:pPr>
              <w:jc w:val="right"/>
              <w:ind w:right="133"/>
              <w:spacing w:after="0"/>
              <w:rPr>
                <w:sz w:val="20"/>
                <w:szCs w:val="20"/>
                <w:color w:val="auto"/>
              </w:rPr>
            </w:pPr>
            <w:r>
              <w:rPr>
                <w:rFonts w:ascii="Arial" w:cs="Arial" w:eastAsia="Arial" w:hAnsi="Arial"/>
                <w:sz w:val="22"/>
                <w:szCs w:val="22"/>
                <w:color w:val="auto"/>
              </w:rPr>
              <w:t>18,500</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960" w:type="dxa"/>
            <w:vAlign w:val="bottom"/>
          </w:tcPr>
          <w:p>
            <w:pPr>
              <w:jc w:val="right"/>
              <w:ind w:right="154"/>
              <w:spacing w:after="0"/>
              <w:rPr>
                <w:sz w:val="20"/>
                <w:szCs w:val="20"/>
                <w:color w:val="auto"/>
              </w:rPr>
            </w:pPr>
            <w:r>
              <w:rPr>
                <w:rFonts w:ascii="Arial" w:cs="Arial" w:eastAsia="Arial" w:hAnsi="Arial"/>
                <w:sz w:val="22"/>
                <w:szCs w:val="22"/>
                <w:color w:val="auto"/>
              </w:rPr>
              <w:t>—</w:t>
            </w:r>
          </w:p>
        </w:tc>
        <w:tc>
          <w:tcPr>
            <w:tcW w:w="540" w:type="dxa"/>
            <w:vAlign w:val="bottom"/>
          </w:tcPr>
          <w:p>
            <w:pPr>
              <w:spacing w:after="0"/>
              <w:rPr>
                <w:sz w:val="24"/>
                <w:szCs w:val="24"/>
                <w:color w:val="auto"/>
              </w:rPr>
            </w:pPr>
          </w:p>
        </w:tc>
      </w:tr>
      <w:tr>
        <w:trPr>
          <w:trHeight w:val="30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Lawrence E. Washow</w:t>
            </w:r>
          </w:p>
        </w:tc>
        <w:tc>
          <w:tcPr>
            <w:tcW w:w="1940" w:type="dxa"/>
            <w:vAlign w:val="bottom"/>
            <w:shd w:val="clear" w:color="auto" w:fill="CCEEFF"/>
          </w:tcPr>
          <w:p>
            <w:pPr>
              <w:jc w:val="right"/>
              <w:ind w:right="133"/>
              <w:spacing w:after="0"/>
              <w:rPr>
                <w:sz w:val="20"/>
                <w:szCs w:val="20"/>
                <w:color w:val="auto"/>
              </w:rPr>
            </w:pPr>
            <w:r>
              <w:rPr>
                <w:rFonts w:ascii="Arial" w:cs="Arial" w:eastAsia="Arial" w:hAnsi="Arial"/>
                <w:sz w:val="22"/>
                <w:szCs w:val="22"/>
                <w:color w:val="auto"/>
              </w:rPr>
              <w:t>6,500</w:t>
            </w:r>
          </w:p>
        </w:tc>
        <w:tc>
          <w:tcPr>
            <w:tcW w:w="5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(10)</w:t>
            </w:r>
          </w:p>
        </w:tc>
        <w:tc>
          <w:tcPr>
            <w:tcW w:w="22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54"/>
              <w:spacing w:after="0"/>
              <w:rPr>
                <w:sz w:val="20"/>
                <w:szCs w:val="20"/>
                <w:color w:val="auto"/>
              </w:rPr>
            </w:pPr>
            <w:r>
              <w:rPr>
                <w:rFonts w:ascii="Arial" w:cs="Arial" w:eastAsia="Arial" w:hAnsi="Arial"/>
                <w:sz w:val="22"/>
                <w:szCs w:val="22"/>
                <w:color w:val="auto"/>
              </w:rPr>
              <w:t>—</w:t>
            </w:r>
          </w:p>
        </w:tc>
        <w:tc>
          <w:tcPr>
            <w:tcW w:w="540" w:type="dxa"/>
            <w:vAlign w:val="bottom"/>
            <w:shd w:val="clear" w:color="auto" w:fill="CCEEFF"/>
          </w:tcPr>
          <w:p>
            <w:pPr>
              <w:spacing w:after="0"/>
              <w:rPr>
                <w:sz w:val="24"/>
                <w:szCs w:val="24"/>
                <w:color w:val="auto"/>
              </w:rPr>
            </w:pPr>
          </w:p>
        </w:tc>
      </w:tr>
      <w:tr>
        <w:trPr>
          <w:trHeight w:val="289"/>
        </w:trPr>
        <w:tc>
          <w:tcPr>
            <w:tcW w:w="392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1940" w:type="dxa"/>
            <w:vAlign w:val="bottom"/>
          </w:tcPr>
          <w:p>
            <w:pPr>
              <w:jc w:val="right"/>
              <w:ind w:right="133"/>
              <w:spacing w:after="0"/>
              <w:rPr>
                <w:sz w:val="20"/>
                <w:szCs w:val="20"/>
                <w:color w:val="auto"/>
              </w:rPr>
            </w:pPr>
            <w:r>
              <w:rPr>
                <w:rFonts w:ascii="Arial" w:cs="Arial" w:eastAsia="Arial" w:hAnsi="Arial"/>
                <w:sz w:val="22"/>
                <w:szCs w:val="22"/>
                <w:color w:val="auto"/>
              </w:rPr>
              <w:t>9,651</w:t>
            </w:r>
          </w:p>
        </w:tc>
        <w:tc>
          <w:tcPr>
            <w:tcW w:w="540" w:type="dxa"/>
            <w:vAlign w:val="bottom"/>
          </w:tcPr>
          <w:p>
            <w:pPr>
              <w:jc w:val="center"/>
              <w:ind w:right="12"/>
              <w:spacing w:after="0"/>
              <w:rPr>
                <w:sz w:val="20"/>
                <w:szCs w:val="20"/>
                <w:color w:val="auto"/>
              </w:rPr>
            </w:pPr>
            <w:r>
              <w:rPr>
                <w:rFonts w:ascii="Arial" w:cs="Arial" w:eastAsia="Arial" w:hAnsi="Arial"/>
                <w:sz w:val="22"/>
                <w:szCs w:val="22"/>
                <w:color w:val="auto"/>
                <w:w w:val="86"/>
              </w:rPr>
              <w:t>(11)</w:t>
            </w:r>
          </w:p>
        </w:tc>
        <w:tc>
          <w:tcPr>
            <w:tcW w:w="220" w:type="dxa"/>
            <w:vAlign w:val="bottom"/>
          </w:tcPr>
          <w:p>
            <w:pPr>
              <w:spacing w:after="0"/>
              <w:rPr>
                <w:sz w:val="24"/>
                <w:szCs w:val="24"/>
                <w:color w:val="auto"/>
              </w:rPr>
            </w:pPr>
          </w:p>
        </w:tc>
        <w:tc>
          <w:tcPr>
            <w:tcW w:w="204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960" w:type="dxa"/>
            <w:vAlign w:val="bottom"/>
          </w:tcPr>
          <w:p>
            <w:pPr>
              <w:jc w:val="right"/>
              <w:ind w:right="154"/>
              <w:spacing w:after="0"/>
              <w:rPr>
                <w:sz w:val="20"/>
                <w:szCs w:val="20"/>
                <w:color w:val="auto"/>
              </w:rPr>
            </w:pPr>
            <w:r>
              <w:rPr>
                <w:rFonts w:ascii="Arial" w:cs="Arial" w:eastAsia="Arial" w:hAnsi="Arial"/>
                <w:sz w:val="22"/>
                <w:szCs w:val="22"/>
                <w:color w:val="auto"/>
              </w:rPr>
              <w:t>—</w:t>
            </w:r>
          </w:p>
        </w:tc>
        <w:tc>
          <w:tcPr>
            <w:tcW w:w="540" w:type="dxa"/>
            <w:vAlign w:val="bottom"/>
          </w:tcPr>
          <w:p>
            <w:pPr>
              <w:spacing w:after="0"/>
              <w:rPr>
                <w:sz w:val="24"/>
                <w:szCs w:val="24"/>
                <w:color w:val="auto"/>
              </w:rPr>
            </w:pPr>
          </w:p>
        </w:tc>
      </w:tr>
      <w:tr>
        <w:trPr>
          <w:trHeight w:val="30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Douglas A. Graham</w:t>
            </w:r>
          </w:p>
        </w:tc>
        <w:tc>
          <w:tcPr>
            <w:tcW w:w="1940" w:type="dxa"/>
            <w:vAlign w:val="bottom"/>
            <w:shd w:val="clear" w:color="auto" w:fill="CCEEFF"/>
          </w:tcPr>
          <w:p>
            <w:pPr>
              <w:jc w:val="right"/>
              <w:ind w:right="133"/>
              <w:spacing w:after="0"/>
              <w:rPr>
                <w:sz w:val="20"/>
                <w:szCs w:val="20"/>
                <w:color w:val="auto"/>
              </w:rPr>
            </w:pPr>
            <w:r>
              <w:rPr>
                <w:rFonts w:ascii="Arial" w:cs="Arial" w:eastAsia="Arial" w:hAnsi="Arial"/>
                <w:sz w:val="22"/>
                <w:szCs w:val="22"/>
                <w:color w:val="auto"/>
              </w:rPr>
              <w:t>3,500</w:t>
            </w:r>
          </w:p>
        </w:tc>
        <w:tc>
          <w:tcPr>
            <w:tcW w:w="5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(12)</w:t>
            </w:r>
          </w:p>
        </w:tc>
        <w:tc>
          <w:tcPr>
            <w:tcW w:w="22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89"/>
        </w:trPr>
        <w:tc>
          <w:tcPr>
            <w:tcW w:w="3920" w:type="dxa"/>
            <w:vAlign w:val="bottom"/>
            <w:gridSpan w:val="2"/>
          </w:tcPr>
          <w:p>
            <w:pPr>
              <w:ind w:left="40"/>
              <w:spacing w:after="0"/>
              <w:rPr>
                <w:sz w:val="20"/>
                <w:szCs w:val="20"/>
                <w:color w:val="auto"/>
              </w:rPr>
            </w:pPr>
            <w:r>
              <w:rPr>
                <w:rFonts w:ascii="Arial" w:cs="Arial" w:eastAsia="Arial" w:hAnsi="Arial"/>
                <w:sz w:val="22"/>
                <w:szCs w:val="22"/>
                <w:color w:val="auto"/>
              </w:rPr>
              <w:t>Mark E. Lewry</w:t>
            </w:r>
          </w:p>
        </w:tc>
        <w:tc>
          <w:tcPr>
            <w:tcW w:w="1940" w:type="dxa"/>
            <w:vAlign w:val="bottom"/>
          </w:tcPr>
          <w:p>
            <w:pPr>
              <w:jc w:val="right"/>
              <w:ind w:right="133"/>
              <w:spacing w:after="0"/>
              <w:rPr>
                <w:sz w:val="20"/>
                <w:szCs w:val="20"/>
                <w:color w:val="auto"/>
              </w:rPr>
            </w:pPr>
            <w:r>
              <w:rPr>
                <w:rFonts w:ascii="Arial" w:cs="Arial" w:eastAsia="Arial" w:hAnsi="Arial"/>
                <w:sz w:val="22"/>
                <w:szCs w:val="22"/>
                <w:color w:val="auto"/>
              </w:rPr>
              <w:t>12,000</w:t>
            </w:r>
          </w:p>
        </w:tc>
        <w:tc>
          <w:tcPr>
            <w:tcW w:w="540" w:type="dxa"/>
            <w:vAlign w:val="bottom"/>
          </w:tcPr>
          <w:p>
            <w:pPr>
              <w:jc w:val="center"/>
              <w:spacing w:after="0"/>
              <w:rPr>
                <w:sz w:val="20"/>
                <w:szCs w:val="20"/>
                <w:color w:val="auto"/>
              </w:rPr>
            </w:pPr>
            <w:r>
              <w:rPr>
                <w:rFonts w:ascii="Arial" w:cs="Arial" w:eastAsia="Arial" w:hAnsi="Arial"/>
                <w:sz w:val="22"/>
                <w:szCs w:val="22"/>
                <w:color w:val="auto"/>
                <w:w w:val="91"/>
              </w:rPr>
              <w:t>(13)</w:t>
            </w:r>
          </w:p>
        </w:tc>
        <w:tc>
          <w:tcPr>
            <w:tcW w:w="220" w:type="dxa"/>
            <w:vAlign w:val="bottom"/>
          </w:tcPr>
          <w:p>
            <w:pPr>
              <w:spacing w:after="0"/>
              <w:rPr>
                <w:sz w:val="24"/>
                <w:szCs w:val="24"/>
                <w:color w:val="auto"/>
              </w:rPr>
            </w:pPr>
          </w:p>
        </w:tc>
        <w:tc>
          <w:tcPr>
            <w:tcW w:w="204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960" w:type="dxa"/>
            <w:vAlign w:val="bottom"/>
          </w:tcPr>
          <w:p>
            <w:pPr>
              <w:jc w:val="right"/>
              <w:ind w:right="154"/>
              <w:spacing w:after="0"/>
              <w:rPr>
                <w:sz w:val="20"/>
                <w:szCs w:val="20"/>
                <w:color w:val="auto"/>
              </w:rPr>
            </w:pPr>
            <w:r>
              <w:rPr>
                <w:rFonts w:ascii="Arial" w:cs="Arial" w:eastAsia="Arial" w:hAnsi="Arial"/>
                <w:sz w:val="22"/>
                <w:szCs w:val="22"/>
                <w:color w:val="auto"/>
              </w:rPr>
              <w:t>—</w:t>
            </w:r>
          </w:p>
        </w:tc>
        <w:tc>
          <w:tcPr>
            <w:tcW w:w="540" w:type="dxa"/>
            <w:vAlign w:val="bottom"/>
          </w:tcPr>
          <w:p>
            <w:pPr>
              <w:spacing w:after="0"/>
              <w:rPr>
                <w:sz w:val="24"/>
                <w:szCs w:val="24"/>
                <w:color w:val="auto"/>
              </w:rPr>
            </w:pPr>
          </w:p>
        </w:tc>
      </w:tr>
      <w:tr>
        <w:trPr>
          <w:trHeight w:val="257"/>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All Directors and Named Executive</w:t>
            </w:r>
          </w:p>
        </w:tc>
        <w:tc>
          <w:tcPr>
            <w:tcW w:w="19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92"/>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Officers as a Group</w:t>
            </w:r>
          </w:p>
        </w:tc>
        <w:tc>
          <w:tcPr>
            <w:tcW w:w="1940" w:type="dxa"/>
            <w:vAlign w:val="bottom"/>
            <w:shd w:val="clear" w:color="auto" w:fill="CCEEFF"/>
          </w:tcPr>
          <w:p>
            <w:pPr>
              <w:jc w:val="right"/>
              <w:ind w:right="133"/>
              <w:spacing w:after="0"/>
              <w:rPr>
                <w:sz w:val="20"/>
                <w:szCs w:val="20"/>
                <w:color w:val="auto"/>
              </w:rPr>
            </w:pPr>
            <w:r>
              <w:rPr>
                <w:rFonts w:ascii="Arial" w:cs="Arial" w:eastAsia="Arial" w:hAnsi="Arial"/>
                <w:sz w:val="22"/>
                <w:szCs w:val="22"/>
                <w:color w:val="auto"/>
              </w:rPr>
              <w:t>138,672</w:t>
            </w:r>
          </w:p>
        </w:tc>
        <w:tc>
          <w:tcPr>
            <w:tcW w:w="5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(14)</w:t>
            </w:r>
          </w:p>
        </w:tc>
        <w:tc>
          <w:tcPr>
            <w:tcW w:w="22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2.75%</w:t>
            </w: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54"/>
              <w:spacing w:after="0"/>
              <w:rPr>
                <w:sz w:val="20"/>
                <w:szCs w:val="20"/>
                <w:color w:val="auto"/>
              </w:rPr>
            </w:pPr>
            <w:r>
              <w:rPr>
                <w:rFonts w:ascii="Arial" w:cs="Arial" w:eastAsia="Arial" w:hAnsi="Arial"/>
                <w:sz w:val="22"/>
                <w:szCs w:val="22"/>
                <w:color w:val="auto"/>
              </w:rPr>
              <w:t>867,129</w:t>
            </w:r>
          </w:p>
        </w:tc>
        <w:tc>
          <w:tcPr>
            <w:tcW w:w="540" w:type="dxa"/>
            <w:vAlign w:val="bottom"/>
            <w:shd w:val="clear" w:color="auto" w:fill="CCEEFF"/>
          </w:tcPr>
          <w:p>
            <w:pPr>
              <w:jc w:val="center"/>
              <w:ind w:right="32"/>
              <w:spacing w:after="0"/>
              <w:rPr>
                <w:sz w:val="20"/>
                <w:szCs w:val="20"/>
                <w:color w:val="auto"/>
              </w:rPr>
            </w:pPr>
            <w:r>
              <w:rPr>
                <w:rFonts w:ascii="Arial" w:cs="Arial" w:eastAsia="Arial" w:hAnsi="Arial"/>
                <w:sz w:val="22"/>
                <w:szCs w:val="22"/>
                <w:color w:val="auto"/>
                <w:w w:val="91"/>
              </w:rPr>
              <w:t>(15)</w:t>
            </w:r>
          </w:p>
        </w:tc>
      </w:tr>
    </w:tbl>
    <w:p>
      <w:pPr>
        <w:spacing w:after="0" w:line="249" w:lineRule="exact"/>
        <w:rPr>
          <w:sz w:val="20"/>
          <w:szCs w:val="20"/>
          <w:color w:val="auto"/>
        </w:rPr>
      </w:pPr>
    </w:p>
    <w:p>
      <w:pPr>
        <w:ind w:left="720" w:hanging="172"/>
        <w:spacing w:after="0"/>
        <w:tabs>
          <w:tab w:leader="none" w:pos="720" w:val="left"/>
        </w:tabs>
        <w:numPr>
          <w:ilvl w:val="1"/>
          <w:numId w:val="61"/>
        </w:numPr>
        <w:rPr>
          <w:rFonts w:ascii="Arial" w:cs="Arial" w:eastAsia="Arial" w:hAnsi="Arial"/>
          <w:sz w:val="22"/>
          <w:szCs w:val="22"/>
          <w:color w:val="auto"/>
        </w:rPr>
      </w:pPr>
      <w:r>
        <w:rPr>
          <w:rFonts w:ascii="Arial" w:cs="Arial" w:eastAsia="Arial" w:hAnsi="Arial"/>
          <w:sz w:val="22"/>
          <w:szCs w:val="22"/>
          <w:color w:val="auto"/>
        </w:rPr>
        <w:t>Does not exceed 1%</w:t>
      </w:r>
    </w:p>
    <w:p>
      <w:pPr>
        <w:spacing w:after="0" w:line="179" w:lineRule="exact"/>
        <w:rPr>
          <w:rFonts w:ascii="Arial" w:cs="Arial" w:eastAsia="Arial" w:hAnsi="Arial"/>
          <w:sz w:val="22"/>
          <w:szCs w:val="22"/>
          <w:color w:val="auto"/>
        </w:rPr>
      </w:pPr>
    </w:p>
    <w:p>
      <w:pPr>
        <w:jc w:val="both"/>
        <w:ind w:firstLine="8"/>
        <w:spacing w:after="0" w:line="288" w:lineRule="auto"/>
        <w:tabs>
          <w:tab w:leader="none" w:pos="502" w:val="left"/>
        </w:tabs>
        <w:numPr>
          <w:ilvl w:val="0"/>
          <w:numId w:val="61"/>
        </w:numPr>
        <w:rPr>
          <w:rFonts w:ascii="Arial" w:cs="Arial" w:eastAsia="Arial" w:hAnsi="Arial"/>
          <w:sz w:val="19"/>
          <w:szCs w:val="19"/>
          <w:color w:val="auto"/>
        </w:rPr>
      </w:pPr>
      <w:r>
        <w:rPr>
          <w:rFonts w:ascii="Arial" w:cs="Arial" w:eastAsia="Arial" w:hAnsi="Arial"/>
          <w:sz w:val="19"/>
          <w:szCs w:val="19"/>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13, 2015,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5,028,047 shares of Common Stock and 2,190,994 shares of Class B Stock outstanding as of the close of business on October 13, 2015. Shares of Common Stock and Class B Stock subject to options, warrants or other rights that are exercisable or convertible within 60 days after October 13, 2015,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19" w:lineRule="exact"/>
        <w:rPr>
          <w:rFonts w:ascii="Arial" w:cs="Arial" w:eastAsia="Arial" w:hAnsi="Arial"/>
          <w:sz w:val="19"/>
          <w:szCs w:val="19"/>
          <w:color w:val="auto"/>
        </w:rPr>
      </w:pPr>
    </w:p>
    <w:p>
      <w:pPr>
        <w:ind w:firstLine="8"/>
        <w:spacing w:after="0" w:line="263" w:lineRule="auto"/>
        <w:tabs>
          <w:tab w:leader="none" w:pos="5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Except for Richard M. Jaffee, Daniel S. Jaffee and Thomas F. Cofsky, none of our directors or executive officers, including the named executive officers, own any shares of Class B Stock.</w:t>
      </w:r>
    </w:p>
    <w:p>
      <w:pPr>
        <w:spacing w:after="0" w:line="134" w:lineRule="exact"/>
        <w:rPr>
          <w:rFonts w:ascii="Arial" w:cs="Arial" w:eastAsia="Arial" w:hAnsi="Arial"/>
          <w:sz w:val="22"/>
          <w:szCs w:val="22"/>
          <w:color w:val="auto"/>
        </w:rPr>
      </w:pPr>
    </w:p>
    <w:p>
      <w:pPr>
        <w:ind w:left="480" w:hanging="472"/>
        <w:spacing w:after="0"/>
        <w:tabs>
          <w:tab w:leader="none" w:pos="4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Thomas F. Cofsky is Richard M. Jaffee’s son-in-law and Daniel S. Jaffee’s brother-in-law.</w:t>
      </w:r>
    </w:p>
    <w:p>
      <w:pPr>
        <w:spacing w:after="0" w:line="179" w:lineRule="exact"/>
        <w:rPr>
          <w:rFonts w:ascii="Arial" w:cs="Arial" w:eastAsia="Arial" w:hAnsi="Arial"/>
          <w:sz w:val="22"/>
          <w:szCs w:val="22"/>
          <w:color w:val="auto"/>
        </w:rPr>
      </w:pPr>
    </w:p>
    <w:p>
      <w:pPr>
        <w:ind w:right="20" w:firstLine="8"/>
        <w:spacing w:after="0" w:line="263" w:lineRule="auto"/>
        <w:tabs>
          <w:tab w:leader="none" w:pos="591" w:val="left"/>
        </w:tabs>
        <w:numPr>
          <w:ilvl w:val="0"/>
          <w:numId w:val="61"/>
        </w:numPr>
        <w:rPr>
          <w:rFonts w:ascii="Arial" w:cs="Arial" w:eastAsia="Arial" w:hAnsi="Arial"/>
          <w:sz w:val="22"/>
          <w:szCs w:val="22"/>
          <w:color w:val="auto"/>
        </w:rPr>
      </w:pPr>
      <w:r>
        <w:rPr>
          <w:rFonts w:ascii="Arial" w:cs="Arial" w:eastAsia="Arial" w:hAnsi="Arial"/>
          <w:sz w:val="22"/>
          <w:szCs w:val="22"/>
          <w:color w:val="auto"/>
        </w:rPr>
        <w:t>For information regarding the shares beneficially owned by Richard M. Jaffee and Daniel S. Jaffee, see the table under “Principal Stockholders” above and the notes thereto.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74" w:right="239" w:bottom="1440" w:gutter="0" w:footer="0" w:header="0"/>
        </w:sectPr>
      </w:pPr>
    </w:p>
    <w:bookmarkStart w:id="60" w:name="page61"/>
    <w:bookmarkEnd w:id="60"/>
    <w:p>
      <w:pPr>
        <w:ind w:left="480" w:hanging="472"/>
        <w:spacing w:after="0"/>
        <w:tabs>
          <w:tab w:leader="none" w:pos="4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Consists of 512 shares of Common Stock owned by Mr. Cofsky and 74 shares of Common Stock owned by his spouse.</w:t>
      </w:r>
    </w:p>
    <w:p>
      <w:pPr>
        <w:spacing w:after="0" w:line="213" w:lineRule="exact"/>
        <w:rPr>
          <w:rFonts w:ascii="Arial" w:cs="Arial" w:eastAsia="Arial" w:hAnsi="Arial"/>
          <w:sz w:val="19"/>
          <w:szCs w:val="19"/>
          <w:color w:val="auto"/>
        </w:rPr>
      </w:pPr>
    </w:p>
    <w:p>
      <w:pPr>
        <w:jc w:val="both"/>
        <w:ind w:firstLine="8"/>
        <w:spacing w:after="0" w:line="302" w:lineRule="auto"/>
        <w:tabs>
          <w:tab w:leader="none" w:pos="470"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Consists of 11,835 shares of Class B Stock directly owned by Thomas F. Cofsky (4,791 of which are restricted shares), 42,867 shares of Class B Stock owned by his spouse, 9,375 shares of Class B Stock his spouse owns as trustee for their children, and 376 shares of Class B Stock held in joint tenancy with his spouse. Of the 4,791 restricted shares of Class B Stock, (a) 3,791 are scheduled to “cliff” vest in full on July 31, 2016 and (b) 1,000 are scheduled to “cliff” vest in full on October 19, 2018.</w:t>
      </w:r>
    </w:p>
    <w:p>
      <w:pPr>
        <w:spacing w:after="0" w:line="102" w:lineRule="exact"/>
        <w:rPr>
          <w:rFonts w:ascii="Arial" w:cs="Arial" w:eastAsia="Arial" w:hAnsi="Arial"/>
          <w:sz w:val="19"/>
          <w:szCs w:val="19"/>
          <w:color w:val="auto"/>
        </w:rPr>
      </w:pPr>
    </w:p>
    <w:p>
      <w:pPr>
        <w:ind w:left="480" w:hanging="472"/>
        <w:spacing w:after="0"/>
        <w:tabs>
          <w:tab w:leader="none" w:pos="4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Consists of 25,200 shares of Common Stock owned by Mr. Cole and 1,300 shares of Common Stock owned by his spouse.</w:t>
      </w:r>
    </w:p>
    <w:p>
      <w:pPr>
        <w:spacing w:after="0" w:line="213" w:lineRule="exact"/>
        <w:rPr>
          <w:rFonts w:ascii="Arial" w:cs="Arial" w:eastAsia="Arial" w:hAnsi="Arial"/>
          <w:sz w:val="19"/>
          <w:szCs w:val="19"/>
          <w:color w:val="auto"/>
        </w:rPr>
      </w:pPr>
    </w:p>
    <w:p>
      <w:pPr>
        <w:ind w:left="480" w:hanging="472"/>
        <w:spacing w:after="0"/>
        <w:tabs>
          <w:tab w:leader="none" w:pos="4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Includes 16,525 shares of Common Stock held by Mr. Miller as trustee for the benefit of his spouse.</w:t>
      </w:r>
    </w:p>
    <w:p>
      <w:pPr>
        <w:spacing w:after="0" w:line="179" w:lineRule="exact"/>
        <w:rPr>
          <w:rFonts w:ascii="Arial" w:cs="Arial" w:eastAsia="Arial" w:hAnsi="Arial"/>
          <w:sz w:val="22"/>
          <w:szCs w:val="22"/>
          <w:color w:val="auto"/>
        </w:rPr>
      </w:pPr>
    </w:p>
    <w:p>
      <w:pPr>
        <w:ind w:firstLine="8"/>
        <w:spacing w:after="0" w:line="263" w:lineRule="auto"/>
        <w:tabs>
          <w:tab w:leader="none" w:pos="549"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Includes 12,500 shares of Common Stock that Mr. Nemeroff has the right to acquire within 60 days of October 13, 2015, pursuant to stock options.</w:t>
      </w:r>
    </w:p>
    <w:p>
      <w:pPr>
        <w:spacing w:after="0" w:line="134" w:lineRule="exact"/>
        <w:rPr>
          <w:rFonts w:ascii="Arial" w:cs="Arial" w:eastAsia="Arial" w:hAnsi="Arial"/>
          <w:sz w:val="22"/>
          <w:szCs w:val="22"/>
          <w:color w:val="auto"/>
        </w:rPr>
      </w:pPr>
    </w:p>
    <w:p>
      <w:pPr>
        <w:ind w:left="680" w:hanging="672"/>
        <w:spacing w:after="0"/>
        <w:tabs>
          <w:tab w:leader="none" w:pos="6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Includes 1,500 restricted shares of Common Stock awarded on December 15, 2014, scheduled to vest on December 15,</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2017.</w:t>
      </w:r>
    </w:p>
    <w:p>
      <w:pPr>
        <w:spacing w:after="0" w:line="161" w:lineRule="exact"/>
        <w:rPr>
          <w:rFonts w:ascii="Arial" w:cs="Arial" w:eastAsia="Arial" w:hAnsi="Arial"/>
          <w:sz w:val="19"/>
          <w:szCs w:val="19"/>
          <w:color w:val="auto"/>
        </w:rPr>
      </w:pPr>
    </w:p>
    <w:p>
      <w:pPr>
        <w:ind w:left="580" w:hanging="572"/>
        <w:spacing w:after="0"/>
        <w:tabs>
          <w:tab w:leader="none" w:pos="5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Includes 7,500 restricted shares of Common Stock awarded on September 9, 2015, scheduled to vest on October 19, 2020.</w:t>
      </w:r>
    </w:p>
    <w:p>
      <w:pPr>
        <w:spacing w:after="0" w:line="213" w:lineRule="exact"/>
        <w:rPr>
          <w:rFonts w:ascii="Arial" w:cs="Arial" w:eastAsia="Arial" w:hAnsi="Arial"/>
          <w:sz w:val="19"/>
          <w:szCs w:val="19"/>
          <w:color w:val="auto"/>
        </w:rPr>
      </w:pPr>
    </w:p>
    <w:p>
      <w:pPr>
        <w:ind w:left="580" w:hanging="572"/>
        <w:spacing w:after="0"/>
        <w:tabs>
          <w:tab w:leader="none" w:pos="5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Includes (a) 1,000 restricted shares of Common Stock awarded on March 17, 2014, scheduled to vest on March 17, 2016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 500 restricted shares of Common Stock awarded on September 9, 2015, scheduled to vest on October 19, 2018.</w:t>
      </w:r>
    </w:p>
    <w:p>
      <w:pPr>
        <w:spacing w:after="0" w:line="161" w:lineRule="exact"/>
        <w:rPr>
          <w:rFonts w:ascii="Arial" w:cs="Arial" w:eastAsia="Arial" w:hAnsi="Arial"/>
          <w:sz w:val="19"/>
          <w:szCs w:val="19"/>
          <w:color w:val="auto"/>
        </w:rPr>
      </w:pPr>
    </w:p>
    <w:p>
      <w:pPr>
        <w:ind w:left="640" w:hanging="632"/>
        <w:spacing w:after="0"/>
        <w:tabs>
          <w:tab w:leader="none" w:pos="6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Consists of 12,000 restricted shares of Common Stock awarded on April 7, 2014, scheduled to vest on April 7, 2019.</w:t>
      </w:r>
    </w:p>
    <w:p>
      <w:pPr>
        <w:spacing w:after="0" w:line="213" w:lineRule="exact"/>
        <w:rPr>
          <w:rFonts w:ascii="Arial" w:cs="Arial" w:eastAsia="Arial" w:hAnsi="Arial"/>
          <w:sz w:val="19"/>
          <w:szCs w:val="19"/>
          <w:color w:val="auto"/>
        </w:rPr>
      </w:pPr>
    </w:p>
    <w:p>
      <w:pPr>
        <w:jc w:val="both"/>
        <w:ind w:firstLine="8"/>
        <w:spacing w:after="0" w:line="290" w:lineRule="auto"/>
        <w:tabs>
          <w:tab w:leader="none" w:pos="622"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Includes 12,500 shares of Common Stock constituting all such shares that our directors and named executive officers have the right to acquire within 60 days of October 13, 2015, pursuant to stock options (including the shares of Common Stock that may be acquired as described in the notes above). Also includes 22,500 restricted shares of Common Stock: (a) 1,000 of which become non-forfeitable on March 17, 2016, (b) 1,500 of which become non-forfeitable on December 15, 2017, (c) 500 of which become non-forfeitable on October 19, 2018, (d) 12,000 of which become non-forfeitable on April 7, 2019 and (e) 7,500 of which become non-forfeitable on October 19, 2020. The number of shares of Common Stock owned beneficially by our directors and named executive officers as a group represents approximately 2.75% of the number of outstanding shares of Common Stock and approximately 0.51% of the aggregate voting power of the Common Stock and Class B Stock.</w:t>
      </w:r>
    </w:p>
    <w:p>
      <w:pPr>
        <w:spacing w:after="0" w:line="116" w:lineRule="exact"/>
        <w:rPr>
          <w:rFonts w:ascii="Arial" w:cs="Arial" w:eastAsia="Arial" w:hAnsi="Arial"/>
          <w:sz w:val="19"/>
          <w:szCs w:val="19"/>
          <w:color w:val="auto"/>
        </w:rPr>
      </w:pPr>
    </w:p>
    <w:p>
      <w:pPr>
        <w:jc w:val="both"/>
        <w:ind w:firstLine="8"/>
        <w:spacing w:after="0" w:line="259" w:lineRule="auto"/>
        <w:tabs>
          <w:tab w:leader="none" w:pos="603" w:val="left"/>
        </w:tabs>
        <w:numPr>
          <w:ilvl w:val="0"/>
          <w:numId w:val="62"/>
        </w:numPr>
        <w:rPr>
          <w:rFonts w:ascii="Arial" w:cs="Arial" w:eastAsia="Arial" w:hAnsi="Arial"/>
          <w:sz w:val="21"/>
          <w:szCs w:val="21"/>
          <w:color w:val="auto"/>
        </w:rPr>
      </w:pPr>
      <w:r>
        <w:rPr>
          <w:rFonts w:ascii="Arial" w:cs="Arial" w:eastAsia="Arial" w:hAnsi="Arial"/>
          <w:sz w:val="21"/>
          <w:szCs w:val="21"/>
          <w:color w:val="auto"/>
        </w:rPr>
        <w:t>Includes 136,181 restricted shares of Class B Stock:(a) 10,181 of which become non-forfeitable on July 31, 2016, (b) 1,000 of which become non-forfeitable on October 19, 2018, and (c) 25,000 shares become non-forfeitable beginning no earlier than on October 19, 2016 and (d) an additional 25,000 shares become non-forfeitable no earlier than on each of the four subsequent anniversaries of October 19, 2016.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named executive officers as a group represents approximately 39.58% of the number of outstanding shares of Class B Stock and approximately 32.17% of the aggregate voting power of the Common Stock and Class B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80"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Under SEC rules, our directors, executive officers and beneficial owners of more than 10% of the Company’s Common Stock or Class B Stock are required to file reports of their ownership and changes in that ownership with the SEC. Based solely on our review of copies of these reports and representations of the reporting persons, we believe that during the fiscal year ended July 31, 2015, all reportable transactions were reported and all required reports were timely filed with the SEC except for one transaction of Daniel T. Smith that was not reported on a timely basis on a Form 4 as a result of an administrative error, but which was subsequently reported on a Form 4.</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7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color w:val="auto"/>
        </w:rPr>
        <w:t>APPENDIX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w:t>
      </w:r>
    </w:p>
    <w:p>
      <w:pPr>
        <w:spacing w:after="0" w:line="220"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OIL-DRI CORPORATION OF AMERICA</w:t>
      </w:r>
    </w:p>
    <w:p>
      <w:pPr>
        <w:spacing w:after="0" w:line="220"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2006 LONG TERM INCENTIVE PLAN</w:t>
      </w:r>
    </w:p>
    <w:p>
      <w:pPr>
        <w:spacing w:after="0" w:line="220"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(As Amended and Restated July 28, 2006)</w:t>
      </w:r>
    </w:p>
    <w:p>
      <w:pPr>
        <w:spacing w:after="0" w:line="226"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The Oil-Dri Corporation of America 2006 Long Term Incentive Plan, as amended and restated July 28, 2006, (the “Plan”), is hereby further amended as set forth herein. All capitalized terms not defined herein shall have the meaning set forth in the Plan.</w:t>
      </w:r>
    </w:p>
    <w:p>
      <w:pPr>
        <w:spacing w:after="0" w:line="105" w:lineRule="exact"/>
        <w:rPr>
          <w:sz w:val="20"/>
          <w:szCs w:val="20"/>
          <w:color w:val="auto"/>
        </w:rPr>
      </w:pPr>
    </w:p>
    <w:p>
      <w:pPr>
        <w:ind w:left="660" w:right="4840" w:hanging="652"/>
        <w:spacing w:after="0" w:line="461" w:lineRule="auto"/>
        <w:tabs>
          <w:tab w:leader="none" w:pos="354"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Section 10.2 is amended, effective October 15, 2015, to read as follows: </w:t>
      </w:r>
      <w:r>
        <w:rPr>
          <w:rFonts w:ascii="Arial" w:cs="Arial" w:eastAsia="Arial" w:hAnsi="Arial"/>
          <w:sz w:val="22"/>
          <w:szCs w:val="22"/>
          <w:b w:val="1"/>
          <w:bCs w:val="1"/>
          <w:color w:val="auto"/>
        </w:rPr>
        <w:t>10.2 Award Agreement</w:t>
      </w:r>
      <w:r>
        <w:rPr>
          <w:rFonts w:ascii="Arial" w:cs="Arial" w:eastAsia="Arial" w:hAnsi="Arial"/>
          <w:sz w:val="22"/>
          <w:szCs w:val="22"/>
          <w:color w:val="auto"/>
        </w:rPr>
        <w:t>.</w:t>
      </w:r>
    </w:p>
    <w:p>
      <w:pPr>
        <w:jc w:val="both"/>
        <w:ind w:left="660" w:firstLine="645"/>
        <w:spacing w:after="0" w:line="254" w:lineRule="auto"/>
        <w:tabs>
          <w:tab w:leader="none" w:pos="1755" w:val="left"/>
        </w:tabs>
        <w:numPr>
          <w:ilvl w:val="2"/>
          <w:numId w:val="63"/>
        </w:numPr>
        <w:rPr>
          <w:rFonts w:ascii="Arial" w:cs="Arial" w:eastAsia="Arial" w:hAnsi="Arial"/>
          <w:sz w:val="22"/>
          <w:szCs w:val="22"/>
          <w:color w:val="auto"/>
        </w:rPr>
      </w:pPr>
      <w:r>
        <w:rPr>
          <w:rFonts w:ascii="Arial" w:cs="Arial" w:eastAsia="Arial" w:hAnsi="Arial"/>
          <w:sz w:val="22"/>
          <w:szCs w:val="22"/>
          <w:color w:val="auto"/>
        </w:rPr>
        <w:t>Each performance Award shall be evidenced by an Award Agreement that shall specify the performance goals, award level, the period over which performance goals are to be achieved (the “Performance Period”), the vesting provisions applicable to each performance Award, the initial value assigned to each performance Award, and such other provisions as the Committee shall determine.</w:t>
      </w:r>
    </w:p>
    <w:p>
      <w:pPr>
        <w:spacing w:after="0" w:line="185" w:lineRule="exact"/>
        <w:rPr>
          <w:rFonts w:ascii="Arial" w:cs="Arial" w:eastAsia="Arial" w:hAnsi="Arial"/>
          <w:sz w:val="22"/>
          <w:szCs w:val="22"/>
          <w:color w:val="auto"/>
        </w:rPr>
      </w:pPr>
    </w:p>
    <w:p>
      <w:pPr>
        <w:jc w:val="both"/>
        <w:ind w:left="660" w:firstLine="645"/>
        <w:spacing w:after="0" w:line="290" w:lineRule="auto"/>
        <w:tabs>
          <w:tab w:leader="none" w:pos="1862" w:val="left"/>
        </w:tabs>
        <w:numPr>
          <w:ilvl w:val="2"/>
          <w:numId w:val="63"/>
        </w:numPr>
        <w:rPr>
          <w:rFonts w:ascii="Arial" w:cs="Arial" w:eastAsia="Arial" w:hAnsi="Arial"/>
          <w:sz w:val="19"/>
          <w:szCs w:val="19"/>
          <w:color w:val="auto"/>
        </w:rPr>
      </w:pPr>
      <w:r>
        <w:rPr>
          <w:rFonts w:ascii="Arial" w:cs="Arial" w:eastAsia="Arial" w:hAnsi="Arial"/>
          <w:sz w:val="19"/>
          <w:szCs w:val="19"/>
          <w:color w:val="auto"/>
        </w:rPr>
        <w:t>The performance measures that may be included in an applicable Award Agreement for an Award that is intended to be a performance Award shall be limited to the following performance measures: (i) net sales or revenue growth; (ii) return measures (including, but not limited to return on invested capital, assets, capital, equity, sales); (iii) gross profit margin; (iv) operating expense ratios; (v) operating expense targets; (vi) productivity ratios; (vii) operating income;</w:t>
      </w:r>
    </w:p>
    <w:p>
      <w:pPr>
        <w:spacing w:after="0" w:line="1" w:lineRule="exact"/>
        <w:rPr>
          <w:rFonts w:ascii="Arial" w:cs="Arial" w:eastAsia="Arial" w:hAnsi="Arial"/>
          <w:sz w:val="19"/>
          <w:szCs w:val="19"/>
          <w:color w:val="auto"/>
        </w:rPr>
      </w:pPr>
    </w:p>
    <w:p>
      <w:pPr>
        <w:jc w:val="both"/>
        <w:ind w:left="660" w:hanging="4"/>
        <w:spacing w:after="0" w:line="286" w:lineRule="auto"/>
        <w:tabs>
          <w:tab w:leader="none" w:pos="1181" w:val="left"/>
        </w:tabs>
        <w:numPr>
          <w:ilvl w:val="1"/>
          <w:numId w:val="63"/>
        </w:numPr>
        <w:rPr>
          <w:rFonts w:ascii="Arial" w:cs="Arial" w:eastAsia="Arial" w:hAnsi="Arial"/>
          <w:sz w:val="19"/>
          <w:szCs w:val="19"/>
          <w:color w:val="auto"/>
        </w:rPr>
      </w:pPr>
      <w:r>
        <w:rPr>
          <w:rFonts w:ascii="Arial" w:cs="Arial" w:eastAsia="Arial" w:hAnsi="Arial"/>
          <w:sz w:val="19"/>
          <w:szCs w:val="19"/>
          <w:color w:val="auto"/>
        </w:rPr>
        <w:t>gross or operating margins; (ix) earnings before or after taxes, interest, depreciation, and/or amortization; (x) net earnings or net income (before or after taxes); (xi) earnings per share; (xii) cash flow (including, but not limited to, operating cash flow, free cash flow, cash flow return on equity, and cash flow return on investment); (xiii) working capital targets; (xiv) capital expenditures; (xv) share price (including, but not limited to, growth measures and total shareholder return); (xvi) appreciation in the fair market value or book value of a share; (xvii) economic value added (net operating profit after tax minus the sum of capital multiplied by the cost of the capital); (xviii) total stockholder return; (ixx) debt to equity ratio/debt levels; (xx) customer satisfaction/service (relative improvement); (xxi) market share; (xxii) employee satisfaction/engagement; (xxi) employee retention/attrition; and (xxiii) inventory control/efficiency. Any performance measure(s) may be used to compare the performance of the Company against to the performance of a group of comparator companies, or published or special index that the Committee, in its sole discretion, deems appropriate, or the Committee may select any performance measure(s) above as compared to various stock market indices.</w:t>
      </w:r>
    </w:p>
    <w:p>
      <w:pPr>
        <w:spacing w:after="0" w:line="146"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IN WITNESS WHEREOF, the Company has caused this Second Amendment to be adopted by the Board of Directors this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October, 2015, and executed by the signature of a duly authorized executive officer to be effective as provided herein.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780"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75"/>
        </w:trPr>
        <w:tc>
          <w:tcPr>
            <w:tcW w:w="2520" w:type="dxa"/>
            <w:vAlign w:val="bottom"/>
            <w:gridSpan w:val="3"/>
          </w:tcPr>
          <w:p>
            <w:pPr>
              <w:spacing w:after="0"/>
              <w:rPr>
                <w:sz w:val="20"/>
                <w:szCs w:val="20"/>
                <w:color w:val="auto"/>
              </w:rPr>
            </w:pPr>
            <w:r>
              <w:rPr>
                <w:rFonts w:ascii="Arial" w:cs="Arial" w:eastAsia="Arial" w:hAnsi="Arial"/>
                <w:sz w:val="22"/>
                <w:szCs w:val="22"/>
                <w:color w:val="auto"/>
              </w:rPr>
              <w:t>COMPANY:</w:t>
            </w: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0" w:type="dxa"/>
            <w:vAlign w:val="bottom"/>
          </w:tcPr>
          <w:p>
            <w:pPr>
              <w:spacing w:after="0"/>
              <w:rPr>
                <w:sz w:val="23"/>
                <w:szCs w:val="23"/>
                <w:color w:val="auto"/>
              </w:rPr>
            </w:pPr>
          </w:p>
        </w:tc>
      </w:tr>
      <w:tr>
        <w:trPr>
          <w:trHeight w:val="473"/>
        </w:trPr>
        <w:tc>
          <w:tcPr>
            <w:tcW w:w="4400" w:type="dxa"/>
            <w:vAlign w:val="bottom"/>
            <w:gridSpan w:val="5"/>
          </w:tcPr>
          <w:p>
            <w:pPr>
              <w:spacing w:after="0"/>
              <w:rPr>
                <w:sz w:val="20"/>
                <w:szCs w:val="20"/>
                <w:color w:val="auto"/>
              </w:rPr>
            </w:pPr>
            <w:r>
              <w:rPr>
                <w:rFonts w:ascii="Arial" w:cs="Arial" w:eastAsia="Arial" w:hAnsi="Arial"/>
                <w:sz w:val="22"/>
                <w:szCs w:val="22"/>
                <w:color w:val="auto"/>
              </w:rPr>
              <w:t>OIL-DRI CORPORATION OF AMERICA</w:t>
            </w:r>
          </w:p>
        </w:tc>
        <w:tc>
          <w:tcPr>
            <w:tcW w:w="15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22"/>
        </w:trPr>
        <w:tc>
          <w:tcPr>
            <w:tcW w:w="2520" w:type="dxa"/>
            <w:vAlign w:val="bottom"/>
            <w:gridSpan w:val="3"/>
          </w:tcPr>
          <w:p>
            <w:pPr>
              <w:spacing w:after="0"/>
              <w:rPr>
                <w:sz w:val="20"/>
                <w:szCs w:val="20"/>
                <w:color w:val="auto"/>
              </w:rPr>
            </w:pPr>
            <w:r>
              <w:rPr>
                <w:rFonts w:ascii="Arial" w:cs="Arial" w:eastAsia="Arial" w:hAnsi="Arial"/>
                <w:sz w:val="22"/>
                <w:szCs w:val="22"/>
                <w:color w:val="auto"/>
                <w:w w:val="94"/>
              </w:rPr>
              <w:t>BY: /s/ Douglas A. Graham</w:t>
            </w:r>
          </w:p>
        </w:tc>
        <w:tc>
          <w:tcPr>
            <w:tcW w:w="6400" w:type="dxa"/>
            <w:vAlign w:val="bottom"/>
            <w:gridSpan w:val="4"/>
          </w:tcPr>
          <w:p>
            <w:pPr>
              <w:ind w:left="600"/>
              <w:spacing w:after="0"/>
              <w:rPr>
                <w:sz w:val="20"/>
                <w:szCs w:val="20"/>
                <w:color w:val="auto"/>
              </w:rPr>
            </w:pPr>
            <w:r>
              <w:rPr>
                <w:rFonts w:ascii="Arial" w:cs="Arial" w:eastAsia="Arial" w:hAnsi="Arial"/>
                <w:sz w:val="22"/>
                <w:szCs w:val="22"/>
                <w:color w:val="auto"/>
              </w:rPr>
              <w:t>Attest By: /s/ Laura G. Scheland</w:t>
            </w:r>
          </w:p>
        </w:tc>
      </w:tr>
      <w:tr>
        <w:trPr>
          <w:trHeight w:val="20"/>
        </w:trPr>
        <w:tc>
          <w:tcPr>
            <w:tcW w:w="4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512"/>
        </w:trPr>
        <w:tc>
          <w:tcPr>
            <w:tcW w:w="2520" w:type="dxa"/>
            <w:vAlign w:val="bottom"/>
            <w:gridSpan w:val="3"/>
          </w:tcPr>
          <w:p>
            <w:pPr>
              <w:spacing w:after="0"/>
              <w:rPr>
                <w:sz w:val="20"/>
                <w:szCs w:val="20"/>
                <w:color w:val="auto"/>
              </w:rPr>
            </w:pPr>
            <w:r>
              <w:rPr>
                <w:rFonts w:ascii="Arial" w:cs="Arial" w:eastAsia="Arial" w:hAnsi="Arial"/>
                <w:sz w:val="22"/>
                <w:szCs w:val="22"/>
                <w:color w:val="auto"/>
              </w:rPr>
              <w:t>Douglas A. Graham</w:t>
            </w:r>
          </w:p>
        </w:tc>
        <w:tc>
          <w:tcPr>
            <w:tcW w:w="1880" w:type="dxa"/>
            <w:vAlign w:val="bottom"/>
            <w:gridSpan w:val="2"/>
          </w:tcPr>
          <w:p>
            <w:pPr>
              <w:ind w:left="120"/>
              <w:spacing w:after="0"/>
              <w:rPr>
                <w:sz w:val="20"/>
                <w:szCs w:val="20"/>
                <w:color w:val="auto"/>
              </w:rPr>
            </w:pPr>
            <w:r>
              <w:rPr>
                <w:rFonts w:ascii="Arial" w:cs="Arial" w:eastAsia="Arial" w:hAnsi="Arial"/>
                <w:sz w:val="22"/>
                <w:szCs w:val="22"/>
                <w:color w:val="auto"/>
                <w:w w:val="94"/>
              </w:rPr>
              <w:t>Laura G. Scheland</w:t>
            </w:r>
          </w:p>
        </w:tc>
        <w:tc>
          <w:tcPr>
            <w:tcW w:w="15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75"/>
        </w:trPr>
        <w:tc>
          <w:tcPr>
            <w:tcW w:w="4400" w:type="dxa"/>
            <w:vAlign w:val="bottom"/>
            <w:gridSpan w:val="5"/>
          </w:tcPr>
          <w:p>
            <w:pPr>
              <w:spacing w:after="0"/>
              <w:rPr>
                <w:sz w:val="20"/>
                <w:szCs w:val="20"/>
                <w:color w:val="auto"/>
              </w:rPr>
            </w:pPr>
            <w:r>
              <w:rPr>
                <w:rFonts w:ascii="Arial" w:cs="Arial" w:eastAsia="Arial" w:hAnsi="Arial"/>
                <w:sz w:val="22"/>
                <w:szCs w:val="22"/>
                <w:color w:val="auto"/>
                <w:w w:val="94"/>
              </w:rPr>
              <w:t>Vice President, General Counsel and Secretary</w:t>
            </w:r>
          </w:p>
        </w:tc>
        <w:tc>
          <w:tcPr>
            <w:tcW w:w="4520" w:type="dxa"/>
            <w:vAlign w:val="bottom"/>
            <w:gridSpan w:val="2"/>
          </w:tcPr>
          <w:p>
            <w:pPr>
              <w:ind w:left="140"/>
              <w:spacing w:after="0"/>
              <w:rPr>
                <w:sz w:val="20"/>
                <w:szCs w:val="20"/>
                <w:color w:val="auto"/>
              </w:rPr>
            </w:pPr>
            <w:r>
              <w:rPr>
                <w:rFonts w:ascii="Arial" w:cs="Arial" w:eastAsia="Arial" w:hAnsi="Arial"/>
                <w:sz w:val="22"/>
                <w:szCs w:val="22"/>
                <w:color w:val="auto"/>
                <w:w w:val="87"/>
              </w:rPr>
              <w:t>Assistant General Counsel and Assistant Secretary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Date: October 15, 2015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19"/>
          </w:cols>
          <w:pgMar w:left="240" w:top="780" w:right="1440" w:bottom="1440"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500380</wp:posOffset>
            </wp:positionV>
            <wp:extent cx="5848985" cy="7572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500380</wp:posOffset>
            </wp:positionV>
            <wp:extent cx="5848985" cy="7572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o"/>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1"/>
      <w:numFmt w:val="bullet"/>
      <w:start w:val="1"/>
    </w:lvl>
  </w:abstractNum>
  <w:abstractNum w:abstractNumId="3">
    <w:nsid w:val="3006C83E"/>
    <w:multiLevelType w:val="hybridMultilevel"/>
    <w:lvl w:ilvl="0">
      <w:lvlJc w:val="left"/>
      <w:lvlText w:val="3"/>
      <w:numFmt w:val="bullet"/>
      <w:start w:val="1"/>
    </w:lvl>
  </w:abstractNum>
  <w:abstractNum w:abstractNumId="4">
    <w:nsid w:val="614FD4A1"/>
    <w:multiLevelType w:val="hybridMultilevel"/>
    <w:lvl w:ilvl="0">
      <w:lvlJc w:val="left"/>
      <w:lvlText w:val="4"/>
      <w:numFmt w:val="bullet"/>
      <w:start w:val="1"/>
    </w:lvl>
  </w:abstractNum>
  <w:abstractNum w:abstractNumId="5">
    <w:nsid w:val="419AC241"/>
    <w:multiLevelType w:val="hybridMultilevel"/>
    <w:lvl w:ilvl="0">
      <w:lvlJc w:val="left"/>
      <w:lvlText w:val="o"/>
      <w:numFmt w:val="bullet"/>
      <w:start w:val="1"/>
    </w:lvl>
  </w:abstractNum>
  <w:abstractNum w:abstractNumId="6">
    <w:nsid w:val="5577F8E1"/>
    <w:multiLevelType w:val="hybridMultilevel"/>
    <w:lvl w:ilvl="0">
      <w:lvlJc w:val="left"/>
      <w:lvlText w:val="1"/>
      <w:numFmt w:val="bullet"/>
      <w:start w:val="1"/>
    </w:lvl>
  </w:abstractNum>
  <w:abstractNum w:abstractNumId="7">
    <w:nsid w:val="440BADFC"/>
    <w:multiLevelType w:val="hybridMultilevel"/>
    <w:lvl w:ilvl="0">
      <w:lvlJc w:val="left"/>
      <w:lvlText w:val="2"/>
      <w:numFmt w:val="bullet"/>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2"/>
    </w:lvl>
  </w:abstractNum>
  <w:abstractNum w:abstractNumId="10">
    <w:nsid w:val="77465F01"/>
    <w:multiLevelType w:val="hybridMultilevel"/>
    <w:lvl w:ilvl="0">
      <w:lvlJc w:val="left"/>
      <w:lvlText w:val="%1."/>
      <w:numFmt w:val="decimal"/>
      <w:start w:val="4"/>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6"/>
    </w:lvl>
    <w:lvl w:ilvl="1">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1."/>
      <w:numFmt w:val="decimal"/>
      <w:start w:val="11"/>
    </w:lvl>
  </w:abstractNum>
  <w:abstractNum w:abstractNumId="15">
    <w:nsid w:val="51EAD36B"/>
    <w:multiLevelType w:val="hybridMultilevel"/>
    <w:lvl w:ilvl="0">
      <w:lvlJc w:val="left"/>
      <w:lvlText w:val="%1."/>
      <w:numFmt w:val="decimal"/>
      <w:start w:val="14"/>
    </w:lvl>
  </w:abstractNum>
  <w:abstractNum w:abstractNumId="16">
    <w:nsid w:val="2D517796"/>
    <w:multiLevelType w:val="hybridMultilevel"/>
    <w:lvl w:ilvl="0">
      <w:lvlJc w:val="left"/>
      <w:lvlText w:val="%1."/>
      <w:numFmt w:val="decimal"/>
      <w:start w:val="15"/>
    </w:lvl>
  </w:abstractNum>
  <w:abstractNum w:abstractNumId="17">
    <w:nsid w:val="580BD78F"/>
    <w:multiLevelType w:val="hybridMultilevel"/>
    <w:lvl w:ilvl="0">
      <w:lvlJc w:val="left"/>
      <w:lvlText w:val="%1."/>
      <w:numFmt w:val="decimal"/>
      <w:start w:val="16"/>
    </w:lvl>
  </w:abstractNum>
  <w:abstractNum w:abstractNumId="18">
    <w:nsid w:val="153EA438"/>
    <w:multiLevelType w:val="hybridMultilevel"/>
    <w:lvl w:ilvl="0">
      <w:lvlJc w:val="left"/>
      <w:lvlText w:val="%1."/>
      <w:numFmt w:val="decimal"/>
      <w:start w:val="17"/>
    </w:lvl>
  </w:abstractNum>
  <w:abstractNum w:abstractNumId="19">
    <w:nsid w:val="3855585C"/>
    <w:multiLevelType w:val="hybridMultilevel"/>
    <w:lvl w:ilvl="0">
      <w:lvlJc w:val="left"/>
      <w:lvlText w:val="%1."/>
      <w:numFmt w:val="decimal"/>
      <w:start w:val="18"/>
    </w:lvl>
  </w:abstractNum>
  <w:abstractNum w:abstractNumId="20">
    <w:nsid w:val="70A64E2A"/>
    <w:multiLevelType w:val="hybridMultilevel"/>
    <w:lvl w:ilvl="0">
      <w:lvlJc w:val="left"/>
      <w:lvlText w:val="%1."/>
      <w:numFmt w:val="decimal"/>
      <w:start w:val="19"/>
    </w:lvl>
  </w:abstractNum>
  <w:abstractNum w:abstractNumId="21">
    <w:nsid w:val="6A2342EC"/>
    <w:multiLevelType w:val="hybridMultilevel"/>
    <w:lvl w:ilvl="0">
      <w:lvlJc w:val="left"/>
      <w:lvlText w:val="%1."/>
      <w:numFmt w:val="decimal"/>
      <w:start w:val="20"/>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3"/>
    </w:lvl>
  </w:abstractNum>
  <w:abstractNum w:abstractNumId="24">
    <w:nsid w:val="725A06FB"/>
    <w:multiLevelType w:val="hybridMultilevel"/>
    <w:lvl w:ilvl="0">
      <w:lvlJc w:val="left"/>
      <w:lvlText w:val="%1."/>
      <w:numFmt w:val="decimal"/>
      <w:start w:val="3"/>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lowerLetter"/>
      <w:start w:val="2"/>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lvl w:ilvl="1">
      <w:lvlJc w:val="left"/>
      <w:lvlText w:val="(%2)"/>
      <w:numFmt w:val="upperLetter"/>
      <w:start w:val="1"/>
    </w:lvl>
  </w:abstractNum>
  <w:abstractNum w:abstractNumId="44">
    <w:nsid w:val="374A3FE6"/>
    <w:multiLevelType w:val="hybridMultilevel"/>
    <w:lvl w:ilvl="0">
      <w:lvlJc w:val="left"/>
      <w:lvlText w:val="(%1)"/>
      <w:numFmt w:val="decimal"/>
      <w:start w:val="4"/>
    </w:lvl>
    <w:lvl w:ilvl="1">
      <w:lvlJc w:val="left"/>
      <w:lvlText w:val="%2"/>
      <w:numFmt w:val="upperLetter"/>
      <w:start w:val="1"/>
    </w:lvl>
  </w:abstractNum>
  <w:abstractNum w:abstractNumId="45">
    <w:nsid w:val="4F4EF005"/>
    <w:multiLevelType w:val="hybridMultilevel"/>
    <w:lvl w:ilvl="0">
      <w:lvlJc w:val="left"/>
      <w:lvlText w:val="(%1)"/>
      <w:numFmt w:val="upperLetter"/>
      <w:start w:val="1"/>
    </w:lvl>
  </w:abstractNum>
  <w:abstractNum w:abstractNumId="46">
    <w:nsid w:val="23F9C13C"/>
    <w:multiLevelType w:val="hybridMultilevel"/>
    <w:lvl w:ilvl="0">
      <w:lvlJc w:val="left"/>
      <w:lvlText w:val="%1"/>
      <w:numFmt w:val="decimal"/>
      <w:start w:val="1"/>
    </w:lvl>
    <w:lvl w:ilvl="1">
      <w:lvlJc w:val="left"/>
      <w:lvlText w:val="(%2)"/>
      <w:numFmt w:val="upperLetter"/>
      <w:start w:val="2"/>
    </w:lvl>
  </w:abstractNum>
  <w:abstractNum w:abstractNumId="47">
    <w:nsid w:val="649BB77C"/>
    <w:multiLevelType w:val="hybridMultilevel"/>
    <w:lvl w:ilvl="0">
      <w:lvlJc w:val="left"/>
      <w:lvlText w:val="(%1)"/>
      <w:numFmt w:val="decimal"/>
      <w:start w:val="5"/>
    </w:lvl>
    <w:lvl w:ilvl="1">
      <w:lvlJc w:val="left"/>
      <w:lvlText w:val="%2"/>
      <w:numFmt w:val="upperLetter"/>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2"/>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8"/>
    </w:lvl>
  </w:abstractNum>
  <w:abstractNum w:abstractNumId="60">
    <w:nsid w:val="61574095"/>
    <w:multiLevelType w:val="hybridMultilevel"/>
    <w:lvl w:ilvl="0">
      <w:lvlJc w:val="left"/>
      <w:lvlText w:val="(%1)"/>
      <w:numFmt w:val="decimal"/>
    </w:lvl>
    <w:lvl w:ilvl="1">
      <w:lvlJc w:val="left"/>
      <w:lvlText w:val="*"/>
      <w:numFmt w:val="bullet"/>
      <w:start w:val="1"/>
    </w:lvl>
  </w:abstractNum>
  <w:abstractNum w:abstractNumId="61">
    <w:nsid w:val="7E0C57B1"/>
    <w:multiLevelType w:val="hybridMultilevel"/>
    <w:lvl w:ilvl="0">
      <w:lvlJc w:val="left"/>
      <w:lvlText w:val="(%1)"/>
      <w:numFmt w:val="decimal"/>
      <w:start w:val="5"/>
    </w:lvl>
  </w:abstractNum>
  <w:abstractNum w:abstractNumId="62">
    <w:nsid w:val="77AE35EB"/>
    <w:multiLevelType w:val="hybridMultilevel"/>
    <w:lvl w:ilvl="0">
      <w:lvlJc w:val="left"/>
      <w:lvlText w:val="%1."/>
      <w:numFmt w:val="decimal"/>
      <w:start w:val="1"/>
    </w:lvl>
    <w:lvl w:ilvl="1">
      <w:lvlJc w:val="left"/>
      <w:lvlText w:val="(%2)"/>
      <w:numFmt w:val="lowerRoman"/>
      <w:start w:val="7"/>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2020-01-24T22:54:44Z</dcterms:created>
  <dcterms:modified xsi:type="dcterms:W3CDTF">2020-01-24T22:54:44Z</dcterms:modified>
</cp:coreProperties>
</file>