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90,100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20, 2025, the first trading day following the vesting date of this award, which fell on a weekend.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93657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2025-10-21T15:11:09Z</dcterms:created>
  <dcterms:modified xsi:type="dcterms:W3CDTF">2025-10-21T15:11:09Z</dcterms:modified>
</cp:coreProperties>
</file>