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w:t>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Common Stock, par value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August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1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Rule 13d-1(b)</w:t>
      </w:r>
    </w:p>
    <w:p>
      <w:pPr>
        <w:spacing w:after="0" w:line="20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Rule 13d-1(c)</w:t>
      </w:r>
    </w:p>
    <w:p>
      <w:pPr>
        <w:spacing w:after="0" w:line="20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Rule 13d-1(d)</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20"/>
          <w:szCs w:val="20"/>
          <w:color w:val="auto"/>
        </w:rPr>
        <w:t>__________</w:t>
      </w:r>
    </w:p>
    <w:p>
      <w:pPr>
        <w:ind w:firstLine="8"/>
        <w:spacing w:after="0" w:line="246" w:lineRule="auto"/>
        <w:tabs>
          <w:tab w:leader="none" w:pos="163"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800" w:type="dxa"/>
            <w:vAlign w:val="bottom"/>
            <w:tcBorders>
              <w:bottom w:val="single" w:sz="8" w:color="auto"/>
            </w:tcBorders>
          </w:tcPr>
          <w:p>
            <w:pPr>
              <w:jc w:val="right"/>
              <w:ind w:right="1721"/>
              <w:spacing w:after="0"/>
              <w:rPr>
                <w:sz w:val="20"/>
                <w:szCs w:val="20"/>
                <w:color w:val="auto"/>
              </w:rPr>
            </w:pPr>
            <w:r>
              <w:rPr>
                <w:rFonts w:ascii="Times New Roman" w:cs="Times New Roman" w:eastAsia="Times New Roman" w:hAnsi="Times New Roman"/>
                <w:sz w:val="20"/>
                <w:szCs w:val="20"/>
                <w:color w:val="auto"/>
              </w:rPr>
              <w:t>677864100</w:t>
            </w:r>
          </w:p>
        </w:tc>
      </w:tr>
    </w:tbl>
    <w:p>
      <w:pPr>
        <w:spacing w:after="0" w:line="207" w:lineRule="exact"/>
        <w:rPr>
          <w:sz w:val="20"/>
          <w:szCs w:val="20"/>
          <w:color w:val="auto"/>
        </w:rPr>
      </w:pPr>
    </w:p>
    <w:p>
      <w:pPr>
        <w:ind w:left="900" w:right="6780" w:hanging="895"/>
        <w:spacing w:after="0" w:line="533" w:lineRule="auto"/>
        <w:tabs>
          <w:tab w:leader="none" w:pos="9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NAME OF REPORTING PERSONS Needham Investment Management L.L.C.</w:t>
      </w:r>
    </w:p>
    <w:p>
      <w:pPr>
        <w:spacing w:after="0" w:line="1" w:lineRule="exact"/>
        <w:rPr>
          <w:rFonts w:ascii="Times New Roman" w:cs="Times New Roman" w:eastAsia="Times New Roman" w:hAnsi="Times New Roman"/>
          <w:sz w:val="19"/>
          <w:szCs w:val="19"/>
          <w:color w:val="auto"/>
        </w:rPr>
      </w:pPr>
    </w:p>
    <w:p>
      <w:pPr>
        <w:ind w:left="900" w:hanging="895"/>
        <w:spacing w:after="0"/>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_</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X</w:t>
      </w:r>
      <w:r>
        <w:rPr>
          <w:rFonts w:ascii="Times New Roman" w:cs="Times New Roman" w:eastAsia="Times New Roman" w:hAnsi="Times New Roman"/>
          <w:sz w:val="21"/>
          <w:szCs w:val="21"/>
          <w:color w:val="auto"/>
        </w:rPr>
        <w:t>]</w:t>
      </w:r>
    </w:p>
    <w:p>
      <w:pPr>
        <w:spacing w:after="0" w:line="225"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99" w:lineRule="exact"/>
        <w:rPr>
          <w:rFonts w:ascii="Times New Roman" w:cs="Times New Roman" w:eastAsia="Times New Roman" w:hAnsi="Times New Roman"/>
          <w:sz w:val="20"/>
          <w:szCs w:val="20"/>
          <w:color w:val="auto"/>
        </w:rPr>
      </w:pPr>
    </w:p>
    <w:p>
      <w:pPr>
        <w:ind w:left="900" w:right="6100" w:hanging="895"/>
        <w:spacing w:after="0" w:line="536"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spacing w:after="0" w:line="200" w:lineRule="exact"/>
        <w:rPr>
          <w:sz w:val="20"/>
          <w:szCs w:val="20"/>
          <w:color w:val="auto"/>
        </w:rPr>
      </w:pPr>
    </w:p>
    <w:p>
      <w:pPr>
        <w:spacing w:after="0" w:line="217" w:lineRule="exact"/>
        <w:rPr>
          <w:sz w:val="20"/>
          <w:szCs w:val="20"/>
          <w:color w:val="auto"/>
        </w:rPr>
      </w:pPr>
    </w:p>
    <w:p>
      <w:pPr>
        <w:ind w:left="900" w:right="8080" w:hanging="895"/>
        <w:spacing w:after="0" w:line="507"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780" w:hanging="895"/>
        <w:spacing w:after="0" w:line="507"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260,000</w:t>
      </w:r>
    </w:p>
    <w:p>
      <w:pPr>
        <w:ind w:left="900" w:right="7640" w:hanging="895"/>
        <w:spacing w:after="0" w:line="507"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60" w:right="7340" w:hanging="955"/>
        <w:spacing w:after="0" w:line="507" w:lineRule="auto"/>
        <w:tabs>
          <w:tab w:leader="none" w:pos="91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260,000</w:t>
      </w:r>
    </w:p>
    <w:p>
      <w:pPr>
        <w:ind w:left="960" w:right="2920" w:hanging="955"/>
        <w:spacing w:after="0" w:line="500" w:lineRule="auto"/>
        <w:tabs>
          <w:tab w:leader="none" w:pos="91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260,000</w:t>
      </w:r>
    </w:p>
    <w:p>
      <w:pPr>
        <w:ind w:left="900" w:right="4040" w:hanging="895"/>
        <w:spacing w:after="0" w:line="249"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ind w:left="900" w:right="4560" w:hanging="895"/>
        <w:spacing w:after="0" w:line="507"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5.07%</w:t>
      </w:r>
    </w:p>
    <w:p>
      <w:pPr>
        <w:ind w:left="900" w:right="5360" w:hanging="895"/>
        <w:spacing w:after="0" w:line="536"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116840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913"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2"/>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800" w:type="dxa"/>
            <w:vAlign w:val="bottom"/>
            <w:tcBorders>
              <w:bottom w:val="single" w:sz="8" w:color="auto"/>
            </w:tcBorders>
          </w:tcPr>
          <w:p>
            <w:pPr>
              <w:jc w:val="right"/>
              <w:ind w:right="1721"/>
              <w:spacing w:after="0"/>
              <w:rPr>
                <w:sz w:val="20"/>
                <w:szCs w:val="20"/>
                <w:color w:val="auto"/>
              </w:rPr>
            </w:pPr>
            <w:r>
              <w:rPr>
                <w:rFonts w:ascii="Times New Roman" w:cs="Times New Roman" w:eastAsia="Times New Roman" w:hAnsi="Times New Roman"/>
                <w:sz w:val="20"/>
                <w:szCs w:val="20"/>
                <w:color w:val="auto"/>
              </w:rPr>
              <w:t>677864100</w:t>
            </w:r>
          </w:p>
        </w:tc>
      </w:tr>
    </w:tbl>
    <w:p>
      <w:pPr>
        <w:spacing w:after="0" w:line="207" w:lineRule="exact"/>
        <w:rPr>
          <w:sz w:val="20"/>
          <w:szCs w:val="20"/>
          <w:color w:val="auto"/>
        </w:rPr>
      </w:pPr>
    </w:p>
    <w:p>
      <w:pPr>
        <w:ind w:left="900" w:right="7180" w:hanging="895"/>
        <w:spacing w:after="0" w:line="533" w:lineRule="auto"/>
        <w:tabs>
          <w:tab w:leader="none" w:pos="9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NAME OF REPORTING PERSONS Needham Asset Management, LLC</w:t>
      </w:r>
    </w:p>
    <w:p>
      <w:pPr>
        <w:spacing w:after="0" w:line="1" w:lineRule="exact"/>
        <w:rPr>
          <w:rFonts w:ascii="Times New Roman" w:cs="Times New Roman" w:eastAsia="Times New Roman" w:hAnsi="Times New Roman"/>
          <w:sz w:val="19"/>
          <w:szCs w:val="19"/>
          <w:color w:val="auto"/>
        </w:rPr>
      </w:pPr>
    </w:p>
    <w:p>
      <w:pPr>
        <w:ind w:left="900" w:hanging="895"/>
        <w:spacing w:after="0"/>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_</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X</w:t>
      </w:r>
      <w:r>
        <w:rPr>
          <w:rFonts w:ascii="Times New Roman" w:cs="Times New Roman" w:eastAsia="Times New Roman" w:hAnsi="Times New Roman"/>
          <w:sz w:val="21"/>
          <w:szCs w:val="21"/>
          <w:color w:val="auto"/>
        </w:rPr>
        <w:t>]</w:t>
      </w:r>
    </w:p>
    <w:p>
      <w:pPr>
        <w:spacing w:after="0" w:line="225"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99" w:lineRule="exact"/>
        <w:rPr>
          <w:rFonts w:ascii="Times New Roman" w:cs="Times New Roman" w:eastAsia="Times New Roman" w:hAnsi="Times New Roman"/>
          <w:sz w:val="20"/>
          <w:szCs w:val="20"/>
          <w:color w:val="auto"/>
        </w:rPr>
      </w:pPr>
    </w:p>
    <w:p>
      <w:pPr>
        <w:ind w:left="900" w:right="6100" w:hanging="895"/>
        <w:spacing w:after="0" w:line="536" w:lineRule="auto"/>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spacing w:after="0" w:line="200" w:lineRule="exact"/>
        <w:rPr>
          <w:sz w:val="20"/>
          <w:szCs w:val="20"/>
          <w:color w:val="auto"/>
        </w:rPr>
      </w:pPr>
    </w:p>
    <w:p>
      <w:pPr>
        <w:spacing w:after="0" w:line="217" w:lineRule="exact"/>
        <w:rPr>
          <w:sz w:val="20"/>
          <w:szCs w:val="20"/>
          <w:color w:val="auto"/>
        </w:rPr>
      </w:pPr>
    </w:p>
    <w:p>
      <w:pPr>
        <w:ind w:left="900" w:right="8080" w:hanging="895"/>
        <w:spacing w:after="0" w:line="507"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780" w:hanging="895"/>
        <w:spacing w:after="0" w:line="507"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260,000</w:t>
      </w:r>
    </w:p>
    <w:p>
      <w:pPr>
        <w:ind w:left="900" w:right="7640" w:hanging="895"/>
        <w:spacing w:after="0" w:line="507"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7340" w:hanging="895"/>
        <w:spacing w:after="0" w:line="507"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260,000</w:t>
      </w:r>
    </w:p>
    <w:p>
      <w:pPr>
        <w:ind w:left="900" w:right="2920" w:hanging="895"/>
        <w:spacing w:after="0" w:line="500"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260,000</w:t>
      </w:r>
    </w:p>
    <w:p>
      <w:pPr>
        <w:ind w:left="900" w:right="4040" w:hanging="895"/>
        <w:spacing w:after="0" w:line="249"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ind w:left="900" w:right="4560" w:hanging="895"/>
        <w:spacing w:after="0" w:line="507"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5.07%</w:t>
      </w:r>
    </w:p>
    <w:p>
      <w:pPr>
        <w:ind w:left="900" w:right="5360" w:hanging="895"/>
        <w:spacing w:after="0" w:line="536"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116840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711"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2"/>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800" w:type="dxa"/>
            <w:vAlign w:val="bottom"/>
            <w:tcBorders>
              <w:bottom w:val="single" w:sz="8" w:color="auto"/>
            </w:tcBorders>
          </w:tcPr>
          <w:p>
            <w:pPr>
              <w:jc w:val="right"/>
              <w:ind w:right="1721"/>
              <w:spacing w:after="0"/>
              <w:rPr>
                <w:sz w:val="20"/>
                <w:szCs w:val="20"/>
                <w:color w:val="auto"/>
              </w:rPr>
            </w:pPr>
            <w:r>
              <w:rPr>
                <w:rFonts w:ascii="Times New Roman" w:cs="Times New Roman" w:eastAsia="Times New Roman" w:hAnsi="Times New Roman"/>
                <w:sz w:val="20"/>
                <w:szCs w:val="20"/>
                <w:color w:val="auto"/>
              </w:rPr>
              <w:t>677864100</w:t>
            </w:r>
          </w:p>
        </w:tc>
      </w:tr>
    </w:tbl>
    <w:p>
      <w:pPr>
        <w:spacing w:after="0" w:line="207" w:lineRule="exact"/>
        <w:rPr>
          <w:sz w:val="20"/>
          <w:szCs w:val="20"/>
          <w:color w:val="auto"/>
        </w:rPr>
      </w:pPr>
    </w:p>
    <w:p>
      <w:pPr>
        <w:ind w:left="900" w:right="7180" w:hanging="895"/>
        <w:spacing w:after="0" w:line="533" w:lineRule="auto"/>
        <w:tabs>
          <w:tab w:leader="none" w:pos="9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NAME OF REPORTING PERSONS Needham Aggressive Growth Fund</w:t>
      </w:r>
    </w:p>
    <w:p>
      <w:pPr>
        <w:spacing w:after="0" w:line="1" w:lineRule="exact"/>
        <w:rPr>
          <w:rFonts w:ascii="Times New Roman" w:cs="Times New Roman" w:eastAsia="Times New Roman" w:hAnsi="Times New Roman"/>
          <w:sz w:val="19"/>
          <w:szCs w:val="19"/>
          <w:color w:val="auto"/>
        </w:rPr>
      </w:pPr>
    </w:p>
    <w:p>
      <w:pPr>
        <w:ind w:left="900" w:hanging="895"/>
        <w:spacing w:after="0"/>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_</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X</w:t>
      </w:r>
      <w:r>
        <w:rPr>
          <w:rFonts w:ascii="Times New Roman" w:cs="Times New Roman" w:eastAsia="Times New Roman" w:hAnsi="Times New Roman"/>
          <w:sz w:val="21"/>
          <w:szCs w:val="21"/>
          <w:color w:val="auto"/>
        </w:rPr>
        <w:t>]</w:t>
      </w:r>
    </w:p>
    <w:p>
      <w:pPr>
        <w:spacing w:after="0" w:line="225" w:lineRule="exact"/>
        <w:rPr>
          <w:sz w:val="20"/>
          <w:szCs w:val="20"/>
          <w:color w:val="auto"/>
        </w:rPr>
      </w:pPr>
    </w:p>
    <w:p>
      <w:pPr>
        <w:ind w:left="900" w:hanging="895"/>
        <w:spacing w:after="0"/>
        <w:tabs>
          <w:tab w:leader="none" w:pos="9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99" w:lineRule="exact"/>
        <w:rPr>
          <w:rFonts w:ascii="Times New Roman" w:cs="Times New Roman" w:eastAsia="Times New Roman" w:hAnsi="Times New Roman"/>
          <w:sz w:val="20"/>
          <w:szCs w:val="20"/>
          <w:color w:val="auto"/>
        </w:rPr>
      </w:pPr>
    </w:p>
    <w:p>
      <w:pPr>
        <w:ind w:left="900" w:right="6100" w:hanging="895"/>
        <w:spacing w:after="0" w:line="536" w:lineRule="auto"/>
        <w:tabs>
          <w:tab w:leader="none" w:pos="9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spacing w:after="0" w:line="200" w:lineRule="exact"/>
        <w:rPr>
          <w:sz w:val="20"/>
          <w:szCs w:val="20"/>
          <w:color w:val="auto"/>
        </w:rPr>
      </w:pPr>
    </w:p>
    <w:p>
      <w:pPr>
        <w:spacing w:after="0" w:line="217" w:lineRule="exact"/>
        <w:rPr>
          <w:sz w:val="20"/>
          <w:szCs w:val="20"/>
          <w:color w:val="auto"/>
        </w:rPr>
      </w:pPr>
    </w:p>
    <w:p>
      <w:pPr>
        <w:ind w:left="900" w:right="8080" w:hanging="895"/>
        <w:spacing w:after="0" w:line="507" w:lineRule="auto"/>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780" w:hanging="895"/>
        <w:spacing w:after="0" w:line="507" w:lineRule="auto"/>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260,000</w:t>
      </w:r>
    </w:p>
    <w:p>
      <w:pPr>
        <w:ind w:left="900" w:right="7640" w:hanging="895"/>
        <w:spacing w:after="0" w:line="507" w:lineRule="auto"/>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7340" w:hanging="895"/>
        <w:spacing w:after="0" w:line="507" w:lineRule="auto"/>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260,000</w:t>
      </w:r>
    </w:p>
    <w:p>
      <w:pPr>
        <w:ind w:left="900" w:right="2920" w:hanging="895"/>
        <w:spacing w:after="0" w:line="500" w:lineRule="auto"/>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260,000</w:t>
      </w:r>
    </w:p>
    <w:p>
      <w:pPr>
        <w:ind w:left="900" w:right="4040" w:hanging="895"/>
        <w:spacing w:after="0" w:line="249" w:lineRule="auto"/>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ind w:left="900" w:right="4560" w:hanging="895"/>
        <w:spacing w:after="0" w:line="507"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5.07%</w:t>
      </w:r>
    </w:p>
    <w:p>
      <w:pPr>
        <w:ind w:left="900" w:right="5360" w:hanging="895"/>
        <w:spacing w:after="0" w:line="536"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IV,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71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2"/>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800" w:type="dxa"/>
            <w:vAlign w:val="bottom"/>
            <w:tcBorders>
              <w:bottom w:val="single" w:sz="8" w:color="auto"/>
            </w:tcBorders>
          </w:tcPr>
          <w:p>
            <w:pPr>
              <w:jc w:val="right"/>
              <w:ind w:right="1721"/>
              <w:spacing w:after="0"/>
              <w:rPr>
                <w:sz w:val="20"/>
                <w:szCs w:val="20"/>
                <w:color w:val="auto"/>
              </w:rPr>
            </w:pPr>
            <w:r>
              <w:rPr>
                <w:rFonts w:ascii="Times New Roman" w:cs="Times New Roman" w:eastAsia="Times New Roman" w:hAnsi="Times New Roman"/>
                <w:sz w:val="20"/>
                <w:szCs w:val="20"/>
                <w:color w:val="auto"/>
              </w:rPr>
              <w:t>677864100</w:t>
            </w:r>
          </w:p>
        </w:tc>
      </w:tr>
    </w:tbl>
    <w:p>
      <w:pPr>
        <w:spacing w:after="0" w:line="207" w:lineRule="exact"/>
        <w:rPr>
          <w:sz w:val="20"/>
          <w:szCs w:val="20"/>
          <w:color w:val="auto"/>
        </w:rPr>
      </w:pPr>
    </w:p>
    <w:p>
      <w:pPr>
        <w:ind w:left="900" w:right="7180" w:hanging="895"/>
        <w:spacing w:after="0" w:line="507" w:lineRule="auto"/>
        <w:tabs>
          <w:tab w:leader="none" w:pos="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 George A. Needham</w:t>
      </w:r>
    </w:p>
    <w:p>
      <w:pPr>
        <w:ind w:left="900" w:hanging="895"/>
        <w:spacing w:after="0"/>
        <w:tabs>
          <w:tab w:leader="none" w:pos="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_</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X</w:t>
      </w:r>
      <w:r>
        <w:rPr>
          <w:rFonts w:ascii="Times New Roman" w:cs="Times New Roman" w:eastAsia="Times New Roman" w:hAnsi="Times New Roman"/>
          <w:sz w:val="21"/>
          <w:szCs w:val="21"/>
          <w:color w:val="auto"/>
        </w:rPr>
        <w:t>]</w:t>
      </w:r>
    </w:p>
    <w:p>
      <w:pPr>
        <w:spacing w:after="0" w:line="225" w:lineRule="exact"/>
        <w:rPr>
          <w:sz w:val="20"/>
          <w:szCs w:val="20"/>
          <w:color w:val="auto"/>
        </w:rPr>
      </w:pPr>
    </w:p>
    <w:p>
      <w:pPr>
        <w:ind w:left="900" w:hanging="895"/>
        <w:spacing w:after="0"/>
        <w:tabs>
          <w:tab w:leader="none" w:pos="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99" w:lineRule="exact"/>
        <w:rPr>
          <w:rFonts w:ascii="Times New Roman" w:cs="Times New Roman" w:eastAsia="Times New Roman" w:hAnsi="Times New Roman"/>
          <w:sz w:val="20"/>
          <w:szCs w:val="20"/>
          <w:color w:val="auto"/>
        </w:rPr>
      </w:pPr>
    </w:p>
    <w:p>
      <w:pPr>
        <w:ind w:left="900" w:right="6100" w:hanging="895"/>
        <w:spacing w:after="0" w:line="536" w:lineRule="auto"/>
        <w:tabs>
          <w:tab w:leader="none" w:pos="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United States of America</w:t>
      </w:r>
    </w:p>
    <w:p>
      <w:pPr>
        <w:spacing w:after="0" w:line="200" w:lineRule="exact"/>
        <w:rPr>
          <w:sz w:val="20"/>
          <w:szCs w:val="20"/>
          <w:color w:val="auto"/>
        </w:rPr>
      </w:pPr>
    </w:p>
    <w:p>
      <w:pPr>
        <w:spacing w:after="0" w:line="217" w:lineRule="exact"/>
        <w:rPr>
          <w:sz w:val="20"/>
          <w:szCs w:val="20"/>
          <w:color w:val="auto"/>
        </w:rPr>
      </w:pPr>
    </w:p>
    <w:p>
      <w:pPr>
        <w:ind w:left="900" w:right="8080" w:hanging="895"/>
        <w:spacing w:after="0" w:line="507"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780" w:hanging="895"/>
        <w:spacing w:after="0" w:line="507"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260,000</w:t>
      </w:r>
    </w:p>
    <w:p>
      <w:pPr>
        <w:ind w:left="900" w:right="7640" w:hanging="895"/>
        <w:spacing w:after="0" w:line="507"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7340" w:hanging="895"/>
        <w:spacing w:after="0" w:line="507"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260,000</w:t>
      </w:r>
    </w:p>
    <w:p>
      <w:pPr>
        <w:ind w:left="900" w:right="2920" w:hanging="895"/>
        <w:spacing w:after="0" w:line="500"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260,000</w:t>
      </w:r>
    </w:p>
    <w:p>
      <w:pPr>
        <w:ind w:left="900" w:right="4040" w:hanging="895"/>
        <w:spacing w:after="0" w:line="249"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ind w:left="900" w:right="4560" w:hanging="895"/>
        <w:spacing w:after="0" w:line="507" w:lineRule="auto"/>
        <w:tabs>
          <w:tab w:leader="none" w:pos="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5.07%</w:t>
      </w:r>
    </w:p>
    <w:p>
      <w:pPr>
        <w:ind w:left="900" w:right="5360" w:hanging="895"/>
        <w:spacing w:after="0" w:line="536" w:lineRule="auto"/>
        <w:tabs>
          <w:tab w:leader="none" w:pos="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71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2"/>
        </w:trPr>
        <w:tc>
          <w:tcPr>
            <w:tcW w:w="1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CUSIP No</w:t>
            </w:r>
          </w:p>
        </w:tc>
        <w:tc>
          <w:tcPr>
            <w:tcW w:w="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677864100</w:t>
            </w:r>
          </w:p>
        </w:tc>
        <w:tc>
          <w:tcPr>
            <w:tcW w:w="5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76"/>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Item 1.</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w:t>
            </w: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of Issuer: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90"/>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OIL-DRI CORPORATION OF AMERICA</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6"/>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(b).</w:t>
            </w: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Address of Issuer’s Principal Executive Offices: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7"/>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410 North Michigan Avenue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Suite 400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Chicago, Illinois 60611-4213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2"/>
        </w:trPr>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7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Item 2.</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w:t>
            </w: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of Person Filing: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7"/>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Needham Investment Management L.L.C.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9"/>
        </w:trPr>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Needham Asset Management, LLC</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Needham Aggressive Growth Fund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2"/>
        </w:trPr>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George A. Needham</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72"/>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(b).</w:t>
            </w: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Address of Principal Business Office, or if None, Residence: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4"/>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Needham Investment Management L.L.C.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7"/>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line="276" w:lineRule="exact"/>
              <w:rPr>
                <w:sz w:val="20"/>
                <w:szCs w:val="20"/>
                <w:color w:val="auto"/>
              </w:rPr>
            </w:pPr>
            <w:r>
              <w:rPr>
                <w:rFonts w:ascii="Times New Roman" w:cs="Times New Roman" w:eastAsia="Times New Roman" w:hAnsi="Times New Roman"/>
                <w:sz w:val="20"/>
                <w:szCs w:val="20"/>
                <w:color w:val="auto"/>
              </w:rPr>
              <w:t>250 Park Avenue, 10</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0"/>
                <w:szCs w:val="20"/>
                <w:color w:val="auto"/>
              </w:rPr>
              <w:t xml:space="preserve"> Floor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9"/>
        </w:trPr>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New York, New York 10117-1099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8"/>
        </w:trPr>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30"/>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Needham Asset Management, LLC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6"/>
        </w:trPr>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 Needham Investment Management L.L.C.</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7"/>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line="276" w:lineRule="exact"/>
              <w:rPr>
                <w:sz w:val="20"/>
                <w:szCs w:val="20"/>
                <w:color w:val="auto"/>
              </w:rPr>
            </w:pPr>
            <w:r>
              <w:rPr>
                <w:rFonts w:ascii="Times New Roman" w:cs="Times New Roman" w:eastAsia="Times New Roman" w:hAnsi="Times New Roman"/>
                <w:sz w:val="20"/>
                <w:szCs w:val="20"/>
                <w:color w:val="auto"/>
              </w:rPr>
              <w:t>250 Park Avenue, 10</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0"/>
                <w:szCs w:val="20"/>
                <w:color w:val="auto"/>
              </w:rPr>
              <w:t xml:space="preserve"> Floor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New York, New York 10117-1099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8"/>
        </w:trPr>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30"/>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Needham Aggressive Growth Fund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6"/>
        </w:trPr>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 Needham Investment Management L.L.C.</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7"/>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line="276" w:lineRule="exact"/>
              <w:rPr>
                <w:sz w:val="20"/>
                <w:szCs w:val="20"/>
                <w:color w:val="auto"/>
              </w:rPr>
            </w:pPr>
            <w:r>
              <w:rPr>
                <w:rFonts w:ascii="Times New Roman" w:cs="Times New Roman" w:eastAsia="Times New Roman" w:hAnsi="Times New Roman"/>
                <w:sz w:val="20"/>
                <w:szCs w:val="20"/>
                <w:color w:val="auto"/>
              </w:rPr>
              <w:t>250 Park Avenue, 10</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0"/>
                <w:szCs w:val="20"/>
                <w:color w:val="auto"/>
              </w:rPr>
              <w:t xml:space="preserve"> Floor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New York, New York 10117-1099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8"/>
        </w:trPr>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30"/>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George A Needham</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6"/>
        </w:trPr>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 Needham Investment Management L.L.C.</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7"/>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line="276" w:lineRule="exact"/>
              <w:rPr>
                <w:sz w:val="20"/>
                <w:szCs w:val="20"/>
                <w:color w:val="auto"/>
              </w:rPr>
            </w:pPr>
            <w:r>
              <w:rPr>
                <w:rFonts w:ascii="Times New Roman" w:cs="Times New Roman" w:eastAsia="Times New Roman" w:hAnsi="Times New Roman"/>
                <w:sz w:val="20"/>
                <w:szCs w:val="20"/>
                <w:color w:val="auto"/>
              </w:rPr>
              <w:t>250 Park Avenue, 10</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0"/>
                <w:szCs w:val="20"/>
                <w:color w:val="auto"/>
              </w:rPr>
              <w:t xml:space="preserve"> Floor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New York, New York 10117-1099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8"/>
        </w:trPr>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73"/>
        </w:trPr>
        <w:tc>
          <w:tcPr>
            <w:tcW w:w="176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(c).</w:t>
            </w:r>
          </w:p>
        </w:tc>
        <w:tc>
          <w:tcPr>
            <w:tcW w:w="160" w:type="dxa"/>
            <w:vAlign w:val="bottom"/>
          </w:tcPr>
          <w:p>
            <w:pPr>
              <w:spacing w:after="0"/>
              <w:rPr>
                <w:sz w:val="24"/>
                <w:szCs w:val="24"/>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Citizenship:</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7"/>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Needham Investment Management L.L.C. – Delaware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9"/>
        </w:trPr>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Needham Asset Management, LLC – Delaware</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Needham Aggressive Growth Fund – Maryland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2"/>
        </w:trPr>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George A Needham – United States of America</w:t>
            </w:r>
          </w:p>
        </w:tc>
        <w:tc>
          <w:tcPr>
            <w:tcW w:w="120" w:type="dxa"/>
            <w:vAlign w:val="bottom"/>
            <w:tcBorders>
              <w:bottom w:val="single" w:sz="8" w:color="auto"/>
            </w:tcBorders>
          </w:tcPr>
          <w:p>
            <w:pPr>
              <w:spacing w:after="0"/>
              <w:rPr>
                <w:sz w:val="21"/>
                <w:szCs w:val="21"/>
                <w:color w:val="auto"/>
              </w:rPr>
            </w:pPr>
          </w:p>
        </w:tc>
        <w:tc>
          <w:tcPr>
            <w:tcW w:w="1000" w:type="dxa"/>
            <w:vAlign w:val="bottom"/>
          </w:tcPr>
          <w:p>
            <w:pPr>
              <w:spacing w:after="0"/>
              <w:rPr>
                <w:sz w:val="21"/>
                <w:szCs w:val="21"/>
                <w:color w:val="auto"/>
              </w:rPr>
            </w:pPr>
          </w:p>
        </w:tc>
      </w:tr>
      <w:tr>
        <w:trPr>
          <w:trHeight w:val="237"/>
        </w:trPr>
        <w:tc>
          <w:tcPr>
            <w:tcW w:w="1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5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bl>
    <w:p>
      <w:pPr>
        <w:sectPr>
          <w:pgSz w:w="11900" w:h="16838" w:orient="portrait"/>
          <w:cols w:equalWidth="0" w:num="1">
            <w:col w:w="11240"/>
          </w:cols>
          <w:pgMar w:left="320" w:top="711" w:right="339" w:bottom="1440" w:gutter="0" w:footer="0" w:header="0"/>
        </w:sectPr>
      </w:pPr>
    </w:p>
    <w:bookmarkStart w:id="6" w:name="page7"/>
    <w:bookmarkEnd w:id="6"/>
    <w:p>
      <w:pPr>
        <w:ind w:left="1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1219835</wp:posOffset>
            </wp:positionH>
            <wp:positionV relativeFrom="page">
              <wp:posOffset>466090</wp:posOffset>
            </wp:positionV>
            <wp:extent cx="5554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4980" cy="8255"/>
                    </a:xfrm>
                    <a:prstGeom prst="rect">
                      <a:avLst/>
                    </a:prstGeom>
                    <a:noFill/>
                  </pic:spPr>
                </pic:pic>
              </a:graphicData>
            </a:graphic>
          </wp:anchor>
        </w:drawing>
        <w:t>(d). Title of Class of Securities:</w:t>
      </w:r>
    </w:p>
    <w:p>
      <w:pPr>
        <w:spacing w:after="0" w:line="2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Common Stock, par value $0.10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22860</wp:posOffset>
            </wp:positionV>
            <wp:extent cx="5554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50" w:lineRule="exact"/>
        <w:rPr>
          <w:sz w:val="20"/>
          <w:szCs w:val="20"/>
          <w:color w:val="auto"/>
        </w:rPr>
      </w:pPr>
    </w:p>
    <w:p>
      <w:pPr>
        <w:jc w:val="center"/>
        <w:ind w:right="7080"/>
        <w:spacing w:after="0"/>
        <w:rPr>
          <w:sz w:val="20"/>
          <w:szCs w:val="20"/>
          <w:color w:val="auto"/>
        </w:rPr>
      </w:pPr>
      <w:r>
        <w:rPr>
          <w:rFonts w:ascii="Times New Roman" w:cs="Times New Roman" w:eastAsia="Times New Roman" w:hAnsi="Times New Roman"/>
          <w:sz w:val="20"/>
          <w:szCs w:val="20"/>
          <w:color w:val="auto"/>
        </w:rPr>
        <w:t>(e). CUSIP Number:</w:t>
      </w:r>
    </w:p>
    <w:p>
      <w:pPr>
        <w:spacing w:after="0" w:line="2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677864100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22860</wp:posOffset>
            </wp:positionV>
            <wp:extent cx="6120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If This Statement is filed pursuant to ss.240.13d-1(b) or 240.13d-2(b), or (c), check whether the person filing is 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1520" w:type="dxa"/>
            <w:vAlign w:val="bottom"/>
          </w:tcPr>
          <w:p>
            <w:pPr>
              <w:spacing w:after="0"/>
              <w:rPr>
                <w:sz w:val="22"/>
                <w:szCs w:val="22"/>
                <w:color w:val="auto"/>
              </w:rPr>
            </w:pPr>
          </w:p>
        </w:tc>
        <w:tc>
          <w:tcPr>
            <w:tcW w:w="8000" w:type="dxa"/>
            <w:vAlign w:val="bottom"/>
          </w:tcPr>
          <w:p>
            <w:pPr>
              <w:spacing w:after="0"/>
              <w:rPr>
                <w:sz w:val="22"/>
                <w:szCs w:val="22"/>
                <w:color w:val="auto"/>
              </w:rPr>
            </w:pPr>
          </w:p>
        </w:tc>
      </w:tr>
      <w:tr>
        <w:trPr>
          <w:trHeight w:val="470"/>
        </w:trPr>
        <w:tc>
          <w:tcPr>
            <w:tcW w:w="148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(a)</w:t>
            </w:r>
          </w:p>
        </w:tc>
        <w:tc>
          <w:tcPr>
            <w:tcW w:w="1520" w:type="dxa"/>
            <w:vAlign w:val="bottom"/>
          </w:tcPr>
          <w:p>
            <w:pPr>
              <w:jc w:val="right"/>
              <w:ind w:right="105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 (15 U.S.C. 78c).</w:t>
            </w:r>
          </w:p>
        </w:tc>
      </w:tr>
      <w:tr>
        <w:trPr>
          <w:trHeight w:val="486"/>
        </w:trPr>
        <w:tc>
          <w:tcPr>
            <w:tcW w:w="148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(b)</w:t>
            </w:r>
          </w:p>
        </w:tc>
        <w:tc>
          <w:tcPr>
            <w:tcW w:w="1520" w:type="dxa"/>
            <w:vAlign w:val="bottom"/>
          </w:tcPr>
          <w:p>
            <w:pPr>
              <w:jc w:val="right"/>
              <w:ind w:right="105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Bank as defined in Section 3(a)(6) of the Act (15 U.S.C. 78c).</w:t>
            </w:r>
          </w:p>
        </w:tc>
      </w:tr>
      <w:tr>
        <w:trPr>
          <w:trHeight w:val="486"/>
        </w:trPr>
        <w:tc>
          <w:tcPr>
            <w:tcW w:w="148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(c)</w:t>
            </w:r>
          </w:p>
        </w:tc>
        <w:tc>
          <w:tcPr>
            <w:tcW w:w="1520" w:type="dxa"/>
            <w:vAlign w:val="bottom"/>
          </w:tcPr>
          <w:p>
            <w:pPr>
              <w:jc w:val="right"/>
              <w:ind w:right="105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 (15 U.S.C. 78c).</w:t>
            </w:r>
          </w:p>
        </w:tc>
      </w:tr>
      <w:tr>
        <w:trPr>
          <w:trHeight w:val="438"/>
        </w:trPr>
        <w:tc>
          <w:tcPr>
            <w:tcW w:w="148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(d)</w:t>
            </w:r>
          </w:p>
        </w:tc>
        <w:tc>
          <w:tcPr>
            <w:tcW w:w="1520" w:type="dxa"/>
            <w:vAlign w:val="bottom"/>
          </w:tcPr>
          <w:p>
            <w:pPr>
              <w:jc w:val="right"/>
              <w:ind w:right="105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 (15</w:t>
            </w:r>
          </w:p>
        </w:tc>
      </w:tr>
      <w:tr>
        <w:trPr>
          <w:trHeight w:val="258"/>
        </w:trPr>
        <w:tc>
          <w:tcPr>
            <w:tcW w:w="1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U.S.C. 80a-8).</w:t>
            </w:r>
          </w:p>
        </w:tc>
      </w:tr>
      <w:tr>
        <w:trPr>
          <w:trHeight w:val="492"/>
        </w:trPr>
        <w:tc>
          <w:tcPr>
            <w:tcW w:w="148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(e)</w:t>
            </w:r>
          </w:p>
        </w:tc>
        <w:tc>
          <w:tcPr>
            <w:tcW w:w="1520" w:type="dxa"/>
            <w:vAlign w:val="bottom"/>
          </w:tcPr>
          <w:p>
            <w:pPr>
              <w:jc w:val="right"/>
              <w:ind w:right="105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An investment adviser in accordance with § 240.13d-1(b)(1)(ii)(E);</w:t>
            </w:r>
          </w:p>
        </w:tc>
      </w:tr>
      <w:tr>
        <w:trPr>
          <w:trHeight w:val="486"/>
        </w:trPr>
        <w:tc>
          <w:tcPr>
            <w:tcW w:w="148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(f)</w:t>
            </w:r>
          </w:p>
        </w:tc>
        <w:tc>
          <w:tcPr>
            <w:tcW w:w="1520" w:type="dxa"/>
            <w:vAlign w:val="bottom"/>
          </w:tcPr>
          <w:p>
            <w:pPr>
              <w:jc w:val="right"/>
              <w:ind w:right="105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 240.13d-1(b)(1)(ii)(F);</w:t>
            </w:r>
          </w:p>
        </w:tc>
      </w:tr>
      <w:tr>
        <w:trPr>
          <w:trHeight w:val="486"/>
        </w:trPr>
        <w:tc>
          <w:tcPr>
            <w:tcW w:w="148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(g)</w:t>
            </w:r>
          </w:p>
        </w:tc>
        <w:tc>
          <w:tcPr>
            <w:tcW w:w="1520" w:type="dxa"/>
            <w:vAlign w:val="bottom"/>
          </w:tcPr>
          <w:p>
            <w:pPr>
              <w:jc w:val="right"/>
              <w:ind w:right="105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Rule 13d-1(b)(1)(ii)(G);</w:t>
            </w:r>
          </w:p>
        </w:tc>
      </w:tr>
      <w:tr>
        <w:trPr>
          <w:trHeight w:val="438"/>
        </w:trPr>
        <w:tc>
          <w:tcPr>
            <w:tcW w:w="148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(h)</w:t>
            </w:r>
          </w:p>
        </w:tc>
        <w:tc>
          <w:tcPr>
            <w:tcW w:w="1520" w:type="dxa"/>
            <w:vAlign w:val="bottom"/>
          </w:tcPr>
          <w:p>
            <w:pPr>
              <w:jc w:val="right"/>
              <w:ind w:right="105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 savings association as defined in Section 3(b) of the Federal Deposit Insurance Act (12</w:t>
            </w:r>
          </w:p>
        </w:tc>
      </w:tr>
      <w:tr>
        <w:trPr>
          <w:trHeight w:val="258"/>
        </w:trPr>
        <w:tc>
          <w:tcPr>
            <w:tcW w:w="1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U.S.C.1813);</w:t>
            </w:r>
          </w:p>
        </w:tc>
      </w:tr>
      <w:tr>
        <w:trPr>
          <w:trHeight w:val="444"/>
        </w:trPr>
        <w:tc>
          <w:tcPr>
            <w:tcW w:w="148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(i)</w:t>
            </w:r>
          </w:p>
        </w:tc>
        <w:tc>
          <w:tcPr>
            <w:tcW w:w="1520" w:type="dxa"/>
            <w:vAlign w:val="bottom"/>
          </w:tcPr>
          <w:p>
            <w:pPr>
              <w:jc w:val="right"/>
              <w:ind w:right="105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8"/>
              </w:rPr>
              <w:t>A church plan that is excluded from the definition of an investment company under Section 3(c)</w:t>
            </w:r>
          </w:p>
        </w:tc>
      </w:tr>
      <w:tr>
        <w:trPr>
          <w:trHeight w:val="258"/>
        </w:trPr>
        <w:tc>
          <w:tcPr>
            <w:tcW w:w="1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(14) of the Investment Company Act of 1940 (15 U.S.C. 80a-3);</w:t>
            </w:r>
          </w:p>
        </w:tc>
      </w:tr>
      <w:tr>
        <w:trPr>
          <w:trHeight w:val="444"/>
        </w:trPr>
        <w:tc>
          <w:tcPr>
            <w:tcW w:w="148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(j)</w:t>
            </w:r>
          </w:p>
        </w:tc>
        <w:tc>
          <w:tcPr>
            <w:tcW w:w="1520" w:type="dxa"/>
            <w:vAlign w:val="bottom"/>
          </w:tcPr>
          <w:p>
            <w:pPr>
              <w:jc w:val="right"/>
              <w:ind w:right="105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 non-U.S. institution in accordance with s.240.13d-1(b)(1)(ii)(J). If filing as a non-U.S.</w:t>
            </w:r>
          </w:p>
        </w:tc>
      </w:tr>
      <w:tr>
        <w:trPr>
          <w:trHeight w:val="230"/>
        </w:trPr>
        <w:tc>
          <w:tcPr>
            <w:tcW w:w="1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institution in accordance with s.240.13d-1(b)(1)(ii)(J), please specify the type of institution:</w:t>
            </w:r>
          </w:p>
        </w:tc>
      </w:tr>
      <w:tr>
        <w:trPr>
          <w:trHeight w:val="258"/>
        </w:trPr>
        <w:tc>
          <w:tcPr>
            <w:tcW w:w="1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____</w:t>
            </w:r>
          </w:p>
        </w:tc>
      </w:tr>
      <w:tr>
        <w:trPr>
          <w:trHeight w:val="478"/>
        </w:trPr>
        <w:tc>
          <w:tcPr>
            <w:tcW w:w="148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(k)</w:t>
            </w:r>
          </w:p>
        </w:tc>
        <w:tc>
          <w:tcPr>
            <w:tcW w:w="1520" w:type="dxa"/>
            <w:vAlign w:val="bottom"/>
          </w:tcPr>
          <w:p>
            <w:pPr>
              <w:jc w:val="right"/>
              <w:ind w:right="105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_</w:t>
            </w:r>
            <w:r>
              <w:rPr>
                <w:rFonts w:ascii="Times New Roman" w:cs="Times New Roman" w:eastAsia="Times New Roman" w:hAnsi="Times New Roman"/>
                <w:sz w:val="22"/>
                <w:szCs w:val="22"/>
                <w:color w:val="auto"/>
              </w:rPr>
              <w:t>]</w:t>
            </w:r>
          </w:p>
        </w:tc>
        <w:tc>
          <w:tcPr>
            <w:tcW w:w="8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Group, in accordance with s.240.13d-1(b)(1)(ii)(K).</w:t>
            </w:r>
          </w:p>
        </w:tc>
      </w:tr>
      <w:tr>
        <w:trPr>
          <w:trHeight w:val="912"/>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1520" w:type="dxa"/>
            <w:vAlign w:val="bottom"/>
          </w:tcPr>
          <w:p>
            <w:pPr>
              <w:jc w:val="right"/>
              <w:ind w:right="273"/>
              <w:spacing w:after="0"/>
              <w:rPr>
                <w:sz w:val="20"/>
                <w:szCs w:val="20"/>
                <w:color w:val="auto"/>
              </w:rPr>
            </w:pPr>
            <w:r>
              <w:rPr>
                <w:rFonts w:ascii="Times New Roman" w:cs="Times New Roman" w:eastAsia="Times New Roman" w:hAnsi="Times New Roman"/>
                <w:sz w:val="20"/>
                <w:szCs w:val="20"/>
                <w:color w:val="auto"/>
              </w:rPr>
              <w:t>Ownership.</w:t>
            </w:r>
          </w:p>
        </w:tc>
        <w:tc>
          <w:tcPr>
            <w:tcW w:w="8000" w:type="dxa"/>
            <w:vAlign w:val="bottom"/>
          </w:tcPr>
          <w:p>
            <w:pPr>
              <w:spacing w:after="0"/>
              <w:rPr>
                <w:sz w:val="24"/>
                <w:szCs w:val="24"/>
                <w:color w:val="auto"/>
              </w:rPr>
            </w:pPr>
          </w:p>
        </w:tc>
      </w:tr>
    </w:tbl>
    <w:p>
      <w:pPr>
        <w:spacing w:after="0" w:line="214" w:lineRule="exact"/>
        <w:rPr>
          <w:sz w:val="20"/>
          <w:szCs w:val="20"/>
          <w:color w:val="auto"/>
        </w:rPr>
      </w:pPr>
    </w:p>
    <w:p>
      <w:pPr>
        <w:ind w:left="1700" w:right="320"/>
        <w:spacing w:after="0" w:line="269" w:lineRule="auto"/>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186" w:lineRule="exact"/>
        <w:rPr>
          <w:sz w:val="20"/>
          <w:szCs w:val="20"/>
          <w:color w:val="auto"/>
        </w:rPr>
      </w:pPr>
    </w:p>
    <w:p>
      <w:pPr>
        <w:ind w:left="2280" w:hanging="587"/>
        <w:spacing w:after="0"/>
        <w:tabs>
          <w:tab w:leader="none" w:pos="22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331470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20" w:top="1183" w:right="479" w:bottom="1440" w:gutter="0" w:footer="0" w:header="0"/>
        </w:sectPr>
      </w:pPr>
    </w:p>
    <w:bookmarkStart w:id="7" w:name="page8"/>
    <w:bookmarkEnd w:id="7"/>
    <w:p>
      <w:pPr>
        <w:ind w:left="2380"/>
        <w:spacing w:after="0"/>
        <w:rPr>
          <w:sz w:val="20"/>
          <w:szCs w:val="20"/>
          <w:color w:val="auto"/>
        </w:rPr>
      </w:pPr>
      <w:r>
        <w:rPr>
          <w:rFonts w:ascii="Times New Roman" w:cs="Times New Roman" w:eastAsia="Times New Roman" w:hAnsi="Times New Roman"/>
          <w:sz w:val="20"/>
          <w:szCs w:val="20"/>
          <w:color w:val="auto"/>
        </w:rPr>
        <w:t>Needham Investment Management L.L.C. – 260,000</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Needham Asset Management, LLC – 260,000</w:t>
      </w:r>
    </w:p>
    <w:p>
      <w:pPr>
        <w:ind w:left="2380"/>
        <w:spacing w:after="0"/>
        <w:rPr>
          <w:sz w:val="20"/>
          <w:szCs w:val="20"/>
          <w:color w:val="auto"/>
        </w:rPr>
      </w:pPr>
      <w:r>
        <w:rPr>
          <w:rFonts w:ascii="Times New Roman" w:cs="Times New Roman" w:eastAsia="Times New Roman" w:hAnsi="Times New Roman"/>
          <w:sz w:val="20"/>
          <w:szCs w:val="20"/>
          <w:color w:val="auto"/>
        </w:rPr>
        <w:t>Needham Aggressive Growth Fund – 260,000</w:t>
      </w:r>
    </w:p>
    <w:p>
      <w:pPr>
        <w:ind w:left="2380"/>
        <w:spacing w:after="0"/>
        <w:rPr>
          <w:sz w:val="20"/>
          <w:szCs w:val="20"/>
          <w:color w:val="auto"/>
        </w:rPr>
      </w:pPr>
      <w:r>
        <w:rPr>
          <w:rFonts w:ascii="Times New Roman" w:cs="Times New Roman" w:eastAsia="Times New Roman" w:hAnsi="Times New Roman"/>
          <w:sz w:val="20"/>
          <w:szCs w:val="20"/>
          <w:color w:val="auto"/>
        </w:rPr>
        <w:t>George A Needham – 260,000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0</wp:posOffset>
            </wp:positionV>
            <wp:extent cx="5631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280" w:hanging="587"/>
        <w:spacing w:after="0"/>
        <w:tabs>
          <w:tab w:leader="none" w:pos="22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w:t>
      </w:r>
    </w:p>
    <w:p>
      <w:pPr>
        <w:spacing w:after="0" w:line="25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Needham Investment Management L.L.C. – 5.07%</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Needham Asset Management, LLC – 5.07%</w:t>
      </w:r>
    </w:p>
    <w:p>
      <w:pPr>
        <w:ind w:left="2380"/>
        <w:spacing w:after="0"/>
        <w:rPr>
          <w:sz w:val="20"/>
          <w:szCs w:val="20"/>
          <w:color w:val="auto"/>
        </w:rPr>
      </w:pPr>
      <w:r>
        <w:rPr>
          <w:rFonts w:ascii="Times New Roman" w:cs="Times New Roman" w:eastAsia="Times New Roman" w:hAnsi="Times New Roman"/>
          <w:sz w:val="20"/>
          <w:szCs w:val="20"/>
          <w:color w:val="auto"/>
        </w:rPr>
        <w:t>Needham Aggressive Growth Fund – 5.07%</w:t>
      </w:r>
    </w:p>
    <w:p>
      <w:pPr>
        <w:ind w:left="2380"/>
        <w:spacing w:after="0"/>
        <w:rPr>
          <w:sz w:val="20"/>
          <w:szCs w:val="20"/>
          <w:color w:val="auto"/>
        </w:rPr>
      </w:pPr>
      <w:r>
        <w:rPr>
          <w:rFonts w:ascii="Times New Roman" w:cs="Times New Roman" w:eastAsia="Times New Roman" w:hAnsi="Times New Roman"/>
          <w:sz w:val="20"/>
          <w:szCs w:val="20"/>
          <w:color w:val="auto"/>
        </w:rPr>
        <w:t>George A Needham – 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0</wp:posOffset>
            </wp:positionV>
            <wp:extent cx="56318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31815" cy="8890"/>
                    </a:xfrm>
                    <a:prstGeom prst="rect">
                      <a:avLst/>
                    </a:prstGeom>
                    <a:noFill/>
                  </pic:spPr>
                </pic:pic>
              </a:graphicData>
            </a:graphic>
          </wp:anchor>
        </w:drawing>
      </w:r>
    </w:p>
    <w:p>
      <w:pPr>
        <w:spacing w:after="0" w:line="214" w:lineRule="exact"/>
        <w:rPr>
          <w:sz w:val="20"/>
          <w:szCs w:val="20"/>
          <w:color w:val="auto"/>
        </w:rPr>
      </w:pPr>
    </w:p>
    <w:p>
      <w:pPr>
        <w:ind w:left="2280" w:hanging="587"/>
        <w:spacing w:after="0"/>
        <w:tabs>
          <w:tab w:leader="none" w:pos="22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256" w:lineRule="exact"/>
        <w:rPr>
          <w:rFonts w:ascii="Times New Roman" w:cs="Times New Roman" w:eastAsia="Times New Roman" w:hAnsi="Times New Roman"/>
          <w:sz w:val="20"/>
          <w:szCs w:val="20"/>
          <w:color w:val="auto"/>
        </w:rPr>
      </w:pPr>
    </w:p>
    <w:p>
      <w:pPr>
        <w:ind w:left="3280" w:hanging="1009"/>
        <w:spacing w:after="0"/>
        <w:tabs>
          <w:tab w:leader="none" w:pos="328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w:t>
      </w:r>
    </w:p>
    <w:p>
      <w:pPr>
        <w:spacing w:after="0" w:line="242" w:lineRule="exact"/>
        <w:rPr>
          <w:rFonts w:ascii="Times New Roman" w:cs="Times New Roman" w:eastAsia="Times New Roman" w:hAnsi="Times New Roman"/>
          <w:sz w:val="20"/>
          <w:szCs w:val="20"/>
          <w:color w:val="auto"/>
        </w:rPr>
      </w:pPr>
    </w:p>
    <w:p>
      <w:pPr>
        <w:ind w:left="3280" w:right="388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Needham Investment Management L.L.C. – 0 Needham Asset Management, LLC – 0 Needham Aggressive Growth Fund – 0 George A Needham – 0</w:t>
      </w:r>
    </w:p>
    <w:p>
      <w:pPr>
        <w:spacing w:after="0" w:line="206" w:lineRule="exact"/>
        <w:rPr>
          <w:rFonts w:ascii="Times New Roman" w:cs="Times New Roman" w:eastAsia="Times New Roman" w:hAnsi="Times New Roman"/>
          <w:sz w:val="20"/>
          <w:szCs w:val="20"/>
          <w:color w:val="auto"/>
        </w:rPr>
      </w:pPr>
    </w:p>
    <w:p>
      <w:pPr>
        <w:ind w:left="3280" w:hanging="1009"/>
        <w:spacing w:after="0"/>
        <w:tabs>
          <w:tab w:leader="none" w:pos="328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w:t>
      </w:r>
    </w:p>
    <w:p>
      <w:pPr>
        <w:spacing w:after="0" w:line="242" w:lineRule="exact"/>
        <w:rPr>
          <w:rFonts w:ascii="Times New Roman" w:cs="Times New Roman" w:eastAsia="Times New Roman" w:hAnsi="Times New Roman"/>
          <w:sz w:val="20"/>
          <w:szCs w:val="20"/>
          <w:color w:val="auto"/>
        </w:rPr>
      </w:pPr>
    </w:p>
    <w:p>
      <w:pPr>
        <w:ind w:left="3280" w:right="334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Needham Investment Management L.L.C. – 260,000 Needham Asset Management, LLC – 260,000 Needham Aggressive Growth Fund – 260,000 George A Needham – 260,000</w:t>
      </w:r>
    </w:p>
    <w:p>
      <w:pPr>
        <w:spacing w:after="0" w:line="206" w:lineRule="exact"/>
        <w:rPr>
          <w:rFonts w:ascii="Times New Roman" w:cs="Times New Roman" w:eastAsia="Times New Roman" w:hAnsi="Times New Roman"/>
          <w:sz w:val="20"/>
          <w:szCs w:val="20"/>
          <w:color w:val="auto"/>
        </w:rPr>
      </w:pPr>
    </w:p>
    <w:p>
      <w:pPr>
        <w:ind w:left="3280" w:hanging="1009"/>
        <w:spacing w:after="0"/>
        <w:tabs>
          <w:tab w:leader="none" w:pos="328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w:t>
      </w:r>
    </w:p>
    <w:p>
      <w:pPr>
        <w:spacing w:after="0" w:line="242" w:lineRule="exact"/>
        <w:rPr>
          <w:rFonts w:ascii="Times New Roman" w:cs="Times New Roman" w:eastAsia="Times New Roman" w:hAnsi="Times New Roman"/>
          <w:sz w:val="20"/>
          <w:szCs w:val="20"/>
          <w:color w:val="auto"/>
        </w:rPr>
      </w:pPr>
    </w:p>
    <w:p>
      <w:pPr>
        <w:ind w:left="3280" w:right="388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Needham Investment Management L.L.C. – 0 Needham Asset Management, LLC – 0 Needham Aggressive Growth Fund – 0 George A Needham – 0</w:t>
      </w:r>
    </w:p>
    <w:p>
      <w:pPr>
        <w:spacing w:after="0" w:line="200" w:lineRule="exact"/>
        <w:rPr>
          <w:rFonts w:ascii="Times New Roman" w:cs="Times New Roman" w:eastAsia="Times New Roman" w:hAnsi="Times New Roman"/>
          <w:sz w:val="20"/>
          <w:szCs w:val="20"/>
          <w:color w:val="auto"/>
        </w:rPr>
      </w:pPr>
    </w:p>
    <w:p>
      <w:pPr>
        <w:spacing w:after="0" w:line="236" w:lineRule="exact"/>
        <w:rPr>
          <w:rFonts w:ascii="Times New Roman" w:cs="Times New Roman" w:eastAsia="Times New Roman" w:hAnsi="Times New Roman"/>
          <w:sz w:val="20"/>
          <w:szCs w:val="20"/>
          <w:color w:val="auto"/>
        </w:rPr>
      </w:pPr>
    </w:p>
    <w:p>
      <w:pPr>
        <w:ind w:left="3280" w:hanging="1009"/>
        <w:spacing w:after="0"/>
        <w:tabs>
          <w:tab w:leader="none" w:pos="328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w:t>
      </w:r>
    </w:p>
    <w:p>
      <w:pPr>
        <w:spacing w:after="0" w:line="242" w:lineRule="exact"/>
        <w:rPr>
          <w:rFonts w:ascii="Times New Roman" w:cs="Times New Roman" w:eastAsia="Times New Roman" w:hAnsi="Times New Roman"/>
          <w:sz w:val="20"/>
          <w:szCs w:val="20"/>
          <w:color w:val="auto"/>
        </w:rPr>
      </w:pPr>
    </w:p>
    <w:p>
      <w:pPr>
        <w:ind w:left="3280" w:right="3340" w:firstLine="3"/>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Needham Investment Management L.L.C. – 260,000 Needham Asset Management, LLC – 260,000 Needham Aggressive Growth Fund – 260,000 George A Needham – 260,000</w:t>
      </w:r>
    </w:p>
    <w:p>
      <w:pPr>
        <w:spacing w:after="0" w:line="200" w:lineRule="exact"/>
        <w:rPr>
          <w:sz w:val="20"/>
          <w:szCs w:val="20"/>
          <w:color w:val="auto"/>
        </w:rPr>
      </w:pPr>
    </w:p>
    <w:p>
      <w:pPr>
        <w:spacing w:after="0" w:line="223"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Ownership of 5 Percent or Less of a Class.</w:t>
      </w:r>
    </w:p>
    <w:p>
      <w:pPr>
        <w:spacing w:after="0" w:line="243" w:lineRule="exact"/>
        <w:rPr>
          <w:sz w:val="20"/>
          <w:szCs w:val="20"/>
          <w:color w:val="auto"/>
        </w:rPr>
      </w:pPr>
    </w:p>
    <w:p>
      <w:pPr>
        <w:ind w:left="1820"/>
        <w:spacing w:after="0" w:line="275"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5 percent of the class of securities, check the following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_</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177165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00"/>
          </w:cols>
          <w:pgMar w:left="420" w:top="711" w:right="679" w:bottom="1440" w:gutter="0" w:footer="0" w:header="0"/>
        </w:sectPr>
      </w:pPr>
    </w:p>
    <w:bookmarkStart w:id="8" w:name="page9"/>
    <w:bookmarkEnd w:id="8"/>
    <w:p>
      <w:pPr>
        <w:spacing w:after="0"/>
        <w:tabs>
          <w:tab w:leader="none" w:pos="1800" w:val="left"/>
        </w:tabs>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1356995</wp:posOffset>
            </wp:positionH>
            <wp:positionV relativeFrom="page">
              <wp:posOffset>466090</wp:posOffset>
            </wp:positionV>
            <wp:extent cx="5983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890"/>
                    </a:xfrm>
                    <a:prstGeom prst="rect">
                      <a:avLst/>
                    </a:prstGeom>
                    <a:noFill/>
                  </pic:spPr>
                </pic:pic>
              </a:graphicData>
            </a:graphic>
          </wp:anchor>
        </w:drawing>
        <w:t>Item 6.</w:t>
      </w:r>
      <w:r>
        <w:rPr>
          <w:sz w:val="20"/>
          <w:szCs w:val="20"/>
          <w:color w:val="auto"/>
        </w:rPr>
        <w:tab/>
      </w:r>
      <w:r>
        <w:rPr>
          <w:rFonts w:ascii="Times New Roman" w:cs="Times New Roman" w:eastAsia="Times New Roman" w:hAnsi="Times New Roman"/>
          <w:sz w:val="19"/>
          <w:szCs w:val="19"/>
          <w:color w:val="auto"/>
        </w:rPr>
        <w:t>Ownership of More Than 5 Percent on Behalf of Another Person.</w:t>
      </w:r>
    </w:p>
    <w:p>
      <w:pPr>
        <w:spacing w:after="0" w:line="243" w:lineRule="exact"/>
        <w:rPr>
          <w:sz w:val="20"/>
          <w:szCs w:val="20"/>
          <w:color w:val="auto"/>
        </w:rPr>
      </w:pPr>
    </w:p>
    <w:p>
      <w:pPr>
        <w:jc w:val="both"/>
        <w:ind w:left="1820"/>
        <w:spacing w:after="0" w:line="246" w:lineRule="auto"/>
        <w:rPr>
          <w:sz w:val="20"/>
          <w:szCs w:val="20"/>
          <w:color w:val="auto"/>
        </w:rPr>
      </w:pPr>
      <w:r>
        <w:rPr>
          <w:rFonts w:ascii="Times New Roman" w:cs="Times New Roman" w:eastAsia="Times New Roman" w:hAnsi="Times New Roman"/>
          <w:sz w:val="20"/>
          <w:szCs w:val="20"/>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22860</wp:posOffset>
            </wp:positionV>
            <wp:extent cx="5983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20" w:hanging="1808"/>
        <w:spacing w:after="0" w:line="269" w:lineRule="auto"/>
        <w:tabs>
          <w:tab w:leader="none" w:pos="18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Identification and Classification of the Subsidiary Which Acquired the Security Being Reported on by the Parent Holding Company or Control Person.</w:t>
      </w:r>
    </w:p>
    <w:p>
      <w:pPr>
        <w:spacing w:after="0" w:line="186" w:lineRule="exact"/>
        <w:rPr>
          <w:sz w:val="20"/>
          <w:szCs w:val="20"/>
          <w:color w:val="auto"/>
        </w:rPr>
      </w:pPr>
    </w:p>
    <w:p>
      <w:pPr>
        <w:jc w:val="both"/>
        <w:ind w:left="1820"/>
        <w:spacing w:after="0" w:line="249" w:lineRule="auto"/>
        <w:rPr>
          <w:sz w:val="20"/>
          <w:szCs w:val="20"/>
          <w:color w:val="auto"/>
        </w:rPr>
      </w:pPr>
      <w:r>
        <w:rPr>
          <w:rFonts w:ascii="Times New Roman" w:cs="Times New Roman" w:eastAsia="Times New Roman" w:hAnsi="Times New Roman"/>
          <w:sz w:val="20"/>
          <w:szCs w:val="20"/>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9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Please 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13970</wp:posOffset>
            </wp:positionV>
            <wp:extent cx="5983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Identification and Classification of Members of the Group.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8.</w:t>
      </w:r>
    </w:p>
    <w:p>
      <w:pPr>
        <w:spacing w:after="0" w:line="221" w:lineRule="exact"/>
        <w:rPr>
          <w:sz w:val="20"/>
          <w:szCs w:val="20"/>
          <w:color w:val="auto"/>
        </w:rPr>
      </w:pPr>
    </w:p>
    <w:p>
      <w:pPr>
        <w:jc w:val="both"/>
        <w:ind w:left="1820" w:hanging="7"/>
        <w:spacing w:after="0" w:line="254" w:lineRule="auto"/>
        <w:rPr>
          <w:sz w:val="20"/>
          <w:szCs w:val="20"/>
          <w:color w:val="auto"/>
        </w:rPr>
      </w:pPr>
      <w:r>
        <w:rPr>
          <w:rFonts w:ascii="Times New Roman" w:cs="Times New Roman" w:eastAsia="Times New Roman" w:hAnsi="Times New Roman"/>
          <w:sz w:val="20"/>
          <w:szCs w:val="20"/>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22860</wp:posOffset>
            </wp:positionV>
            <wp:extent cx="5983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Notice of Dissolution of Group.</w:t>
      </w:r>
    </w:p>
    <w:p>
      <w:pPr>
        <w:spacing w:after="0" w:line="243" w:lineRule="exact"/>
        <w:rPr>
          <w:sz w:val="20"/>
          <w:szCs w:val="20"/>
          <w:color w:val="auto"/>
        </w:rPr>
      </w:pPr>
    </w:p>
    <w:p>
      <w:pPr>
        <w:jc w:val="both"/>
        <w:ind w:left="1820" w:hanging="7"/>
        <w:spacing w:after="0" w:line="254" w:lineRule="auto"/>
        <w:rPr>
          <w:sz w:val="20"/>
          <w:szCs w:val="20"/>
          <w:color w:val="auto"/>
        </w:rPr>
      </w:pPr>
      <w:r>
        <w:rPr>
          <w:rFonts w:ascii="Times New Roman" w:cs="Times New Roman" w:eastAsia="Times New Roman" w:hAnsi="Times New Roman"/>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22860</wp:posOffset>
            </wp:positionV>
            <wp:extent cx="59836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Certification.</w:t>
      </w:r>
    </w:p>
    <w:p>
      <w:pPr>
        <w:spacing w:after="0" w:line="243" w:lineRule="exact"/>
        <w:rPr>
          <w:sz w:val="20"/>
          <w:szCs w:val="20"/>
          <w:color w:val="auto"/>
        </w:rPr>
      </w:pPr>
    </w:p>
    <w:p>
      <w:pPr>
        <w:jc w:val="both"/>
        <w:ind w:left="2040"/>
        <w:spacing w:after="0" w:line="266" w:lineRule="auto"/>
        <w:rPr>
          <w:sz w:val="20"/>
          <w:szCs w:val="20"/>
          <w:color w:val="auto"/>
        </w:rPr>
      </w:pPr>
      <w:r>
        <w:rPr>
          <w:rFonts w:ascii="Times New Roman" w:cs="Times New Roman" w:eastAsia="Times New Roman" w:hAnsi="Times New Roman"/>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290830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1170" w:right="4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0"/>
          <w:szCs w:val="20"/>
          <w:color w:val="auto"/>
        </w:rPr>
        <w:t>SIGNATURE</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5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20"/>
          <w:szCs w:val="20"/>
          <w:color w:val="auto"/>
        </w:rPr>
        <w:t>August 14, 2024</w:t>
      </w:r>
    </w:p>
    <w:p>
      <w:pPr>
        <w:spacing w:after="0" w:line="28"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-140335</wp:posOffset>
            </wp:positionV>
            <wp:extent cx="3557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Needham Investment Management L.L.C.*</w:t>
      </w:r>
    </w:p>
    <w:p>
      <w:pPr>
        <w:spacing w:after="0" w:line="260"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James W. Giangrasso</w:t>
      </w:r>
    </w:p>
    <w:p>
      <w:pPr>
        <w:spacing w:after="0" w:line="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-140335</wp:posOffset>
            </wp:positionV>
            <wp:extent cx="3137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7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Needham Asset Management, LLC*</w:t>
      </w:r>
    </w:p>
    <w:p>
      <w:pPr>
        <w:spacing w:after="0" w:line="260"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James W. Giangrasso</w:t>
      </w:r>
    </w:p>
    <w:p>
      <w:pPr>
        <w:spacing w:after="0" w:line="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-140335</wp:posOffset>
            </wp:positionV>
            <wp:extent cx="31375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Needham Aggressive Growth Fund*</w:t>
      </w:r>
    </w:p>
    <w:p>
      <w:pPr>
        <w:spacing w:after="0" w:line="260"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James W. Giangrasso</w:t>
      </w:r>
    </w:p>
    <w:p>
      <w:pPr>
        <w:spacing w:after="0" w:line="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-140335</wp:posOffset>
            </wp:positionV>
            <wp:extent cx="3137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George A. Needham*</w:t>
      </w:r>
    </w:p>
    <w:p>
      <w:pPr>
        <w:spacing w:after="0" w:line="260"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George A. Needham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22860</wp:posOffset>
            </wp:positionV>
            <wp:extent cx="31375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140" w:firstLine="8"/>
        <w:spacing w:after="0" w:line="254" w:lineRule="auto"/>
        <w:tabs>
          <w:tab w:leader="none" w:pos="1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Act, or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August 14, 2024 relating to the Common Stock, par value $0.10 per share, of OIL-DRI CORPORATION OF AMERICA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Needham Investment Management L.L.C.</w:t>
      </w:r>
    </w:p>
    <w:p>
      <w:pPr>
        <w:spacing w:after="0" w:line="260"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James W. Giangrasso</w:t>
      </w:r>
    </w:p>
    <w:p>
      <w:pPr>
        <w:spacing w:after="0" w:line="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-140335</wp:posOffset>
            </wp:positionV>
            <wp:extent cx="3137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7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Needham Asset Management, LLC</w:t>
      </w:r>
    </w:p>
    <w:p>
      <w:pPr>
        <w:spacing w:after="0" w:line="260"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James W. Giangrasso</w:t>
      </w:r>
    </w:p>
    <w:p>
      <w:pPr>
        <w:spacing w:after="0" w:line="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-140335</wp:posOffset>
            </wp:positionV>
            <wp:extent cx="3137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4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Needham Aggressive Growth Fund</w:t>
      </w:r>
    </w:p>
    <w:p>
      <w:pPr>
        <w:spacing w:after="0" w:line="260"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James W. Giangrasso</w:t>
      </w:r>
    </w:p>
    <w:p>
      <w:pPr>
        <w:spacing w:after="0" w:line="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-140335</wp:posOffset>
            </wp:positionV>
            <wp:extent cx="31375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4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George A. Needham</w:t>
      </w:r>
    </w:p>
    <w:p>
      <w:pPr>
        <w:spacing w:after="0" w:line="260"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George A. Needham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22860</wp:posOffset>
            </wp:positionV>
            <wp:extent cx="31375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37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1" w:name="page12"/>
    <w:bookmarkEnd w:id="11"/>
    <w:p>
      <w:pPr>
        <w:ind w:left="10480"/>
        <w:spacing w:after="0"/>
        <w:rPr>
          <w:sz w:val="20"/>
          <w:szCs w:val="20"/>
          <w:color w:val="auto"/>
        </w:rPr>
      </w:pPr>
      <w:r>
        <w:rPr>
          <w:rFonts w:ascii="Times New Roman" w:cs="Times New Roman" w:eastAsia="Times New Roman" w:hAnsi="Times New Roman"/>
          <w:sz w:val="19"/>
          <w:szCs w:val="19"/>
          <w:u w:val="single" w:color="auto"/>
          <w:color w:val="auto"/>
        </w:rPr>
        <w:t>Exhibit B</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Needham Investment Management L.L.C. is the relevant entity for which each of Needham Asset Management, LLC and George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Needham may be considered a control person.</w:t>
      </w:r>
    </w:p>
    <w:sectPr>
      <w:pgSz w:w="11900" w:h="16838" w:orient="portrait"/>
      <w:cols w:equalWidth="0" w:num="1">
        <w:col w:w="11240"/>
      </w:cols>
      <w:pgMar w:left="320" w:top="6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5"/>
    </w:lvl>
  </w:abstractNum>
  <w:abstractNum w:abstractNumId="4">
    <w:nsid w:val="3352255A"/>
    <w:multiLevelType w:val="hybridMultilevel"/>
    <w:lvl w:ilvl="0">
      <w:lvlJc w:val="left"/>
      <w:lvlText w:val="%1."/>
      <w:numFmt w:val="decimal"/>
      <w:start w:val="1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3"/>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1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3"/>
    </w:lvl>
  </w:abstractNum>
  <w:abstractNum w:abstractNumId="11">
    <w:nsid w:val="4E6AFB66"/>
    <w:multiLevelType w:val="hybridMultilevel"/>
    <w:lvl w:ilvl="0">
      <w:lvlJc w:val="left"/>
      <w:lvlText w:val="%1."/>
      <w:numFmt w:val="decimal"/>
      <w:start w:val="5"/>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3"/>
    </w:lvl>
  </w:abstractNum>
  <w:abstractNum w:abstractNumId="15">
    <w:nsid w:val="3F2DBA31"/>
    <w:multiLevelType w:val="hybridMultilevel"/>
    <w:lvl w:ilvl="0">
      <w:lvlJc w:val="left"/>
      <w:lvlText w:val="%1."/>
      <w:numFmt w:val="decimal"/>
      <w:start w:val="5"/>
    </w:lvl>
  </w:abstractNum>
  <w:abstractNum w:abstractNumId="16">
    <w:nsid w:val="7C83E458"/>
    <w:multiLevelType w:val="hybridMultilevel"/>
    <w:lvl w:ilvl="0">
      <w:lvlJc w:val="left"/>
      <w:lvlText w:val="%1."/>
      <w:numFmt w:val="decimal"/>
      <w:start w:val="1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lowerLetter"/>
      <w:start w:val="3"/>
    </w:lvl>
    <w:lvl w:ilvl="1">
      <w:lvlJc w:val="left"/>
      <w:lvlText w:val="(%2)"/>
      <w:numFmt w:val="lowerRoman"/>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2024-08-14T14:07:12Z</dcterms:created>
  <dcterms:modified xsi:type="dcterms:W3CDTF">2024-08-14T14:07:12Z</dcterms:modified>
</cp:coreProperties>
</file>