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620395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534670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580"/>
              <w:spacing w:after="0"/>
              <w:rPr>
                <w:sz w:val="20"/>
                <w:szCs w:val="20"/>
                <w:color w:val="auto"/>
              </w:rPr>
            </w:pPr>
            <w:r>
              <w:rPr>
                <w:rFonts w:ascii="Arial" w:cs="Arial" w:eastAsia="Arial" w:hAnsi="Arial"/>
                <w:sz w:val="18"/>
                <w:szCs w:val="18"/>
                <w:color w:val="auto"/>
                <w:w w:val="88"/>
              </w:rPr>
              <w:t>June 8, 2018</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8, 2018, Oil-Dri Corporation of America (the “Registrant”) issued a press release announcing its results of operations for its third quarter ended April 30, 2018.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04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466"/>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2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of the Registrant dated June 8, 2018</w:t>
              </w:r>
            </w:hyperlink>
          </w:p>
        </w:tc>
        <w:tc>
          <w:tcPr>
            <w:tcW w:w="60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2018</w:t>
      </w:r>
    </w:p>
    <w:p>
      <w:pPr>
        <w:sectPr>
          <w:pgSz w:w="11900" w:h="16838" w:orient="portrait"/>
          <w:cols w:equalWidth="0" w:num="1">
            <w:col w:w="10880"/>
          </w:cols>
          <w:pgMar w:left="240" w:top="580" w:right="77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8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ind w:left="10360"/>
        <w:spacing w:after="0"/>
        <w:rPr>
          <w:sz w:val="20"/>
          <w:szCs w:val="20"/>
          <w:color w:val="auto"/>
        </w:rPr>
      </w:pPr>
      <w:r>
        <w:rPr>
          <w:rFonts w:ascii="Arial" w:cs="Arial" w:eastAsia="Arial" w:hAnsi="Arial"/>
          <w:sz w:val="19"/>
          <w:szCs w:val="19"/>
          <w:color w:val="auto"/>
        </w:rPr>
        <w:t>Exhibit 99.1</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Oil-Dri Announces Third Quarter and Year-to-Date Fiscal 2018 Results</w:t>
      </w:r>
    </w:p>
    <w:p>
      <w:pPr>
        <w:spacing w:after="0" w:line="266"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color w:val="auto"/>
        </w:rPr>
        <w:t>CHICAGO-(June 8, 2018)-Oil-Dri Corporation of America (NYSE: ODC), producer and marketer of sorbent mineral products, announced today its third quarter and nine-month fiscal 2018 earnings.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30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Third Quarter</w:t>
            </w: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80" w:type="dxa"/>
            <w:vAlign w:val="bottom"/>
          </w:tcPr>
          <w:p>
            <w:pPr>
              <w:jc w:val="right"/>
              <w:ind w:right="590"/>
              <w:spacing w:after="0"/>
              <w:rPr>
                <w:sz w:val="20"/>
                <w:szCs w:val="20"/>
                <w:color w:val="auto"/>
              </w:rPr>
            </w:pPr>
            <w:r>
              <w:rPr>
                <w:rFonts w:ascii="Arial" w:cs="Arial" w:eastAsia="Arial" w:hAnsi="Arial"/>
                <w:sz w:val="18"/>
                <w:szCs w:val="18"/>
                <w:b w:val="1"/>
                <w:bCs w:val="1"/>
                <w:color w:val="auto"/>
                <w:w w:val="93"/>
              </w:rPr>
              <w:t>Year to Date</w:t>
            </w:r>
          </w:p>
        </w:tc>
        <w:tc>
          <w:tcPr>
            <w:tcW w:w="960" w:type="dxa"/>
            <w:vAlign w:val="bottom"/>
          </w:tcPr>
          <w:p>
            <w:pPr>
              <w:spacing w:after="0"/>
              <w:rPr>
                <w:sz w:val="20"/>
                <w:szCs w:val="20"/>
                <w:color w:val="auto"/>
              </w:rPr>
            </w:pPr>
          </w:p>
        </w:tc>
      </w:tr>
      <w:tr>
        <w:trPr>
          <w:trHeight w:val="285"/>
        </w:trPr>
        <w:tc>
          <w:tcPr>
            <w:tcW w:w="3220" w:type="dxa"/>
            <w:vAlign w:val="bottom"/>
          </w:tcPr>
          <w:p>
            <w:pPr>
              <w:spacing w:after="0"/>
              <w:rPr>
                <w:sz w:val="24"/>
                <w:szCs w:val="24"/>
                <w:color w:val="auto"/>
              </w:rPr>
            </w:pPr>
          </w:p>
        </w:tc>
        <w:tc>
          <w:tcPr>
            <w:tcW w:w="3060" w:type="dxa"/>
            <w:vAlign w:val="bottom"/>
            <w:gridSpan w:val="2"/>
          </w:tcPr>
          <w:p>
            <w:pPr>
              <w:jc w:val="right"/>
              <w:ind w:right="370"/>
              <w:spacing w:after="0"/>
              <w:rPr>
                <w:sz w:val="20"/>
                <w:szCs w:val="20"/>
                <w:color w:val="auto"/>
              </w:rPr>
            </w:pPr>
            <w:r>
              <w:rPr>
                <w:rFonts w:ascii="Arial" w:cs="Arial" w:eastAsia="Arial" w:hAnsi="Arial"/>
                <w:sz w:val="14"/>
                <w:szCs w:val="14"/>
                <w:i w:val="1"/>
                <w:iCs w:val="1"/>
                <w:color w:val="auto"/>
              </w:rPr>
              <w:t>Ended April 30, 2018</w:t>
            </w:r>
          </w:p>
        </w:tc>
        <w:tc>
          <w:tcPr>
            <w:tcW w:w="940" w:type="dxa"/>
            <w:vAlign w:val="bottom"/>
          </w:tcPr>
          <w:p>
            <w:pPr>
              <w:spacing w:after="0"/>
              <w:rPr>
                <w:sz w:val="24"/>
                <w:szCs w:val="24"/>
                <w:color w:val="auto"/>
              </w:rPr>
            </w:pPr>
          </w:p>
        </w:tc>
        <w:tc>
          <w:tcPr>
            <w:tcW w:w="3260" w:type="dxa"/>
            <w:vAlign w:val="bottom"/>
            <w:gridSpan w:val="2"/>
          </w:tcPr>
          <w:p>
            <w:pPr>
              <w:jc w:val="right"/>
              <w:ind w:right="450"/>
              <w:spacing w:after="0"/>
              <w:rPr>
                <w:sz w:val="20"/>
                <w:szCs w:val="20"/>
                <w:color w:val="auto"/>
              </w:rPr>
            </w:pPr>
            <w:r>
              <w:rPr>
                <w:rFonts w:ascii="Arial" w:cs="Arial" w:eastAsia="Arial" w:hAnsi="Arial"/>
                <w:sz w:val="14"/>
                <w:szCs w:val="14"/>
                <w:i w:val="1"/>
                <w:iCs w:val="1"/>
                <w:color w:val="auto"/>
              </w:rPr>
              <w:t>Ended April 30, 2018</w:t>
            </w:r>
          </w:p>
        </w:tc>
        <w:tc>
          <w:tcPr>
            <w:tcW w:w="960" w:type="dxa"/>
            <w:vAlign w:val="bottom"/>
          </w:tcPr>
          <w:p>
            <w:pPr>
              <w:spacing w:after="0"/>
              <w:rPr>
                <w:sz w:val="24"/>
                <w:szCs w:val="24"/>
                <w:color w:val="auto"/>
              </w:rPr>
            </w:pPr>
          </w:p>
        </w:tc>
      </w:tr>
      <w:tr>
        <w:trPr>
          <w:trHeight w:val="228"/>
        </w:trPr>
        <w:tc>
          <w:tcPr>
            <w:tcW w:w="32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37"/>
        </w:trPr>
        <w:tc>
          <w:tcPr>
            <w:tcW w:w="3220" w:type="dxa"/>
            <w:vAlign w:val="bottom"/>
            <w:tcBorders>
              <w:right w:val="single" w:sz="8" w:color="auto"/>
            </w:tcBorders>
          </w:tcPr>
          <w:p>
            <w:pPr>
              <w:spacing w:after="0"/>
              <w:rPr>
                <w:sz w:val="20"/>
                <w:szCs w:val="20"/>
                <w:color w:val="auto"/>
              </w:rPr>
            </w:pPr>
          </w:p>
        </w:tc>
        <w:tc>
          <w:tcPr>
            <w:tcW w:w="1740" w:type="dxa"/>
            <w:vAlign w:val="bottom"/>
          </w:tcPr>
          <w:p>
            <w:pPr>
              <w:jc w:val="right"/>
              <w:ind w:right="772"/>
              <w:spacing w:after="0"/>
              <w:rPr>
                <w:sz w:val="20"/>
                <w:szCs w:val="20"/>
                <w:color w:val="auto"/>
              </w:rPr>
            </w:pPr>
            <w:r>
              <w:rPr>
                <w:rFonts w:ascii="Arial" w:cs="Arial" w:eastAsia="Arial" w:hAnsi="Arial"/>
                <w:sz w:val="18"/>
                <w:szCs w:val="18"/>
                <w:b w:val="1"/>
                <w:bCs w:val="1"/>
                <w:color w:val="auto"/>
              </w:rPr>
              <w:t>F18</w:t>
            </w:r>
          </w:p>
        </w:tc>
        <w:tc>
          <w:tcPr>
            <w:tcW w:w="1320" w:type="dxa"/>
            <w:vAlign w:val="bottom"/>
          </w:tcPr>
          <w:p>
            <w:pPr>
              <w:jc w:val="right"/>
              <w:ind w:right="610"/>
              <w:spacing w:after="0"/>
              <w:rPr>
                <w:sz w:val="20"/>
                <w:szCs w:val="20"/>
                <w:color w:val="auto"/>
              </w:rPr>
            </w:pPr>
            <w:r>
              <w:rPr>
                <w:rFonts w:ascii="Arial" w:cs="Arial" w:eastAsia="Arial" w:hAnsi="Arial"/>
                <w:sz w:val="18"/>
                <w:szCs w:val="18"/>
                <w:b w:val="1"/>
                <w:bCs w:val="1"/>
                <w:color w:val="auto"/>
              </w:rPr>
              <w:t>F17</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Change</w:t>
            </w:r>
          </w:p>
        </w:tc>
        <w:tc>
          <w:tcPr>
            <w:tcW w:w="1580" w:type="dxa"/>
            <w:vAlign w:val="bottom"/>
          </w:tcPr>
          <w:p>
            <w:pPr>
              <w:jc w:val="right"/>
              <w:ind w:right="552"/>
              <w:spacing w:after="0"/>
              <w:rPr>
                <w:sz w:val="20"/>
                <w:szCs w:val="20"/>
                <w:color w:val="auto"/>
              </w:rPr>
            </w:pPr>
            <w:r>
              <w:rPr>
                <w:rFonts w:ascii="Arial" w:cs="Arial" w:eastAsia="Arial" w:hAnsi="Arial"/>
                <w:sz w:val="18"/>
                <w:szCs w:val="18"/>
                <w:b w:val="1"/>
                <w:bCs w:val="1"/>
                <w:color w:val="auto"/>
              </w:rPr>
              <w:t>F18</w:t>
            </w:r>
          </w:p>
        </w:tc>
        <w:tc>
          <w:tcPr>
            <w:tcW w:w="1680" w:type="dxa"/>
            <w:vAlign w:val="bottom"/>
          </w:tcPr>
          <w:p>
            <w:pPr>
              <w:jc w:val="right"/>
              <w:ind w:right="650"/>
              <w:spacing w:after="0"/>
              <w:rPr>
                <w:sz w:val="20"/>
                <w:szCs w:val="20"/>
                <w:color w:val="auto"/>
              </w:rPr>
            </w:pPr>
            <w:r>
              <w:rPr>
                <w:rFonts w:ascii="Arial" w:cs="Arial" w:eastAsia="Arial" w:hAnsi="Arial"/>
                <w:sz w:val="18"/>
                <w:szCs w:val="18"/>
                <w:b w:val="1"/>
                <w:bCs w:val="1"/>
                <w:color w:val="auto"/>
              </w:rPr>
              <w:t>F17</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Change</w:t>
            </w:r>
          </w:p>
        </w:tc>
      </w:tr>
      <w:tr>
        <w:trPr>
          <w:trHeight w:val="27"/>
        </w:trPr>
        <w:tc>
          <w:tcPr>
            <w:tcW w:w="3220" w:type="dxa"/>
            <w:vAlign w:val="bottom"/>
            <w:tcBorders>
              <w:right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Consolidated Results</w:t>
            </w:r>
          </w:p>
        </w:tc>
        <w:tc>
          <w:tcPr>
            <w:tcW w:w="17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580" w:type="dxa"/>
            <w:vAlign w:val="bottom"/>
            <w:tcBorders>
              <w:bottom w:val="single" w:sz="8" w:color="auto"/>
            </w:tcBorders>
            <w:shd w:val="clear" w:color="auto" w:fill="000000"/>
          </w:tcPr>
          <w:p>
            <w:pPr>
              <w:spacing w:after="0"/>
              <w:rPr>
                <w:sz w:val="21"/>
                <w:szCs w:val="21"/>
                <w:color w:val="auto"/>
              </w:rPr>
            </w:pPr>
          </w:p>
        </w:tc>
        <w:tc>
          <w:tcPr>
            <w:tcW w:w="168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$64,847,000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$64,745,000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580" w:type="dxa"/>
            <w:vAlign w:val="bottom"/>
          </w:tcPr>
          <w:p>
            <w:pPr>
              <w:jc w:val="right"/>
              <w:spacing w:after="0"/>
              <w:rPr>
                <w:sz w:val="20"/>
                <w:szCs w:val="20"/>
                <w:color w:val="auto"/>
              </w:rPr>
            </w:pPr>
            <w:r>
              <w:rPr>
                <w:rFonts w:ascii="Arial" w:cs="Arial" w:eastAsia="Arial" w:hAnsi="Arial"/>
                <w:sz w:val="18"/>
                <w:szCs w:val="18"/>
                <w:color w:val="auto"/>
              </w:rPr>
              <w:t>$200,387,000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$196,531,000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2%</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$3,585,000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$3,211,000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12%</w:t>
            </w:r>
          </w:p>
        </w:tc>
        <w:tc>
          <w:tcPr>
            <w:tcW w:w="1580" w:type="dxa"/>
            <w:vAlign w:val="bottom"/>
          </w:tcPr>
          <w:p>
            <w:pPr>
              <w:jc w:val="right"/>
              <w:spacing w:after="0"/>
              <w:rPr>
                <w:sz w:val="20"/>
                <w:szCs w:val="20"/>
                <w:color w:val="auto"/>
              </w:rPr>
            </w:pPr>
            <w:r>
              <w:rPr>
                <w:rFonts w:ascii="Arial" w:cs="Arial" w:eastAsia="Arial" w:hAnsi="Arial"/>
                <w:sz w:val="18"/>
                <w:szCs w:val="18"/>
                <w:color w:val="auto"/>
              </w:rPr>
              <w:t>$5,539,000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$9,470,000</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5"/>
              </w:rPr>
              <w:t>(42)%</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Earnings per Diluted Share</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$0.48</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9%</w:t>
            </w:r>
          </w:p>
        </w:tc>
        <w:tc>
          <w:tcPr>
            <w:tcW w:w="1580" w:type="dxa"/>
            <w:vAlign w:val="bottom"/>
          </w:tcPr>
          <w:p>
            <w:pPr>
              <w:jc w:val="right"/>
              <w:spacing w:after="0"/>
              <w:rPr>
                <w:sz w:val="20"/>
                <w:szCs w:val="20"/>
                <w:color w:val="auto"/>
              </w:rPr>
            </w:pPr>
            <w:r>
              <w:rPr>
                <w:rFonts w:ascii="Arial" w:cs="Arial" w:eastAsia="Arial" w:hAnsi="Arial"/>
                <w:sz w:val="18"/>
                <w:szCs w:val="18"/>
                <w:color w:val="auto"/>
              </w:rPr>
              <w:t>$0.75</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5"/>
              </w:rPr>
              <w:t>(42)%</w:t>
            </w:r>
          </w:p>
        </w:tc>
      </w:tr>
      <w:tr>
        <w:trPr>
          <w:trHeight w:val="27"/>
        </w:trPr>
        <w:tc>
          <w:tcPr>
            <w:tcW w:w="3220" w:type="dxa"/>
            <w:vAlign w:val="bottom"/>
            <w:tcBorders>
              <w:right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Business to Business</w:t>
            </w:r>
          </w:p>
        </w:tc>
        <w:tc>
          <w:tcPr>
            <w:tcW w:w="17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580" w:type="dxa"/>
            <w:vAlign w:val="bottom"/>
            <w:tcBorders>
              <w:bottom w:val="single" w:sz="8" w:color="auto"/>
            </w:tcBorders>
            <w:shd w:val="clear" w:color="auto" w:fill="000000"/>
          </w:tcPr>
          <w:p>
            <w:pPr>
              <w:spacing w:after="0"/>
              <w:rPr>
                <w:sz w:val="21"/>
                <w:szCs w:val="21"/>
                <w:color w:val="auto"/>
              </w:rPr>
            </w:pPr>
          </w:p>
        </w:tc>
        <w:tc>
          <w:tcPr>
            <w:tcW w:w="168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$24,784,000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$24,159,000</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3%</w:t>
            </w:r>
          </w:p>
        </w:tc>
        <w:tc>
          <w:tcPr>
            <w:tcW w:w="1580" w:type="dxa"/>
            <w:vAlign w:val="bottom"/>
          </w:tcPr>
          <w:p>
            <w:pPr>
              <w:jc w:val="right"/>
              <w:spacing w:after="0"/>
              <w:rPr>
                <w:sz w:val="20"/>
                <w:szCs w:val="20"/>
                <w:color w:val="auto"/>
              </w:rPr>
            </w:pPr>
            <w:r>
              <w:rPr>
                <w:rFonts w:ascii="Arial" w:cs="Arial" w:eastAsia="Arial" w:hAnsi="Arial"/>
                <w:sz w:val="18"/>
                <w:szCs w:val="18"/>
                <w:color w:val="auto"/>
              </w:rPr>
              <w:t>$79,226,000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$74,893,000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6%</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$7,556,000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$7,810,000</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(3)%</w:t>
            </w:r>
          </w:p>
        </w:tc>
        <w:tc>
          <w:tcPr>
            <w:tcW w:w="1580" w:type="dxa"/>
            <w:vAlign w:val="bottom"/>
          </w:tcPr>
          <w:p>
            <w:pPr>
              <w:jc w:val="right"/>
              <w:spacing w:after="0"/>
              <w:rPr>
                <w:sz w:val="20"/>
                <w:szCs w:val="20"/>
                <w:color w:val="auto"/>
              </w:rPr>
            </w:pPr>
            <w:r>
              <w:rPr>
                <w:rFonts w:ascii="Arial" w:cs="Arial" w:eastAsia="Arial" w:hAnsi="Arial"/>
                <w:sz w:val="18"/>
                <w:szCs w:val="18"/>
                <w:color w:val="auto"/>
              </w:rPr>
              <w:t>$26,191,000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$25,033,000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5%</w:t>
            </w:r>
          </w:p>
        </w:tc>
      </w:tr>
      <w:tr>
        <w:trPr>
          <w:trHeight w:val="27"/>
        </w:trPr>
        <w:tc>
          <w:tcPr>
            <w:tcW w:w="3220" w:type="dxa"/>
            <w:vAlign w:val="bottom"/>
            <w:tcBorders>
              <w:right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Retail and Wholesale</w:t>
            </w:r>
          </w:p>
        </w:tc>
        <w:tc>
          <w:tcPr>
            <w:tcW w:w="17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580" w:type="dxa"/>
            <w:vAlign w:val="bottom"/>
            <w:tcBorders>
              <w:bottom w:val="single" w:sz="8" w:color="auto"/>
            </w:tcBorders>
            <w:shd w:val="clear" w:color="auto" w:fill="000000"/>
          </w:tcPr>
          <w:p>
            <w:pPr>
              <w:spacing w:after="0"/>
              <w:rPr>
                <w:sz w:val="21"/>
                <w:szCs w:val="21"/>
                <w:color w:val="auto"/>
              </w:rPr>
            </w:pPr>
          </w:p>
        </w:tc>
        <w:tc>
          <w:tcPr>
            <w:tcW w:w="168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$40,063,000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$40,586,000</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(1)%</w:t>
            </w:r>
          </w:p>
        </w:tc>
        <w:tc>
          <w:tcPr>
            <w:tcW w:w="1580" w:type="dxa"/>
            <w:vAlign w:val="bottom"/>
          </w:tcPr>
          <w:p>
            <w:pPr>
              <w:jc w:val="right"/>
              <w:spacing w:after="0"/>
              <w:rPr>
                <w:sz w:val="20"/>
                <w:szCs w:val="20"/>
                <w:color w:val="auto"/>
              </w:rPr>
            </w:pPr>
            <w:r>
              <w:rPr>
                <w:rFonts w:ascii="Arial" w:cs="Arial" w:eastAsia="Arial" w:hAnsi="Arial"/>
                <w:sz w:val="18"/>
                <w:szCs w:val="18"/>
                <w:color w:val="auto"/>
              </w:rPr>
              <w:t>$121,161,000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$121,638,000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$2,223,000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$1,516,000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47%</w:t>
            </w:r>
          </w:p>
        </w:tc>
        <w:tc>
          <w:tcPr>
            <w:tcW w:w="1580" w:type="dxa"/>
            <w:vAlign w:val="bottom"/>
          </w:tcPr>
          <w:p>
            <w:pPr>
              <w:jc w:val="right"/>
              <w:spacing w:after="0"/>
              <w:rPr>
                <w:sz w:val="20"/>
                <w:szCs w:val="20"/>
                <w:color w:val="auto"/>
              </w:rPr>
            </w:pPr>
            <w:r>
              <w:rPr>
                <w:rFonts w:ascii="Arial" w:cs="Arial" w:eastAsia="Arial" w:hAnsi="Arial"/>
                <w:sz w:val="18"/>
                <w:szCs w:val="18"/>
                <w:color w:val="auto"/>
              </w:rPr>
              <w:t>$7,010,000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$5,996,000</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17%</w:t>
            </w:r>
          </w:p>
        </w:tc>
      </w:tr>
      <w:tr>
        <w:trPr>
          <w:trHeight w:val="27"/>
        </w:trPr>
        <w:tc>
          <w:tcPr>
            <w:tcW w:w="3220" w:type="dxa"/>
            <w:vAlign w:val="bottom"/>
            <w:tcBorders>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19" w:lineRule="exact"/>
        <w:rPr>
          <w:sz w:val="20"/>
          <w:szCs w:val="20"/>
          <w:color w:val="auto"/>
        </w:rPr>
      </w:pPr>
    </w:p>
    <w:p>
      <w:pPr>
        <w:ind w:right="680"/>
        <w:spacing w:after="0" w:line="263" w:lineRule="auto"/>
        <w:rPr>
          <w:sz w:val="20"/>
          <w:szCs w:val="20"/>
          <w:color w:val="auto"/>
        </w:rPr>
      </w:pPr>
      <w:r>
        <w:rPr>
          <w:rFonts w:ascii="Arial" w:cs="Arial" w:eastAsia="Arial" w:hAnsi="Arial"/>
          <w:sz w:val="22"/>
          <w:szCs w:val="22"/>
          <w:color w:val="auto"/>
        </w:rPr>
        <w:t>Daniel S. Jaffee stated, “Our business diversity and strategy to develop and support value-added products continues to prove effective. Net sales were an all-time record for the nine-month period.</w:t>
      </w:r>
    </w:p>
    <w:p>
      <w:pPr>
        <w:spacing w:after="0" w:line="229" w:lineRule="exact"/>
        <w:rPr>
          <w:sz w:val="20"/>
          <w:szCs w:val="20"/>
          <w:color w:val="auto"/>
        </w:rPr>
      </w:pPr>
    </w:p>
    <w:p>
      <w:pPr>
        <w:jc w:val="both"/>
        <w:ind w:right="120"/>
        <w:spacing w:after="0" w:line="302" w:lineRule="auto"/>
        <w:rPr>
          <w:sz w:val="20"/>
          <w:szCs w:val="20"/>
          <w:color w:val="auto"/>
        </w:rPr>
      </w:pPr>
      <w:r>
        <w:rPr>
          <w:rFonts w:ascii="Arial" w:cs="Arial" w:eastAsia="Arial" w:hAnsi="Arial"/>
          <w:sz w:val="19"/>
          <w:szCs w:val="19"/>
          <w:color w:val="auto"/>
        </w:rPr>
        <w:t>The consolidated net income detailed above was significantly impacted by the one-time tax expense adjustment made to reflect the effect on deferred income tax assets under the 2017 Tax Cut and Jobs Act. The adjustment reduced tax expense by $1,095,000 for the third quarter and increased tax expense by $3,996,000 for the nine-month period. The adjustment effectively increased diluted net income by $0.15 per share in the third quarter and reduced diluted net income by $0.54 per share year-to-date.</w:t>
      </w:r>
    </w:p>
    <w:p>
      <w:pPr>
        <w:spacing w:after="0" w:line="183"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Business to Business product groups showed strong performance for the nine-month period and increased net sales over the same period in fiscal 2017. Year-to-date net sales of Agsorb and Verge agricultural products improved 13% as a result of increased usage as synthetic and biological active ingredient carriers. Similarly, net sales of our fluids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40"/>
          </w:cols>
          <w:pgMar w:left="240" w:top="937" w:right="219" w:bottom="1440" w:gutter="0" w:footer="0" w:header="0"/>
        </w:sectPr>
      </w:pPr>
    </w:p>
    <w:bookmarkStart w:id="4" w:name="page5"/>
    <w:bookmarkEnd w:id="4"/>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right="320"/>
        <w:spacing w:after="0" w:line="260" w:lineRule="auto"/>
        <w:rPr>
          <w:sz w:val="20"/>
          <w:szCs w:val="20"/>
          <w:color w:val="auto"/>
        </w:rPr>
      </w:pPr>
      <w:r>
        <w:rPr>
          <w:rFonts w:ascii="Arial" w:cs="Arial" w:eastAsia="Arial" w:hAnsi="Arial"/>
          <w:sz w:val="22"/>
          <w:szCs w:val="22"/>
          <w:color w:val="auto"/>
        </w:rPr>
        <w:t>purification products improved 5% driven by strong sales of Ultra-Clear attapulgite granules used to refine jet fuel. Net sales of Amlan animal health products were 7% higher. The increase was primarily attributed to further adoption of Varium and Calibrin-Z intestinal health products.</w:t>
      </w:r>
    </w:p>
    <w:p>
      <w:pPr>
        <w:spacing w:after="0" w:line="28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Within the Retail and Wholesale segment, sales for the quarter and the nine-month period were relatively flat while segment income was up 47% in the third quarter and 17% year-to-date. The use of more targeted promotional spending allowed for reduced advertising spending in both periods and accounted for profit improvement in the segment. At the end of this fiscal year, we expect overall advertising costs to be less than fiscal 2017.</w:t>
      </w:r>
    </w:p>
    <w:p>
      <w:pPr>
        <w:spacing w:after="0" w:line="202" w:lineRule="exact"/>
        <w:rPr>
          <w:sz w:val="20"/>
          <w:szCs w:val="20"/>
          <w:color w:val="auto"/>
        </w:rPr>
      </w:pPr>
    </w:p>
    <w:p>
      <w:pPr>
        <w:ind w:right="280"/>
        <w:spacing w:after="0" w:line="287" w:lineRule="auto"/>
        <w:rPr>
          <w:sz w:val="20"/>
          <w:szCs w:val="20"/>
          <w:color w:val="auto"/>
        </w:rPr>
      </w:pPr>
      <w:r>
        <w:rPr>
          <w:rFonts w:ascii="Arial" w:cs="Arial" w:eastAsia="Arial" w:hAnsi="Arial"/>
          <w:sz w:val="21"/>
          <w:szCs w:val="21"/>
          <w:color w:val="auto"/>
        </w:rPr>
        <w:t>Net sales of our private label lightweight cat litter continued to grow, up 79% year-to-date. We believe this represents continued consumer preference for high-quality, lightweight litter and is driving our increase in market share.</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Cat’s Pride Litter for Good campaign continues to gain traction. To date, we have received over 8,400 shelter nominations and promised over 1,574,112 pounds of litter donations. We are excited to continue to watch these numbers grow over the remainder of fiscal 2018 and years to come.</w:t>
      </w:r>
    </w:p>
    <w:p>
      <w:pPr>
        <w:spacing w:after="0" w:line="199" w:lineRule="exact"/>
        <w:rPr>
          <w:sz w:val="20"/>
          <w:szCs w:val="20"/>
          <w:color w:val="auto"/>
        </w:rPr>
      </w:pPr>
    </w:p>
    <w:p>
      <w:pPr>
        <w:ind w:right="240"/>
        <w:spacing w:after="0" w:line="294" w:lineRule="auto"/>
        <w:rPr>
          <w:sz w:val="20"/>
          <w:szCs w:val="20"/>
          <w:color w:val="auto"/>
        </w:rPr>
      </w:pPr>
      <w:r>
        <w:rPr>
          <w:rFonts w:ascii="Arial" w:cs="Arial" w:eastAsia="Arial" w:hAnsi="Arial"/>
          <w:sz w:val="19"/>
          <w:szCs w:val="19"/>
          <w:color w:val="auto"/>
        </w:rPr>
        <w:t>In the third quarter, we elected to contribute an incremental $11.5 million to our pension plan before filing our 2017 income tax returns. This contribution was deductible at the previous 35% Federal tax rate and allowed us to recapture over $1 million of the negative tax rate impact discussed above. We believe the incremental contribution also will reduce our pension expense and Pension Benefit Guarantee Corporation insurance premiums not only for the quarter, but for years to come. The contribution reduced our cash and investment balances along with our long-term pension liability. To facilitate the payment, we utilized $6 million from our line of credit, which we anticipate paying back in the fourth quarter.</w:t>
      </w:r>
    </w:p>
    <w:p>
      <w:pPr>
        <w:spacing w:after="0" w:line="177" w:lineRule="exact"/>
        <w:rPr>
          <w:sz w:val="20"/>
          <w:szCs w:val="20"/>
          <w:color w:val="auto"/>
        </w:rPr>
      </w:pPr>
    </w:p>
    <w:p>
      <w:pPr>
        <w:jc w:val="both"/>
        <w:ind w:right="460"/>
        <w:spacing w:after="0" w:line="335" w:lineRule="auto"/>
        <w:rPr>
          <w:sz w:val="20"/>
          <w:szCs w:val="20"/>
          <w:color w:val="auto"/>
        </w:rPr>
      </w:pPr>
      <w:r>
        <w:rPr>
          <w:rFonts w:ascii="Arial" w:cs="Arial" w:eastAsia="Arial" w:hAnsi="Arial"/>
          <w:sz w:val="19"/>
          <w:szCs w:val="19"/>
          <w:color w:val="auto"/>
        </w:rPr>
        <w:t>For more details on our financial results, tax adjustment and pension contribution, please review the Form 10-Q that was filed today and join us for our next earnings teleconference on June 11</w:t>
      </w:r>
      <w:r>
        <w:rPr>
          <w:rFonts w:ascii="Arial" w:cs="Arial" w:eastAsia="Arial" w:hAnsi="Arial"/>
          <w:sz w:val="25"/>
          <w:szCs w:val="25"/>
          <w:color w:val="auto"/>
          <w:vertAlign w:val="superscript"/>
        </w:rPr>
        <w:t>th</w:t>
      </w:r>
      <w:r>
        <w:rPr>
          <w:rFonts w:ascii="Arial" w:cs="Arial" w:eastAsia="Arial" w:hAnsi="Arial"/>
          <w:sz w:val="19"/>
          <w:szCs w:val="19"/>
          <w:color w:val="auto"/>
        </w:rPr>
        <w:t>. Call details are available on our website’s ‘Events’ page.”</w:t>
      </w: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340"/>
          </w:cols>
          <w:pgMar w:left="240" w:top="1440" w:right="319" w:bottom="1440" w:gutter="0" w:footer="0" w:header="0"/>
        </w:sectPr>
      </w:pPr>
    </w:p>
    <w:bookmarkStart w:id="5" w:name="page6"/>
    <w:bookmarkEnd w:id="5"/>
    <w:p>
      <w:pPr>
        <w:jc w:val="both"/>
        <w:ind w:right="220"/>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w:t>
      </w:r>
    </w:p>
    <w:p>
      <w:pPr>
        <w:spacing w:after="0" w:line="204"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color w:val="auto"/>
        </w:rPr>
        <w:t xml:space="preserve">The Company will host its third quarter fiscal 2018 earnings teleconference on </w:t>
      </w:r>
      <w:r>
        <w:rPr>
          <w:rFonts w:ascii="Arial" w:cs="Arial" w:eastAsia="Arial" w:hAnsi="Arial"/>
          <w:sz w:val="18"/>
          <w:szCs w:val="18"/>
          <w:b w:val="1"/>
          <w:bCs w:val="1"/>
          <w:color w:val="auto"/>
        </w:rPr>
        <w:t>Monday, June 11, 2018</w:t>
      </w:r>
      <w:r>
        <w:rPr>
          <w:rFonts w:ascii="Arial" w:cs="Arial" w:eastAsia="Arial" w:hAnsi="Arial"/>
          <w:sz w:val="18"/>
          <w:szCs w:val="18"/>
          <w:color w:val="auto"/>
        </w:rPr>
        <w:t xml:space="preserve"> and its fourth quarter teleconference on </w:t>
      </w:r>
      <w:r>
        <w:rPr>
          <w:rFonts w:ascii="Arial" w:cs="Arial" w:eastAsia="Arial" w:hAnsi="Arial"/>
          <w:sz w:val="18"/>
          <w:szCs w:val="18"/>
          <w:b w:val="1"/>
          <w:bCs w:val="1"/>
          <w:color w:val="auto"/>
        </w:rPr>
        <w:t>Monday,</w:t>
      </w:r>
      <w:r>
        <w:rPr>
          <w:rFonts w:ascii="Arial" w:cs="Arial" w:eastAsia="Arial" w:hAnsi="Arial"/>
          <w:sz w:val="18"/>
          <w:szCs w:val="18"/>
          <w:color w:val="auto"/>
        </w:rPr>
        <w:t xml:space="preserve"> </w:t>
      </w:r>
      <w:r>
        <w:rPr>
          <w:rFonts w:ascii="Arial" w:cs="Arial" w:eastAsia="Arial" w:hAnsi="Arial"/>
          <w:sz w:val="18"/>
          <w:szCs w:val="18"/>
          <w:b w:val="1"/>
          <w:bCs w:val="1"/>
          <w:color w:val="auto"/>
        </w:rPr>
        <w:t>October 15, 2018</w:t>
      </w:r>
      <w:r>
        <w:rPr>
          <w:rFonts w:ascii="Arial" w:cs="Arial" w:eastAsia="Arial" w:hAnsi="Arial"/>
          <w:sz w:val="18"/>
          <w:szCs w:val="18"/>
          <w:color w:val="auto"/>
        </w:rPr>
        <w:t>. Both teleconferences will commence at 10:00 am, Central Time. Dial-in details will be communicated via web alert approximately one</w:t>
      </w:r>
      <w:r>
        <w:rPr>
          <w:rFonts w:ascii="Arial" w:cs="Arial" w:eastAsia="Arial" w:hAnsi="Arial"/>
          <w:sz w:val="18"/>
          <w:szCs w:val="18"/>
          <w:b w:val="1"/>
          <w:bCs w:val="1"/>
          <w:color w:val="auto"/>
        </w:rPr>
        <w:t xml:space="preserve"> </w:t>
      </w:r>
      <w:r>
        <w:rPr>
          <w:rFonts w:ascii="Arial" w:cs="Arial" w:eastAsia="Arial" w:hAnsi="Arial"/>
          <w:sz w:val="18"/>
          <w:szCs w:val="18"/>
          <w:color w:val="auto"/>
        </w:rPr>
        <w:t>week prior to the calls.</w:t>
      </w:r>
    </w:p>
    <w:p>
      <w:pPr>
        <w:spacing w:after="0" w:line="19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i w:val="1"/>
          <w:iCs w:val="1"/>
          <w:color w:val="auto"/>
        </w:rPr>
        <w:t>“Oil-Dri”, “Amlan”, “Agsorb,” “Calibrin,” “Cat's Pride,” “Ultra-Clear,” “Varium,”and “Verge” are registered trademarks of Oil-Dri Corporation of America.“ Litter for Good” is a trademark of Oil-Dri Corporation of America.</w:t>
      </w:r>
    </w:p>
    <w:p>
      <w:pPr>
        <w:spacing w:after="0" w:line="173"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191"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00"/>
          </w:cols>
          <w:pgMar w:left="240" w:top="1408" w:right="259" w:bottom="1440" w:gutter="0" w:footer="0" w:header="0"/>
        </w:sectPr>
      </w:pPr>
    </w:p>
    <w:bookmarkStart w:id="6" w:name="page7"/>
    <w:bookmarkEnd w:id="6"/>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i w:val="1"/>
                <w:iCs w:val="1"/>
                <w:color w:val="auto"/>
              </w:rPr>
              <w:t>(unaudited)</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ind w:left="380"/>
              <w:spacing w:after="0"/>
              <w:rPr>
                <w:sz w:val="20"/>
                <w:szCs w:val="20"/>
                <w:color w:val="auto"/>
              </w:rPr>
            </w:pPr>
            <w:r>
              <w:rPr>
                <w:rFonts w:ascii="Arial" w:cs="Arial" w:eastAsia="Arial" w:hAnsi="Arial"/>
                <w:sz w:val="18"/>
                <w:szCs w:val="18"/>
                <w:b w:val="1"/>
                <w:bCs w:val="1"/>
                <w:color w:val="auto"/>
              </w:rPr>
              <w:t>Third Quarter Ended April 30</w:t>
            </w:r>
          </w:p>
        </w:tc>
        <w:tc>
          <w:tcPr>
            <w:tcW w:w="14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 of Sales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64,847</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64,745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(47,104)</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(46,964)</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17,743</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17,781</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(14,629)</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(14,035)</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3,114</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3,295</w:t>
            </w:r>
          </w:p>
        </w:tc>
        <w:tc>
          <w:tcPr>
            <w:tcW w:w="2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3,768</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9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3,585</w:t>
            </w:r>
          </w:p>
        </w:tc>
        <w:tc>
          <w:tcPr>
            <w:tcW w:w="22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3,211</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4.9 %</w:t>
            </w: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5,037</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5,022</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2,102</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7,222</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7,164</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149"/>
        </w:trPr>
        <w:tc>
          <w:tcPr>
            <w:tcW w:w="50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5"/>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ind w:left="460"/>
              <w:spacing w:after="0"/>
              <w:rPr>
                <w:sz w:val="20"/>
                <w:szCs w:val="20"/>
                <w:color w:val="auto"/>
              </w:rPr>
            </w:pPr>
            <w:r>
              <w:rPr>
                <w:rFonts w:ascii="Arial" w:cs="Arial" w:eastAsia="Arial" w:hAnsi="Arial"/>
                <w:sz w:val="18"/>
                <w:szCs w:val="18"/>
                <w:b w:val="1"/>
                <w:bCs w:val="1"/>
                <w:color w:val="auto"/>
              </w:rPr>
              <w:t>Nine Months Ended April 30</w:t>
            </w:r>
          </w:p>
        </w:tc>
        <w:tc>
          <w:tcPr>
            <w:tcW w:w="14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 of Sales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200,387</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196,531</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(144,035)</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(138,900)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56,352</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57,631</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(44,565)</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(45,252)</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11,787</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12,205</w:t>
            </w:r>
          </w:p>
        </w:tc>
        <w:tc>
          <w:tcPr>
            <w:tcW w:w="2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11,691</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5.9 %</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5,539</w:t>
            </w:r>
          </w:p>
        </w:tc>
        <w:tc>
          <w:tcPr>
            <w:tcW w:w="22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9,470</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4.8 %</w:t>
            </w: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0.82</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0.75</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5,032</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5,015</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2,099</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7,217</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7,151</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26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200"/>
          </w:cols>
          <w:pgMar w:left="240" w:top="1440" w:right="459" w:bottom="1440" w:gutter="0" w:footer="0" w:header="0"/>
        </w:sectPr>
      </w:pPr>
    </w:p>
    <w:bookmarkStart w:id="7" w:name="page8"/>
    <w:bookmarkEnd w:id="7"/>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As of April 30</w:t>
            </w:r>
          </w:p>
        </w:tc>
        <w:tc>
          <w:tcPr>
            <w:tcW w:w="126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10,613</w:t>
            </w:r>
          </w:p>
        </w:tc>
        <w:tc>
          <w:tcPr>
            <w:tcW w:w="3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13,603</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14,297</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18,700</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32,566</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31,969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23,415</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 xml:space="preserve">Prepaid Expenses </w:t>
            </w:r>
            <w:r>
              <w:rPr>
                <w:rFonts w:ascii="Arial" w:cs="Arial" w:eastAsia="Arial" w:hAnsi="Arial"/>
                <w:sz w:val="18"/>
                <w:szCs w:val="18"/>
                <w:b w:val="1"/>
                <w:bCs w:val="1"/>
                <w:i w:val="1"/>
                <w:iCs w:val="1"/>
                <w:color w:val="auto"/>
              </w:rPr>
              <w:t>(1)</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6,241</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9,992</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87,132</w:t>
            </w: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98,077</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84,807</w:t>
            </w:r>
          </w:p>
        </w:tc>
        <w:tc>
          <w:tcPr>
            <w:tcW w:w="3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81,543</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18"/>
                <w:szCs w:val="18"/>
                <w:b w:val="1"/>
                <w:bCs w:val="1"/>
                <w:i w:val="1"/>
                <w:iCs w:val="1"/>
                <w:color w:val="auto"/>
              </w:rPr>
              <w:t>(1)</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26,071</w:t>
            </w:r>
          </w:p>
        </w:tc>
        <w:tc>
          <w:tcPr>
            <w:tcW w:w="3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32,433</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198,010</w:t>
            </w:r>
          </w:p>
        </w:tc>
        <w:tc>
          <w:tcPr>
            <w:tcW w:w="34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212,053</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Short-term borrowing</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7,747</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8,105</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1,559</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1,485</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17,330</w:t>
            </w:r>
          </w:p>
        </w:tc>
        <w:tc>
          <w:tcPr>
            <w:tcW w:w="3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20,098</w:t>
            </w:r>
          </w:p>
        </w:tc>
      </w:tr>
      <w:tr>
        <w:trPr>
          <w:trHeight w:val="237"/>
        </w:trPr>
        <w:tc>
          <w:tcPr>
            <w:tcW w:w="4260" w:type="dxa"/>
            <w:vAlign w:val="bottom"/>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35,719</w:t>
            </w:r>
          </w:p>
        </w:tc>
        <w:tc>
          <w:tcPr>
            <w:tcW w:w="3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32,771</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6,099</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9,154</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27,179</w:t>
            </w:r>
          </w:p>
        </w:tc>
        <w:tc>
          <w:tcPr>
            <w:tcW w:w="3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47,340</w:t>
            </w:r>
          </w:p>
        </w:tc>
      </w:tr>
      <w:tr>
        <w:trPr>
          <w:trHeight w:val="237"/>
        </w:trPr>
        <w:tc>
          <w:tcPr>
            <w:tcW w:w="4260" w:type="dxa"/>
            <w:vAlign w:val="bottom"/>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33,278</w:t>
            </w:r>
          </w:p>
        </w:tc>
        <w:tc>
          <w:tcPr>
            <w:tcW w:w="3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56,494</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129,013</w:t>
            </w: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122,788</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198,010</w:t>
            </w:r>
          </w:p>
        </w:tc>
        <w:tc>
          <w:tcPr>
            <w:tcW w:w="34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212,053</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18.09</w:t>
            </w:r>
          </w:p>
        </w:tc>
        <w:tc>
          <w:tcPr>
            <w:tcW w:w="3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17.30</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Third Quarter</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3,683</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3,139</w:t>
            </w:r>
          </w:p>
        </w:tc>
      </w:tr>
      <w:tr>
        <w:trPr>
          <w:trHeight w:val="243"/>
        </w:trPr>
        <w:tc>
          <w:tcPr>
            <w:tcW w:w="4260" w:type="dxa"/>
            <w:vAlign w:val="bottom"/>
          </w:tcPr>
          <w:p>
            <w:pPr>
              <w:spacing w:after="0"/>
              <w:rPr>
                <w:sz w:val="21"/>
                <w:szCs w:val="21"/>
                <w:color w:val="auto"/>
              </w:rPr>
            </w:pP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10,533</w:t>
            </w:r>
          </w:p>
        </w:tc>
        <w:tc>
          <w:tcPr>
            <w:tcW w:w="3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10,418</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Third Quarter</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3,164</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3,164</w:t>
            </w:r>
          </w:p>
        </w:tc>
      </w:tr>
      <w:tr>
        <w:trPr>
          <w:trHeight w:val="243"/>
        </w:trPr>
        <w:tc>
          <w:tcPr>
            <w:tcW w:w="4260" w:type="dxa"/>
            <w:vAlign w:val="bottom"/>
          </w:tcPr>
          <w:p>
            <w:pPr>
              <w:spacing w:after="0"/>
              <w:rPr>
                <w:sz w:val="21"/>
                <w:szCs w:val="21"/>
                <w:color w:val="auto"/>
              </w:rPr>
            </w:pP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9,577</w:t>
            </w:r>
          </w:p>
        </w:tc>
        <w:tc>
          <w:tcPr>
            <w:tcW w:w="3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9,553</w:t>
            </w:r>
          </w:p>
        </w:tc>
      </w:tr>
    </w:tbl>
    <w:p>
      <w:pPr>
        <w:spacing w:after="0" w:line="301" w:lineRule="exact"/>
        <w:rPr>
          <w:sz w:val="20"/>
          <w:szCs w:val="20"/>
          <w:color w:val="auto"/>
        </w:rPr>
      </w:pPr>
    </w:p>
    <w:p>
      <w:pPr>
        <w:ind w:right="520" w:firstLine="8"/>
        <w:spacing w:after="0" w:line="275" w:lineRule="auto"/>
        <w:tabs>
          <w:tab w:leader="none" w:pos="229"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Prior year amounts have been retrospectively adjusted to conform to the current year presentation of current deferred income taxes required by new guidance under Accounting Standards Codification (</w:t>
      </w:r>
      <w:r>
        <w:rPr>
          <w:rFonts w:ascii="Arial" w:cs="Arial" w:eastAsia="Arial" w:hAnsi="Arial"/>
          <w:sz w:val="16"/>
          <w:szCs w:val="16"/>
          <w:color w:val="auto"/>
        </w:rPr>
        <w:t>“</w:t>
      </w:r>
      <w:r>
        <w:rPr>
          <w:rFonts w:ascii="Arial" w:cs="Arial" w:eastAsia="Arial" w:hAnsi="Arial"/>
          <w:sz w:val="16"/>
          <w:szCs w:val="16"/>
          <w:i w:val="1"/>
          <w:iCs w:val="1"/>
          <w:color w:val="auto"/>
        </w:rPr>
        <w:t>ASC</w:t>
      </w:r>
      <w:r>
        <w:rPr>
          <w:rFonts w:ascii="Arial" w:cs="Arial" w:eastAsia="Arial" w:hAnsi="Arial"/>
          <w:sz w:val="16"/>
          <w:szCs w:val="16"/>
          <w:color w:val="auto"/>
        </w:rPr>
        <w:t>”</w:t>
      </w:r>
      <w:r>
        <w:rPr>
          <w:rFonts w:ascii="Arial" w:cs="Arial" w:eastAsia="Arial" w:hAnsi="Arial"/>
          <w:sz w:val="16"/>
          <w:szCs w:val="16"/>
          <w:i w:val="1"/>
          <w:iCs w:val="1"/>
          <w:color w:val="auto"/>
        </w:rPr>
        <w:t>) 740, Balance Sheet Classification of Deferred Taxes.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440" w:right="239" w:bottom="1440" w:gutter="0" w:footer="0" w:header="0"/>
        </w:sectPr>
      </w:pPr>
    </w:p>
    <w:bookmarkStart w:id="8" w:name="page9"/>
    <w:bookmarkEnd w:id="8"/>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2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Nine Months Ended</w:t>
            </w:r>
          </w:p>
        </w:tc>
        <w:tc>
          <w:tcPr>
            <w:tcW w:w="70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16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April 30</w:t>
            </w:r>
          </w:p>
        </w:tc>
        <w:tc>
          <w:tcPr>
            <w:tcW w:w="70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5,539</w:t>
            </w:r>
          </w:p>
        </w:tc>
        <w:tc>
          <w:tcPr>
            <w:tcW w:w="34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9,470</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9,553</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(Increase) in Accounts Receivable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(1,665)</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in Inventories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Increase in Accounts Payable</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(888)</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1,848</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(Decrease) Increase in Accrued Expenses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Increase in Pension and Postretirement Benefits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(11,223)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1,133</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b w:val="1"/>
                <w:bCs w:val="1"/>
                <w:i w:val="1"/>
                <w:iCs w:val="1"/>
                <w:color w:val="auto"/>
              </w:rPr>
              <w:t>(2)</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11,563</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21,033</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(10,533)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(10,418)</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Disposition (Purchase) of Investment Securities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1,766</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(18,858)</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Dividends Paid</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Proceeds from short-term borrowing</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(7,261)</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97"/>
        </w:trPr>
        <w:tc>
          <w:tcPr>
            <w:tcW w:w="7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9,095</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18,629</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10,613</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13,603</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 $3,996 one-time adjustment to deferred tax assets required upon enactment of the 2017 Tax Cut and Jobs Act.</w:t>
      </w:r>
    </w:p>
    <w:p>
      <w:pPr>
        <w:spacing w:after="0" w:line="253" w:lineRule="exact"/>
        <w:rPr>
          <w:rFonts w:ascii="Arial" w:cs="Arial" w:eastAsia="Arial" w:hAnsi="Arial"/>
          <w:sz w:val="14"/>
          <w:szCs w:val="14"/>
          <w:i w:val="1"/>
          <w:iCs w:val="1"/>
          <w:color w:val="auto"/>
        </w:rPr>
      </w:pPr>
    </w:p>
    <w:p>
      <w:pPr>
        <w:ind w:left="5680"/>
        <w:spacing w:after="0"/>
        <w:rPr>
          <w:rFonts w:ascii="Arial" w:cs="Arial" w:eastAsia="Arial" w:hAnsi="Arial"/>
          <w:sz w:val="14"/>
          <w:szCs w:val="14"/>
          <w:i w:val="1"/>
          <w:iCs w:val="1"/>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2020-01-15T16:07:14Z</dcterms:created>
  <dcterms:modified xsi:type="dcterms:W3CDTF">2020-01-15T16:07:14Z</dcterms:modified>
</cp:coreProperties>
</file>