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2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6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Washington, D. C. 20549</w:t>
      </w:r>
    </w:p>
    <w:p>
      <w:pPr>
        <w:spacing w:after="0" w:line="2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 10-Q</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 the Quarterly Period Ended October 31, 2022</w:t>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or</w:t>
      </w:r>
    </w:p>
    <w:p>
      <w:pPr>
        <w:sectPr>
          <w:pgSz w:w="11900" w:h="16838" w:orient="portrait"/>
          <w:cols w:equalWidth="0" w:num="1">
            <w:col w:w="11160"/>
          </w:cols>
          <w:pgMar w:left="320" w:top="1282" w:right="419" w:bottom="1440" w:gutter="0" w:footer="0" w:header="0"/>
        </w:sectPr>
      </w:pPr>
    </w:p>
    <w:p>
      <w:pPr>
        <w:spacing w:after="0" w:line="84"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14"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color w:val="auto"/>
        </w:rPr>
        <w:t>For the transition period from _____________ to ______________</w:t>
      </w:r>
    </w:p>
    <w:p>
      <w:pPr>
        <w:spacing w:after="0" w:line="200" w:lineRule="exact"/>
        <w:rPr>
          <w:sz w:val="24"/>
          <w:szCs w:val="24"/>
          <w:color w:val="auto"/>
        </w:rPr>
      </w:pPr>
    </w:p>
    <w:p>
      <w:pPr>
        <w:sectPr>
          <w:pgSz w:w="11900" w:h="16838" w:orient="portrait"/>
          <w:cols w:equalWidth="0" w:num="2">
            <w:col w:w="1700" w:space="720"/>
            <w:col w:w="8740"/>
          </w:cols>
          <w:pgMar w:left="320" w:top="1282" w:right="419" w:bottom="1440" w:gutter="0" w:footer="0" w:header="0"/>
          <w:type w:val="continuous"/>
        </w:sectPr>
      </w:pPr>
    </w:p>
    <w:p>
      <w:pPr>
        <w:spacing w:after="0" w:line="1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Commission File Number 001-12622</w:t>
      </w:r>
    </w:p>
    <w:p>
      <w:pPr>
        <w:spacing w:after="0" w:line="2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OIL-DRI CORPORATION OF AMERICA</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Delaware 36-2048898</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 (I.R.S. Employer Identification No.)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410 North Michigan Avenue, Suite 400 </w:t>
      </w:r>
      <w:r>
        <w:rPr>
          <w:rFonts w:ascii="Times New Roman" w:cs="Times New Roman" w:eastAsia="Times New Roman" w:hAnsi="Times New Roman"/>
          <w:sz w:val="18"/>
          <w:szCs w:val="18"/>
          <w:u w:val="single" w:color="auto"/>
          <w:color w:val="auto"/>
        </w:rPr>
        <w:t>60611-4213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Chicago, Illinois</w:t>
      </w:r>
      <w:r>
        <w:rPr>
          <w:rFonts w:ascii="Times New Roman" w:cs="Times New Roman" w:eastAsia="Times New Roman" w:hAnsi="Times New Roman"/>
          <w:sz w:val="18"/>
          <w:szCs w:val="18"/>
          <w:color w:val="auto"/>
        </w:rPr>
        <w:t xml:space="preserve"> (Zip Code)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registrant's telephone number, including area code: (312) 321-1515</w:t>
      </w:r>
    </w:p>
    <w:p>
      <w:pPr>
        <w:spacing w:after="0" w:line="252" w:lineRule="exact"/>
        <w:rPr>
          <w:sz w:val="24"/>
          <w:szCs w:val="24"/>
          <w:color w:val="auto"/>
        </w:rPr>
      </w:pPr>
    </w:p>
    <w:p>
      <w:pPr>
        <w:ind w:right="2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60"/>
          </w:cols>
          <w:pgMar w:left="320" w:top="1282" w:right="419" w:bottom="1440" w:gutter="0" w:footer="0" w:header="0"/>
          <w:type w:val="continuous"/>
        </w:sectPr>
      </w:pPr>
    </w:p>
    <w:p>
      <w:pPr>
        <w:spacing w:after="0" w:line="9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color w:val="auto"/>
        </w:rPr>
        <w:t>Large Accelerated</w:t>
      </w:r>
    </w:p>
    <w:p>
      <w:pPr>
        <w:ind w:left="1300"/>
        <w:spacing w:after="0"/>
        <w:rPr>
          <w:sz w:val="20"/>
          <w:szCs w:val="20"/>
          <w:color w:val="auto"/>
        </w:rPr>
      </w:pPr>
      <w:r>
        <w:rPr>
          <w:rFonts w:ascii="Times New Roman" w:cs="Times New Roman" w:eastAsia="Times New Roman" w:hAnsi="Times New Roman"/>
          <w:sz w:val="18"/>
          <w:szCs w:val="18"/>
          <w:color w:val="auto"/>
        </w:rPr>
        <w:t xml:space="preserve">Filer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Accelerated Filer </w:t>
      </w:r>
      <w:r>
        <w:rPr>
          <w:rFonts w:ascii="Wingdings" w:cs="Wingdings" w:eastAsia="Wingdings" w:hAnsi="Wingdings"/>
          <w:sz w:val="17"/>
          <w:szCs w:val="17"/>
          <w:b w:val="1"/>
          <w:bCs w:val="1"/>
          <w:color w:val="auto"/>
        </w:rPr>
        <w:t>x</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 xml:space="preserve">Smaller Reporting Company </w:t>
      </w:r>
      <w:r>
        <w:rPr>
          <w:rFonts w:ascii="Wingdings" w:cs="Wingdings" w:eastAsia="Wingdings" w:hAnsi="Wingdings"/>
          <w:sz w:val="17"/>
          <w:szCs w:val="17"/>
          <w:b w:val="1"/>
          <w:bCs w:val="1"/>
          <w:color w:val="auto"/>
        </w:rPr>
        <w:t>x</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w:t>
      </w:r>
    </w:p>
    <w:p>
      <w:pPr>
        <w:spacing w:after="0"/>
        <w:rPr>
          <w:sz w:val="20"/>
          <w:szCs w:val="20"/>
          <w:color w:val="auto"/>
        </w:rPr>
      </w:pPr>
      <w:r>
        <w:rPr>
          <w:rFonts w:ascii="Times New Roman" w:cs="Times New Roman" w:eastAsia="Times New Roman" w:hAnsi="Times New Roman"/>
          <w:sz w:val="18"/>
          <w:szCs w:val="18"/>
          <w:color w:val="auto"/>
        </w:rPr>
        <w:t xml:space="preserve">Company </w:t>
      </w:r>
      <w:r>
        <w:rPr>
          <w:rFonts w:ascii="Wingdings" w:cs="Wingdings" w:eastAsia="Wingdings" w:hAnsi="Wingdings"/>
          <w:sz w:val="18"/>
          <w:szCs w:val="18"/>
          <w:b w:val="1"/>
          <w:bCs w:val="1"/>
          <w:color w:val="auto"/>
        </w:rPr>
        <w:t>o</w:t>
      </w:r>
    </w:p>
    <w:p>
      <w:pPr>
        <w:spacing w:after="0" w:line="83" w:lineRule="exact"/>
        <w:rPr>
          <w:sz w:val="24"/>
          <w:szCs w:val="24"/>
          <w:color w:val="auto"/>
        </w:rPr>
      </w:pPr>
    </w:p>
    <w:p>
      <w:pPr>
        <w:sectPr>
          <w:pgSz w:w="11900" w:h="16838" w:orient="portrait"/>
          <w:cols w:equalWidth="0" w:num="5">
            <w:col w:w="2620" w:space="440"/>
            <w:col w:w="1480" w:space="100"/>
            <w:col w:w="1180" w:space="600"/>
            <w:col w:w="1320" w:space="460"/>
            <w:col w:w="2960"/>
          </w:cols>
          <w:pgMar w:left="320" w:top="1282" w:right="419" w:bottom="1440" w:gutter="0" w:footer="0" w:header="0"/>
          <w:type w:val="continuous"/>
        </w:sect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282" w:right="419" w:bottom="1440" w:gutter="0" w:footer="0" w:header="0"/>
          <w:type w:val="continuous"/>
        </w:sectPr>
      </w:pPr>
    </w:p>
    <w:p>
      <w:pPr>
        <w:spacing w:after="0" w:line="140"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3980" w:space="720"/>
            <w:col w:w="1440" w:space="660"/>
            <w:col w:w="4360"/>
          </w:cols>
          <w:pgMar w:left="320" w:top="1282" w:right="41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8"/>
          <w:szCs w:val="18"/>
          <w:color w:val="auto"/>
        </w:rPr>
        <w:t>Common Stock, par value $0.10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ODC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11" w:lineRule="exact"/>
        <w:rPr>
          <w:sz w:val="24"/>
          <w:szCs w:val="24"/>
          <w:color w:val="auto"/>
        </w:rPr>
      </w:pPr>
    </w:p>
    <w:p>
      <w:pPr>
        <w:sectPr>
          <w:pgSz w:w="11900" w:h="16838" w:orient="portrait"/>
          <w:cols w:equalWidth="0" w:num="3">
            <w:col w:w="3780" w:space="720"/>
            <w:col w:w="1160" w:space="720"/>
            <w:col w:w="4780"/>
          </w:cols>
          <w:pgMar w:left="320" w:top="1282" w:right="419" w:bottom="1440" w:gutter="0" w:footer="0" w:header="0"/>
          <w:type w:val="continuous"/>
        </w:sectPr>
      </w:pP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October 31, 2022.</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Common Stock – 5,108,320 Shares and Class B Stock – 2,045,415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82"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814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940" w:type="dxa"/>
            <w:vAlign w:val="bottom"/>
          </w:tcPr>
          <w:p>
            <w:pPr>
              <w:spacing w:after="0"/>
              <w:rPr>
                <w:sz w:val="24"/>
                <w:szCs w:val="24"/>
                <w:color w:val="auto"/>
              </w:rPr>
            </w:pPr>
          </w:p>
        </w:tc>
        <w:tc>
          <w:tcPr>
            <w:tcW w:w="814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040" w:type="dxa"/>
            <w:vAlign w:val="bottom"/>
            <w:gridSpan w:val="7"/>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204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1700" w:type="dxa"/>
            <w:vAlign w:val="bottom"/>
            <w:gridSpan w:val="5"/>
            <w:shd w:val="clear" w:color="auto" w:fill="CCEEFF"/>
          </w:tcPr>
          <w:p>
            <w:pPr>
              <w:jc w:val="center"/>
              <w:ind w:left="143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8140" w:type="dxa"/>
            <w:vAlign w:val="bottom"/>
            <w:shd w:val="clear" w:color="auto" w:fill="CCEEFF"/>
          </w:tcPr>
          <w:p>
            <w:pPr>
              <w:ind w:left="33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94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1A:</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6:</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28</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81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“strive,” and variations of such words and similar expressions are intended to identify such forward-looking statements, which are made pursuant to the safe harbor provisions of the Private Securities Litigation Reform Act of 1995.</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Such statements are subject to certain risks, uncertainties and assumptions that could cause actual results to differ materially, including, but not limited to, those described herein and in Item 1A, "Risk Factors", in our Annual Report on Form 10-K for the fiscal year ended July 31, 2022, and from time to time in our filings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TRADEMARK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and “Ultra-Clear” are registered trademarks of Oil-Dri Corporation of America.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9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and per share amounts)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90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260" w:type="dxa"/>
            <w:vAlign w:val="bottom"/>
          </w:tcPr>
          <w:p>
            <w:pPr>
              <w:spacing w:after="0"/>
              <w:rPr>
                <w:sz w:val="14"/>
                <w:szCs w:val="14"/>
                <w:color w:val="auto"/>
              </w:rPr>
            </w:pPr>
          </w:p>
        </w:tc>
        <w:tc>
          <w:tcPr>
            <w:tcW w:w="112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90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32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16,298</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Accounts receivable, less allowance of</w:t>
            </w: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53,062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$882 and $922 at October 31, 2022 and July 31, 2022, respectively</w:t>
            </w: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Prepaid repairs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114,336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114,681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287,546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283,240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(177,891)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(175,374)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0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 Assets</w:t>
            </w:r>
          </w:p>
        </w:tc>
        <w:tc>
          <w:tcPr>
            <w:tcW w:w="732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Trademarks and patents, net of accumulated amortization</w:t>
            </w:r>
          </w:p>
        </w:tc>
        <w:tc>
          <w:tcPr>
            <w:tcW w:w="1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 $527 and $524 at October 31, 2022 and July 31, 2022, respectively</w:t>
            </w:r>
          </w:p>
        </w:tc>
        <w:tc>
          <w:tcPr>
            <w:tcW w:w="18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Customer list, net of accumulated amortization</w:t>
            </w: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of $7,647 and $7,608 at October 31, 2022 and July 31, 2022, respectively</w:t>
            </w: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27,064</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249,113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160" w:type="dxa"/>
            <w:vAlign w:val="bottom"/>
          </w:tcPr>
          <w:p>
            <w:pPr>
              <w:spacing w:after="0"/>
              <w:rPr>
                <w:sz w:val="14"/>
                <w:szCs w:val="14"/>
                <w:color w:val="auto"/>
              </w:rPr>
            </w:pPr>
          </w:p>
        </w:tc>
        <w:tc>
          <w:tcPr>
            <w:tcW w:w="1440" w:type="dxa"/>
            <w:vAlign w:val="bottom"/>
            <w:gridSpan w:val="2"/>
          </w:tcPr>
          <w:p>
            <w:pPr>
              <w:jc w:val="center"/>
              <w:ind w:right="4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240" w:type="dxa"/>
            <w:vAlign w:val="bottom"/>
          </w:tcPr>
          <w:p>
            <w:pPr>
              <w:spacing w:after="0"/>
              <w:rPr>
                <w:sz w:val="14"/>
                <w:szCs w:val="14"/>
                <w:color w:val="auto"/>
              </w:rPr>
            </w:pPr>
          </w:p>
        </w:tc>
        <w:tc>
          <w:tcPr>
            <w:tcW w:w="110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54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6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notes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12,088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28,336</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45,292</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48,515</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Notes payable, net of unamortized debt issuance costs</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31,800</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 $200 and $202 at October 31, 2022 and July 31, 2022, respectively</w:t>
            </w:r>
          </w:p>
        </w:tc>
        <w:tc>
          <w:tcPr>
            <w:tcW w:w="16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3,884</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49,793</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50,747</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95,085</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99,262</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par value $.10 per share, issued 8,725,618 shares at October 31, 2022</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872</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8,686,768 shares at July 31, 2022</w:t>
            </w:r>
          </w:p>
        </w:tc>
        <w:tc>
          <w:tcPr>
            <w:tcW w:w="16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Class B Stock, par value $.10 per share, issued 2,397,056 shares at October 31, 2022</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and 2,397,056 shares at July 31, 2022</w:t>
            </w:r>
          </w:p>
        </w:tc>
        <w:tc>
          <w:tcPr>
            <w:tcW w:w="1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53,385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182,135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(2,576)</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60" w:type="dxa"/>
            <w:vAlign w:val="bottom"/>
            <w:gridSpan w:val="4"/>
          </w:tcPr>
          <w:p>
            <w:pPr>
              <w:ind w:left="120"/>
              <w:spacing w:after="0" w:line="156" w:lineRule="exact"/>
              <w:rPr>
                <w:sz w:val="20"/>
                <w:szCs w:val="20"/>
                <w:color w:val="auto"/>
              </w:rPr>
            </w:pPr>
            <w:r>
              <w:rPr>
                <w:rFonts w:ascii="Times New Roman" w:cs="Times New Roman" w:eastAsia="Times New Roman" w:hAnsi="Times New Roman"/>
                <w:sz w:val="18"/>
                <w:szCs w:val="18"/>
                <w:color w:val="auto"/>
              </w:rPr>
              <w:t>Less Treasury Stock, at cost (3,617,298 Common and 351,641 Class B shares at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(79,648)</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826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8"/>
                <w:szCs w:val="18"/>
                <w:color w:val="auto"/>
              </w:rPr>
              <w:t>October 31, 2022 and 3,609,938 Common and 351,641 Class B shares at July 31, 2022)</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(79,428)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154,028</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249,113</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4"/>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41"/>
        </w:trPr>
        <w:tc>
          <w:tcPr>
            <w:tcW w:w="8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940" w:type="dxa"/>
            <w:vAlign w:val="bottom"/>
            <w:tcBorders>
              <w:bottom w:val="single" w:sz="8" w:color="auto"/>
            </w:tcBorders>
          </w:tcPr>
          <w:p>
            <w:pPr>
              <w:spacing w:after="0"/>
              <w:rPr>
                <w:sz w:val="20"/>
                <w:szCs w:val="20"/>
                <w:color w:val="auto"/>
              </w:rPr>
            </w:pPr>
          </w:p>
        </w:tc>
      </w:tr>
      <w:tr>
        <w:trPr>
          <w:trHeight w:val="225"/>
        </w:trPr>
        <w:tc>
          <w:tcPr>
            <w:tcW w:w="8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29"/>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98,539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82,460</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(76,229)</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(68,642)</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22,310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13,818</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(15,741)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(13,373)</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148"/>
        </w:trPr>
        <w:tc>
          <w:tcPr>
            <w:tcW w:w="8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3"/>
        </w:trPr>
        <w:tc>
          <w:tcPr>
            <w:tcW w:w="8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Total Other (Expense) Income, Net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5,230</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Noncontrolling Interest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5,241</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0.80</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0.78</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Class B Common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Common (1)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r>
      <w:tr>
        <w:trPr>
          <w:trHeight w:val="230"/>
        </w:trPr>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Class B Common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0.2800</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0.2700</w:t>
            </w: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0.2100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0.2025</w:t>
            </w:r>
          </w:p>
        </w:tc>
      </w:tr>
    </w:tbl>
    <w:p>
      <w:pPr>
        <w:spacing w:after="0" w:line="306" w:lineRule="exact"/>
        <w:rPr>
          <w:sz w:val="20"/>
          <w:szCs w:val="20"/>
          <w:color w:val="auto"/>
        </w:rPr>
      </w:pPr>
    </w:p>
    <w:p>
      <w:pPr>
        <w:ind w:left="260" w:hanging="252"/>
        <w:spacing w:after="0" w:line="282" w:lineRule="auto"/>
        <w:tabs>
          <w:tab w:leader="none" w:pos="28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Basic Common potential common stock equivalents related to non-vested restricted stock of 6 thousand shares was excluded from the computation of average diluted shares outstanding for the three months ended October 31, 2022 as inclusion would have been anti-dilutive.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2600" w:type="dxa"/>
            <w:vAlign w:val="bottom"/>
            <w:gridSpan w:val="4"/>
          </w:tcPr>
          <w:p>
            <w:pPr>
              <w:jc w:val="center"/>
              <w:ind w:left="250"/>
              <w:spacing w:after="0" w:line="169" w:lineRule="exact"/>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40" w:type="dxa"/>
            <w:vAlign w:val="bottom"/>
          </w:tcPr>
          <w:p>
            <w:pPr>
              <w:spacing w:after="0"/>
              <w:rPr>
                <w:sz w:val="14"/>
                <w:szCs w:val="14"/>
                <w:color w:val="auto"/>
              </w:rPr>
            </w:pPr>
          </w:p>
        </w:tc>
      </w:tr>
      <w:tr>
        <w:trPr>
          <w:trHeight w:val="241"/>
        </w:trPr>
        <w:tc>
          <w:tcPr>
            <w:tcW w:w="8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340" w:type="dxa"/>
            <w:vAlign w:val="bottom"/>
            <w:tcBorders>
              <w:bottom w:val="single" w:sz="8" w:color="auto"/>
            </w:tcBorders>
          </w:tcPr>
          <w:p>
            <w:pPr>
              <w:spacing w:after="0"/>
              <w:rPr>
                <w:sz w:val="20"/>
                <w:szCs w:val="20"/>
                <w:color w:val="auto"/>
              </w:rPr>
            </w:pPr>
          </w:p>
        </w:tc>
      </w:tr>
      <w:tr>
        <w:trPr>
          <w:trHeight w:val="225"/>
        </w:trPr>
        <w:tc>
          <w:tcPr>
            <w:tcW w:w="8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r>
      <w:tr>
        <w:trPr>
          <w:trHeight w:val="237"/>
        </w:trPr>
        <w:tc>
          <w:tcPr>
            <w:tcW w:w="8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5,241</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585</w:t>
            </w:r>
          </w:p>
        </w:tc>
      </w:tr>
      <w:tr>
        <w:trPr>
          <w:trHeight w:val="256"/>
        </w:trPr>
        <w:tc>
          <w:tcPr>
            <w:tcW w:w="8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postretirement benefits (net of tax)</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2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(34)</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2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4,848</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578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ectPr>
          <w:pgSz w:w="11900" w:h="16838" w:orient="portrait"/>
          <w:cols w:equalWidth="0" w:num="1">
            <w:col w:w="11220"/>
          </w:cols>
          <w:pgMar w:left="320" w:top="887" w:right="359" w:bottom="9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983" w:gutter="0" w:footer="0" w:header="0"/>
          <w:type w:val="continuous"/>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38" w:lineRule="exact"/>
        <w:rPr>
          <w:sz w:val="20"/>
          <w:szCs w:val="20"/>
          <w:color w:val="auto"/>
        </w:rPr>
      </w:pPr>
    </w:p>
    <w:tbl>
      <w:tblPr>
        <w:tblLayout w:type="fixed"/>
        <w:tblInd w:w="2040" w:type="dxa"/>
        <w:tblCellMar>
          <w:top w:w="0" w:type="dxa"/>
          <w:left w:w="0" w:type="dxa"/>
          <w:bottom w:w="0" w:type="dxa"/>
          <w:right w:w="0" w:type="dxa"/>
        </w:tblCellMar>
      </w:tblPr>
      <w:tr>
        <w:trPr>
          <w:trHeight w:val="160"/>
        </w:trPr>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20" w:type="dxa"/>
            <w:vAlign w:val="bottom"/>
            <w:gridSpan w:val="3"/>
          </w:tcPr>
          <w:p>
            <w:pPr>
              <w:jc w:val="center"/>
              <w:ind w:left="479"/>
              <w:spacing w:after="0"/>
              <w:rPr>
                <w:sz w:val="20"/>
                <w:szCs w:val="20"/>
                <w:color w:val="auto"/>
              </w:rPr>
            </w:pPr>
            <w:r>
              <w:rPr>
                <w:rFonts w:ascii="Times New Roman" w:cs="Times New Roman" w:eastAsia="Times New Roman" w:hAnsi="Times New Roman"/>
                <w:sz w:val="12"/>
                <w:szCs w:val="12"/>
                <w:b w:val="1"/>
                <w:bCs w:val="1"/>
                <w:color w:val="auto"/>
              </w:rPr>
              <w:t>For the Three Months Ended October 31</w:t>
            </w: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2"/>
                <w:szCs w:val="12"/>
                <w:color w:val="auto"/>
              </w:rPr>
              <w:t>Number of Shares</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Common &amp; Class</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Treasury Stock</w:t>
            </w: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rPr>
              <w:t>Common &amp;</w:t>
            </w:r>
          </w:p>
        </w:tc>
        <w:tc>
          <w:tcPr>
            <w:tcW w:w="1120" w:type="dxa"/>
            <w:vAlign w:val="bottom"/>
          </w:tcPr>
          <w:p>
            <w:pPr>
              <w:jc w:val="center"/>
              <w:ind w:right="19"/>
              <w:spacing w:after="0" w:line="122" w:lineRule="exact"/>
              <w:rPr>
                <w:sz w:val="20"/>
                <w:szCs w:val="20"/>
                <w:color w:val="auto"/>
              </w:rPr>
            </w:pPr>
            <w:r>
              <w:rPr>
                <w:rFonts w:ascii="Times New Roman" w:cs="Times New Roman" w:eastAsia="Times New Roman" w:hAnsi="Times New Roman"/>
                <w:sz w:val="12"/>
                <w:szCs w:val="12"/>
                <w:color w:val="auto"/>
              </w:rPr>
              <w:t>Additional Paid-</w:t>
            </w:r>
          </w:p>
        </w:tc>
        <w:tc>
          <w:tcPr>
            <w:tcW w:w="940" w:type="dxa"/>
            <w:vAlign w:val="bottom"/>
          </w:tcPr>
          <w:p>
            <w:pPr>
              <w:ind w:left="220"/>
              <w:spacing w:after="0" w:line="122" w:lineRule="exact"/>
              <w:rPr>
                <w:sz w:val="20"/>
                <w:szCs w:val="20"/>
                <w:color w:val="auto"/>
              </w:rPr>
            </w:pPr>
            <w:r>
              <w:rPr>
                <w:rFonts w:ascii="Times New Roman" w:cs="Times New Roman" w:eastAsia="Times New Roman" w:hAnsi="Times New Roman"/>
                <w:sz w:val="12"/>
                <w:szCs w:val="12"/>
                <w:color w:val="auto"/>
              </w:rPr>
              <w:t>Retained</w:t>
            </w:r>
          </w:p>
        </w:tc>
        <w:tc>
          <w:tcPr>
            <w:tcW w:w="8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Treasury Stock</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rPr>
              <w:t>Accumulated Other</w:t>
            </w: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rPr>
              <w:t>Non-controlling</w:t>
            </w: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rPr>
              <w:t>Total Stockholders'</w:t>
            </w:r>
          </w:p>
        </w:tc>
        <w:tc>
          <w:tcPr>
            <w:tcW w:w="0" w:type="dxa"/>
            <w:vAlign w:val="bottom"/>
          </w:tcPr>
          <w:p>
            <w:pPr>
              <w:spacing w:after="0"/>
              <w:rPr>
                <w:sz w:val="1"/>
                <w:szCs w:val="1"/>
                <w:color w:val="auto"/>
              </w:rPr>
            </w:pPr>
          </w:p>
        </w:tc>
      </w:tr>
      <w:tr>
        <w:trPr>
          <w:trHeight w:val="158"/>
        </w:trPr>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B Stock</w:t>
            </w:r>
          </w:p>
        </w:tc>
        <w:tc>
          <w:tcPr>
            <w:tcW w:w="880" w:type="dxa"/>
            <w:vAlign w:val="bottom"/>
            <w:vMerge w:val="continue"/>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Class B Stock</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2"/>
                <w:szCs w:val="12"/>
                <w:color w:val="auto"/>
              </w:rPr>
              <w:t>In Capital</w:t>
            </w:r>
          </w:p>
        </w:tc>
        <w:tc>
          <w:tcPr>
            <w:tcW w:w="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Earnings</w:t>
            </w:r>
          </w:p>
        </w:tc>
        <w:tc>
          <w:tcPr>
            <w:tcW w:w="860" w:type="dxa"/>
            <w:vAlign w:val="bottom"/>
            <w:vMerge w:val="continue"/>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Comprehensive Loss</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Interest</w:t>
            </w:r>
          </w:p>
        </w:tc>
        <w:tc>
          <w:tcPr>
            <w:tcW w:w="1120" w:type="dxa"/>
            <w:vAlign w:val="bottom"/>
          </w:tcPr>
          <w:p>
            <w:pPr>
              <w:jc w:val="center"/>
              <w:ind w:left="19"/>
              <w:spacing w:after="0"/>
              <w:rPr>
                <w:sz w:val="20"/>
                <w:szCs w:val="20"/>
                <w:color w:val="auto"/>
              </w:rPr>
            </w:pPr>
            <w:r>
              <w:rPr>
                <w:rFonts w:ascii="Times New Roman" w:cs="Times New Roman" w:eastAsia="Times New Roman" w:hAnsi="Times New Roman"/>
                <w:sz w:val="12"/>
                <w:szCs w:val="12"/>
                <w:color w:val="auto"/>
                <w:w w:val="99"/>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July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10,958,367</w:t>
            </w: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(3,539,193)</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1,096</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48,271</w:t>
            </w: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180,443</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(66,154)</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(4,117)</w:t>
            </w: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(307)</w:t>
            </w: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159,232</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(1,864)</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(65,767)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(2,291)</w:t>
            </w:r>
          </w:p>
        </w:tc>
        <w:tc>
          <w:tcPr>
            <w:tcW w:w="0" w:type="dxa"/>
            <w:vAlign w:val="bottom"/>
          </w:tcPr>
          <w:p>
            <w:pPr>
              <w:spacing w:after="0"/>
              <w:rPr>
                <w:sz w:val="1"/>
                <w:szCs w:val="1"/>
                <w:color w:val="auto"/>
              </w:rPr>
            </w:pPr>
          </w:p>
        </w:tc>
      </w:tr>
      <w:tr>
        <w:trPr>
          <w:trHeight w:val="122"/>
        </w:trPr>
        <w:tc>
          <w:tcPr>
            <w:tcW w:w="204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74,657</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(13,550)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470</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(477)</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October 31, 2021</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11,033,024</w:t>
            </w:r>
          </w:p>
        </w:tc>
        <w:tc>
          <w:tcPr>
            <w:tcW w:w="1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(3,618,510)</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1,103</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49,377</w:t>
            </w:r>
          </w:p>
        </w:tc>
        <w:tc>
          <w:tcPr>
            <w:tcW w:w="16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179,164</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(68,922)</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(4,124)</w:t>
            </w:r>
          </w:p>
        </w:tc>
        <w:tc>
          <w:tcPr>
            <w:tcW w:w="12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(297)</w:t>
            </w:r>
          </w:p>
        </w:tc>
        <w:tc>
          <w:tcPr>
            <w:tcW w:w="12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156,301</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July 31, 2022</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11,083,824</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(3,961,579)</w:t>
            </w:r>
          </w:p>
        </w:tc>
        <w:tc>
          <w:tcPr>
            <w:tcW w:w="100" w:type="dxa"/>
            <w:vAlign w:val="bottom"/>
          </w:tcPr>
          <w:p>
            <w:pPr>
              <w:spacing w:after="0"/>
              <w:rPr>
                <w:sz w:val="14"/>
                <w:szCs w:val="14"/>
                <w:color w:val="auto"/>
              </w:rPr>
            </w:pP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1,108</w:t>
            </w:r>
          </w:p>
        </w:tc>
        <w:tc>
          <w:tcPr>
            <w:tcW w:w="120" w:type="dxa"/>
            <w:vAlign w:val="bottom"/>
          </w:tcPr>
          <w:p>
            <w:pPr>
              <w:spacing w:after="0"/>
              <w:rPr>
                <w:sz w:val="14"/>
                <w:szCs w:val="14"/>
                <w:color w:val="auto"/>
              </w:rPr>
            </w:pP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52,467</w:t>
            </w:r>
          </w:p>
        </w:tc>
        <w:tc>
          <w:tcPr>
            <w:tcW w:w="160" w:type="dxa"/>
            <w:vAlign w:val="bottom"/>
          </w:tcPr>
          <w:p>
            <w:pPr>
              <w:spacing w:after="0"/>
              <w:rPr>
                <w:sz w:val="14"/>
                <w:szCs w:val="14"/>
                <w:color w:val="auto"/>
              </w:rPr>
            </w:pP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178,754</w:t>
            </w:r>
          </w:p>
        </w:tc>
        <w:tc>
          <w:tcPr>
            <w:tcW w:w="120" w:type="dxa"/>
            <w:vAlign w:val="bottom"/>
          </w:tcPr>
          <w:p>
            <w:pPr>
              <w:spacing w:after="0"/>
              <w:rPr>
                <w:sz w:val="14"/>
                <w:szCs w:val="14"/>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(79,428)</w:t>
            </w:r>
          </w:p>
        </w:tc>
        <w:tc>
          <w:tcPr>
            <w:tcW w:w="100" w:type="dxa"/>
            <w:vAlign w:val="bottom"/>
          </w:tcPr>
          <w:p>
            <w:pPr>
              <w:spacing w:after="0"/>
              <w:rPr>
                <w:sz w:val="14"/>
                <w:szCs w:val="14"/>
                <w:color w:val="auto"/>
              </w:rPr>
            </w:pPr>
          </w:p>
        </w:tc>
        <w:tc>
          <w:tcPr>
            <w:tcW w:w="440" w:type="dxa"/>
            <w:vAlign w:val="bottom"/>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(2,183)</w:t>
            </w:r>
          </w:p>
        </w:tc>
        <w:tc>
          <w:tcPr>
            <w:tcW w:w="12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(369)</w:t>
            </w:r>
          </w:p>
        </w:tc>
        <w:tc>
          <w:tcPr>
            <w:tcW w:w="120" w:type="dxa"/>
            <w:vAlign w:val="bottom"/>
          </w:tcPr>
          <w:p>
            <w:pPr>
              <w:spacing w:after="0"/>
              <w:rPr>
                <w:sz w:val="14"/>
                <w:szCs w:val="14"/>
                <w:color w:val="auto"/>
              </w:rPr>
            </w:pPr>
          </w:p>
        </w:tc>
        <w:tc>
          <w:tcPr>
            <w:tcW w:w="320" w:type="dxa"/>
            <w:vAlign w:val="bottom"/>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150,349</w:t>
            </w: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5,230</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(1,860)</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38,850</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w:t>
            </w:r>
          </w:p>
        </w:tc>
        <w:tc>
          <w:tcPr>
            <w:tcW w:w="0" w:type="dxa"/>
            <w:vAlign w:val="bottom"/>
          </w:tcPr>
          <w:p>
            <w:pPr>
              <w:spacing w:after="0"/>
              <w:rPr>
                <w:sz w:val="1"/>
                <w:szCs w:val="1"/>
                <w:color w:val="auto"/>
              </w:rPr>
            </w:pPr>
          </w:p>
        </w:tc>
      </w:tr>
      <w:tr>
        <w:trPr>
          <w:trHeight w:val="200"/>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October 31,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11,122,674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(3,968,939)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1,112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53,385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182,135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(79,648)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154,028</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4"/>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26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Pr>
          <w:p>
            <w:pPr>
              <w:spacing w:after="0"/>
              <w:rPr>
                <w:sz w:val="16"/>
                <w:szCs w:val="16"/>
                <w:color w:val="auto"/>
              </w:rPr>
            </w:pPr>
          </w:p>
        </w:tc>
        <w:tc>
          <w:tcPr>
            <w:tcW w:w="110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Provision for bad debts and cash discounts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the disposals of property, plant and equipment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(Increase) Decrease in assets: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(Decrease) in 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44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(1,562)</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3,668</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(7,521)</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(7,521)</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CCEEFF"/>
            </w:tcBorders>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(1,943)</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16,298</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82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10,470</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8260" w:type="dxa"/>
            <w:vAlign w:val="bottom"/>
            <w:tcBorders>
              <w:top w:val="single" w:sz="8" w:color="CCEEFF"/>
              <w:bottom w:val="single" w:sz="8" w:color="CCEEFF"/>
            </w:tcBorders>
            <w:gridSpan w:val="4"/>
            <w:vMerge w:val="restart"/>
          </w:tcPr>
          <w:p>
            <w:pPr>
              <w:ind w:left="554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0" w:type="dxa"/>
            <w:vAlign w:val="bottom"/>
            <w:vMerge w:val="continue"/>
          </w:tcPr>
          <w:p>
            <w:pPr>
              <w:spacing w:after="0"/>
              <w:rPr>
                <w:sz w:val="24"/>
                <w:szCs w:val="24"/>
                <w:color w:val="auto"/>
              </w:rPr>
            </w:pPr>
          </w:p>
        </w:tc>
        <w:tc>
          <w:tcPr>
            <w:tcW w:w="826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4"/>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41"/>
        </w:trPr>
        <w:tc>
          <w:tcPr>
            <w:tcW w:w="8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8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payments, net of amounts capitalized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(refunds) payments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w w:val="99"/>
              </w:rPr>
              <w:t>(87)</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 accrued, but not paid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and accrued, but not paid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right="4920" w:firstLine="8"/>
        <w:spacing w:after="0" w:line="53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2022 included in our Annual Report on Form 10-K filed with the SEC.</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months ended October 31, 2022 are not necessarily an indication of the results that may be expected for the fiscal year ending July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Use of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preparation of the unaudited Condensed Consolidated Financial Statements in conformity with U.S. GAAP requires management to make estimates and assumptions that affect the reported amounts of assets, liabilities, revenues and expenses during the reporting period, as well as the related disclosures. Estimates and assumptions about future events cannot be made with certainty. All of our estimates and assumptions are revised periodically. Actual results could differ from these estimates. For more information see "Critical Accounting Policies and Estimates" in Item 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Management's Discussion and Analysis of Financial Condition and Results of Operations.</w:t>
      </w:r>
      <w:r>
        <w:rPr>
          <w:rFonts w:ascii="Times New Roman" w:cs="Times New Roman" w:eastAsia="Times New Roman" w:hAnsi="Times New Roman"/>
          <w:sz w:val="18"/>
          <w:szCs w:val="18"/>
          <w:i w:val="1"/>
          <w:iCs w:val="1"/>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which are summarized in detail in our Annual Report on Form 10-K for the fiscal year ended July 31, 2022, have not materially changed. The following is a description of certain of our significant accounting policies.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Trade Receivables. </w:t>
      </w:r>
      <w:r>
        <w:rPr>
          <w:rFonts w:ascii="Times New Roman" w:cs="Times New Roman" w:eastAsia="Times New Roman" w:hAnsi="Times New Roman"/>
          <w:sz w:val="18"/>
          <w:szCs w:val="18"/>
          <w:color w:val="auto"/>
        </w:rPr>
        <w:t>We recognize trade receivables when control of finished products are transferred to our customers. We record an allowance for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based on our expectations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Overburden Removal and Mining Costs. </w:t>
      </w:r>
      <w:r>
        <w:rPr>
          <w:rFonts w:ascii="Times New Roman" w:cs="Times New Roman" w:eastAsia="Times New Roman" w:hAnsi="Times New Roman"/>
          <w:sz w:val="18"/>
          <w:szCs w:val="18"/>
          <w:color w:val="auto"/>
        </w:rPr>
        <w:t>We mine sorbent materials on property that we either own or lease as part of our overall operations.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during the development phase associated with opening a new mine.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Reclamation. </w:t>
      </w:r>
      <w:r>
        <w:rPr>
          <w:rFonts w:ascii="Times New Roman" w:cs="Times New Roman" w:eastAsia="Times New Roman" w:hAnsi="Times New Roman"/>
          <w:sz w:val="18"/>
          <w:szCs w:val="18"/>
          <w:color w:val="auto"/>
        </w:rPr>
        <w:t>We perform ongoing reclamation activities during the normal course of our overburden removal. As overburden is removed from a mine 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an annual basis we evaluate our potential reclamation liability in accordance with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The reclamation assets are depreciated over the estimated useful lives of the various mines. The reclamation liabilities are increased based on a yearly accretion charge over the estimated useful lives of the mines.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ASC 842,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provides that a contract is, or contains, a lease if it conveys the right to control the use of an identified asset and, accordingly,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liability and a related right-of-use (“ROU”) asset is recognized at the commencement date on our consolidated balance sheet. As provided in ASC 842, we have elected not to apply these measurement and recognition requirements to short-term leases (i.e., leases with a term of 12 months or less). Short-term leases will not be recorded as ROU assets or lease liabilities on our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used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leases provide for variable lease payments that vary due to changes in facts and circumstances occurring after the commencement date, other than the passage of time. Variable lease payments that are dependent on an index or rate (e.g., Consumer 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We recognize revenue when performance obligations under the terms of the contracts with customers are satisfied. Our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and any related obligations.</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$0.5 million at both October 31, 2022 and July 31, 2022. This liability is reported in Other within Accrued Expenses on the unaudited Condensed Consolidated Balance Sheet. Revenue recognized during the three months ended October 31, 2022 that was included in the liability for advance payments at the beginning of the period was $0.3 million.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1" w:name="page12"/>
    <w:bookmarkEnd w:id="11"/>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(“SG&amp;A”) include salaries, wages and benefits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Current and Noncurrent Liabilities. </w:t>
      </w:r>
      <w:r>
        <w:rPr>
          <w:rFonts w:ascii="Times New Roman" w:cs="Times New Roman" w:eastAsia="Times New Roman" w:hAnsi="Times New Roman"/>
          <w:sz w:val="18"/>
          <w:szCs w:val="18"/>
          <w:color w:val="auto"/>
        </w:rPr>
        <w:t>Other liabilities include the accruals for general expenses not yet paid, cash collected not yet vouchered,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reserves, and reclamation liability accrual. Current liabilities are due to be paid within the next 12 months. Included in current Other within Accrued Expenses on the unaudited Condensed Consolidated Balance Sheet is the remaining $1.2 million accrual for payroll taxes which were originally deferred as a result of the Coronavirus Aid, Relief, and Economic Security Act (the “CARES Act”) which was signed into U.S. law in 2020. Noncurrent other liabilities is primarily comprised of our reclamation liability.</w:t>
      </w:r>
    </w:p>
    <w:p>
      <w:pPr>
        <w:spacing w:after="0" w:line="206" w:lineRule="exact"/>
        <w:rPr>
          <w:sz w:val="20"/>
          <w:szCs w:val="20"/>
          <w:color w:val="auto"/>
        </w:rPr>
      </w:pPr>
    </w:p>
    <w:p>
      <w:pPr>
        <w:ind w:right="5680" w:firstLine="8"/>
        <w:spacing w:after="0" w:line="509"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 AND REGULATIONS Recently Adopted Accounting Pronouncements</w:t>
      </w:r>
    </w:p>
    <w:p>
      <w:pPr>
        <w:spacing w:after="0" w:line="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2020, the FASB issued guidance under ASC 848,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This guidance provides optional expedients and exceptions to account for debt, leases, contracts, hedging relationships and other transactions that reference LIBOR or another reference rate if certain criteria are met. The guidance is effective immediately and may be applied prospectively to contract modifications made and hedging relationships entered into or evaluated on or before December 31, 2022. On August 30, 2022 we amended our debt agreements to replace the LIBOR-based reference rate with an adjusted term Secured Overnight Financing Rate (SOFR), ASC 848 will allow us to account for the modification as a continuation of the existing contract without additional analysis.</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other accounting pronouncements issued but not yet adopted by us which are expected to have a material impact on our Consolidated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inventories is as follows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24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1880" w:type="dxa"/>
            <w:vAlign w:val="bottom"/>
          </w:tcPr>
          <w:p>
            <w:pPr>
              <w:spacing w:after="0"/>
              <w:rPr>
                <w:sz w:val="20"/>
                <w:szCs w:val="20"/>
                <w:color w:val="auto"/>
              </w:rPr>
            </w:pPr>
          </w:p>
        </w:tc>
        <w:tc>
          <w:tcPr>
            <w:tcW w:w="4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21,523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18,142</w:t>
            </w:r>
          </w:p>
        </w:tc>
      </w:tr>
      <w:tr>
        <w:trPr>
          <w:trHeight w:val="230"/>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10,091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9,515</w:t>
            </w:r>
          </w:p>
        </w:tc>
      </w:tr>
      <w:tr>
        <w:trPr>
          <w:trHeight w:val="230"/>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8,805</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w:t>
            </w:r>
          </w:p>
        </w:tc>
      </w:tr>
      <w:tr>
        <w:trPr>
          <w:trHeight w:val="223"/>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40,419</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35,562</w:t>
            </w:r>
          </w:p>
        </w:tc>
      </w:tr>
      <w:tr>
        <w:trPr>
          <w:trHeight w:val="20"/>
        </w:trPr>
        <w:tc>
          <w:tcPr>
            <w:tcW w:w="1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valued at the lower of cost (first-in, first-out) or net realizable value. Inventory costs include the cost of raw materials, packaging supplies, labor and other overhead costs. The inventory obsolescence reserve was $0.8 million at both October 31, 2022 and July 31, 2022. Inventories have increased due to a combination of rising costs and building inventory levels for anticipated demand.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Observable market-based inputs for similar assets or liabilities or valuation models whose inputs are observable, directly or indirectly.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Unobservable inputs.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are primarily money market mutual funds classified as Level 1. We had no cash equivalents as of October 31, 2022 and July 31, 2022.</w:t>
      </w:r>
    </w:p>
    <w:p>
      <w:pPr>
        <w:sectPr>
          <w:pgSz w:w="11900" w:h="16838" w:orient="portrait"/>
          <w:cols w:equalWidth="0" w:num="1">
            <w:col w:w="11240"/>
          </w:cols>
          <w:pgMar w:left="320" w:top="1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Balances of accounts receivable and accounts payable approximated their fair values at October 31, 2022 and July 31, 2022 due to the short maturity and nature of those balances.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Notes payable are reported at the face amount of future maturities. The estimated fair value of notes payable, including current maturities, was $30.1 million and $31.8 million as of October 31, 2022 and July 31, 2022, respectively, and are classified as Level 2. The fair value was estimated using the exit price notion of fair value.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the unaudited Condensed Consolidated Financial Statements for further information about goodwill and other intangible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other than goodwill, include trademarks, patents, customer lists and product registrations. Intangible amortization expense was $0.1 million in both the first three months of fiscal years 2023 and 2022. Estimated intangible amortization for the remainder of fiscal year 2023 is $0.2 million. Estimated intangible amortization for the next five fiscal years is as follows (in thousands):</w:t>
      </w:r>
    </w:p>
    <w:p>
      <w:pPr>
        <w:spacing w:after="0" w:line="100" w:lineRule="exact"/>
        <w:rPr>
          <w:sz w:val="20"/>
          <w:szCs w:val="20"/>
          <w:color w:val="auto"/>
        </w:rPr>
      </w:pPr>
    </w:p>
    <w:tbl>
      <w:tblPr>
        <w:tblLayout w:type="fixed"/>
        <w:tblInd w:w="4400" w:type="dxa"/>
        <w:tblCellMar>
          <w:top w:w="0" w:type="dxa"/>
          <w:left w:w="0" w:type="dxa"/>
          <w:bottom w:w="0" w:type="dxa"/>
          <w:right w:w="0" w:type="dxa"/>
        </w:tblCellMar>
      </w:tblPr>
      <w:tr>
        <w:trPr>
          <w:trHeight w:val="229"/>
        </w:trPr>
        <w:tc>
          <w:tcPr>
            <w:tcW w:w="9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99"/>
              </w:rPr>
              <w:t>2024</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9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2025</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9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99"/>
              </w:rPr>
              <w:t>2026</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9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2027</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9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99"/>
              </w:rPr>
              <w:t>2028</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one acquired trademark recorded at a cost of $0.4 million that was determined to have an indefinite life and is not amortized.</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performed our goodwill impairment analysis on our Retail and Wholesale Products Group and Business to Business Products Group reporting units in the third quarter of fiscal year 2022. As a result we identified goodwill impairment of $5.6 million which left no remaining goodwill in the Retail and Wholesale Products Group reporting unit and no impairment was identified for the Business to Business Products Group.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aware of any triggering events in the first quarter of fiscal year 2023 that would indicate a new impairment analysis is needed.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is as follows (in thousands):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5"/>
        </w:trPr>
        <w:tc>
          <w:tcPr>
            <w:tcW w:w="1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24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1720" w:type="dxa"/>
            <w:vAlign w:val="bottom"/>
          </w:tcPr>
          <w:p>
            <w:pPr>
              <w:spacing w:after="0"/>
              <w:rPr>
                <w:sz w:val="20"/>
                <w:szCs w:val="20"/>
                <w:color w:val="auto"/>
              </w:rPr>
            </w:pPr>
          </w:p>
        </w:tc>
        <w:tc>
          <w:tcPr>
            <w:tcW w:w="49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Wages, Commissions and Employee Benefits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11,145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13,439</w:t>
            </w:r>
          </w:p>
        </w:tc>
      </w:tr>
      <w:tr>
        <w:trPr>
          <w:trHeight w:val="229"/>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promotions and advertising</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r>
      <w:tr>
        <w:trPr>
          <w:trHeight w:val="230"/>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Tax</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10,308</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w:t>
            </w:r>
          </w:p>
        </w:tc>
      </w:tr>
      <w:tr>
        <w:trPr>
          <w:trHeight w:val="223"/>
        </w:trPr>
        <w:tc>
          <w:tcPr>
            <w:tcW w:w="17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28,336</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30,085</w:t>
            </w:r>
          </w:p>
        </w:tc>
      </w:tr>
      <w:tr>
        <w:trPr>
          <w:trHeight w:val="20"/>
        </w:trPr>
        <w:tc>
          <w:tcPr>
            <w:tcW w:w="17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salaries, wages, commissions and employee benefits relates primarily to the payment of annual bonuses during the first quarter of fiscal year 2023. Real estate tax increased with regular accruals of property tax for various locations including plants and is offset by payments typically made in the second quarter of the fiscal year. The increase in freight cost is primarily due to increase in fuel prices, tight truck capacity, ongoing driver shortages, and supply chain issues. The accrual for other is lower at October 31, 2022 than July 31, 2022 due to a decrease in the legal accrual offset by increases in other payables due to rising costs and timing of certain purchases and expenses.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7. OTHER CONTINGENCIES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party to various legal actions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 In June 2020, the Company received notice from a former service provider alleging a breach of contract regarding the payment of a contingency fee. Such party subsequently, in July 2020, filed a lawsuit seeking to require the Company to participate in binding mediation regarding this matter. Although we believe this claim to be without merit, as of July 31, 2020, we determined a reasonable estimate of this liability within a range, with no amount within that range being a better estimate than any other amount, and therefore recorded that estimate in Other within Accrued expenses. There have been no changes during fiscal 2022 or the three months ended October 31, 2022 that would have changed this estimate. We believe that any loss related to this matter is unlikely to be material. However, the outcome of this legal matter is subject to significant uncertainties. The ability to predict the ultimate outcome of this legal matter involves judgments, estimates and inherent uncertainties. The actual outcome could differ materially from management’s estimates.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30, 2022, we entered into (i) the Sixth Amendment to Credit Agreement (the “Sixth Amendment”), which amends the Credit Agreement, dated as of January 27, 2006 (as previously amended, the “Credit Agreement”), among us, BMO Harris Bank N.A (“BMO”), and certain of our domestic subsidiaries; and (ii) Amendment No. 3 (the “Third Amendment”) to our Amended and Restated Note Purchase and Private Shelf Agreement, dated as of May 15, 2020 (as previously amended, the “Note Agreement”), with PGIM, Inc. (“Prudential”) and certain existing noteholders affiliated with Prudential named therein.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Sixth Amendment amended the Credit Agreement to, among other things: extend the facility termination date to August 30, 2027; replace the LIBOR-based reference rate with an adjusted term Secured Overnight Financing Rate (“SOFR”); revise the method for calculating consolidated EBITDA and consolidated debt for purposes of the Credit Agreement; modify certain restrictive covenants, including increasing the unsecured indebtedness basket from $50 million to $75 million; and revise the existing financial covenants by replacing the consolidated debt covenant with a covenant to maintain a maximum debt to earnings ratio, lowering the minimum fixed charge coverage ratio level and revising the method for calculating the fixed charge coverage ratio.</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Third Amendment amended the Note Agreement to, among other things, modify the existing fixed charge coverage financial covenant and replace the existing consolidated debt financial covenant with a maximum debt to earnings ratio and effect certain changes consistent with the Sixth Amendment, including modifying the method for calculating consolidated EBITDA and the excess leverage fee.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unaudited Condensed Consolidated Financial Statements.</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 material finance leases, and variable costs for operating leases are immaterial for the three months ended October 31, 2022. Operating lease costs are included in Cost of Sales or SG&amp;A expenses based on the nature of the lease. The following table summarizes total lease costs for our operating leases (in thousands):</w:t>
      </w:r>
    </w:p>
    <w:p>
      <w:pPr>
        <w:spacing w:after="0" w:line="83" w:lineRule="exact"/>
        <w:rPr>
          <w:sz w:val="20"/>
          <w:szCs w:val="20"/>
          <w:color w:val="auto"/>
        </w:rPr>
      </w:pPr>
    </w:p>
    <w:p>
      <w:pPr>
        <w:jc w:val="center"/>
        <w:ind w:left="22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jc w:val="center"/>
        <w:ind w:left="2260"/>
        <w:spacing w:after="0"/>
        <w:rPr>
          <w:sz w:val="20"/>
          <w:szCs w:val="20"/>
          <w:color w:val="auto"/>
        </w:rPr>
      </w:pPr>
      <w:r>
        <w:rPr>
          <w:rFonts w:ascii="Times New Roman" w:cs="Times New Roman" w:eastAsia="Times New Roman" w:hAnsi="Times New Roman"/>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13335</wp:posOffset>
            </wp:positionV>
            <wp:extent cx="16973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9" w:lineRule="exact"/>
        <w:rPr>
          <w:sz w:val="20"/>
          <w:szCs w:val="20"/>
          <w:color w:val="auto"/>
        </w:rPr>
      </w:pPr>
    </w:p>
    <w:tbl>
      <w:tblPr>
        <w:tblLayout w:type="fixed"/>
        <w:tblInd w:w="316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0"/>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cost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133"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jc w:val="center"/>
        <w:ind w:left="4380"/>
        <w:spacing w:after="0"/>
        <w:rPr>
          <w:sz w:val="20"/>
          <w:szCs w:val="20"/>
          <w:color w:val="auto"/>
        </w:rPr>
      </w:pPr>
      <w:r>
        <w:rPr>
          <w:rFonts w:ascii="Times New Roman" w:cs="Times New Roman" w:eastAsia="Times New Roman" w:hAnsi="Times New Roman"/>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13335</wp:posOffset>
            </wp:positionV>
            <wp:extent cx="15855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9" w:lineRule="exact"/>
        <w:rPr>
          <w:sz w:val="20"/>
          <w:szCs w:val="20"/>
          <w:color w:val="auto"/>
        </w:rPr>
      </w:pPr>
    </w:p>
    <w:tbl>
      <w:tblPr>
        <w:tblLayout w:type="fixed"/>
        <w:tblInd w:w="2180" w:type="dxa"/>
        <w:tblCellMar>
          <w:top w:w="0" w:type="dxa"/>
          <w:left w:w="0" w:type="dxa"/>
          <w:bottom w:w="0" w:type="dxa"/>
          <w:right w:w="0" w:type="dxa"/>
        </w:tblCellMar>
      </w:tblPr>
      <w:tr>
        <w:trPr>
          <w:trHeight w:val="238"/>
        </w:trPr>
        <w:tc>
          <w:tcPr>
            <w:tcW w:w="42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3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595</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new</w:t>
            </w:r>
          </w:p>
        </w:tc>
        <w:tc>
          <w:tcPr>
            <w:tcW w:w="3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July 31, 2022</w:t>
            </w:r>
          </w:p>
        </w:tc>
      </w:tr>
      <w:tr>
        <w:trPr>
          <w:trHeight w:val="22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 operating leases</w:t>
            </w:r>
          </w:p>
        </w:tc>
        <w:tc>
          <w:tcPr>
            <w:tcW w:w="238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7.6 years</w:t>
            </w:r>
          </w:p>
        </w:tc>
        <w:tc>
          <w:tcPr>
            <w:tcW w:w="8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 years</w:t>
            </w:r>
          </w:p>
        </w:tc>
      </w:tr>
      <w:tr>
        <w:trPr>
          <w:trHeight w:val="22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Weighted-average discount rate - operating leases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3.91%</w:t>
            </w:r>
          </w:p>
        </w:tc>
      </w:tr>
    </w:tbl>
    <w:p>
      <w:pPr>
        <w:spacing w:after="0" w:line="3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scheduled minimum future lease payments due within twelve months for operating leases with terms longer than one year for which cash flows are fixed and determinable as of October 31, (in thousands):</w:t>
      </w:r>
    </w:p>
    <w:p>
      <w:pPr>
        <w:spacing w:after="0" w:line="72" w:lineRule="exact"/>
        <w:rPr>
          <w:sz w:val="20"/>
          <w:szCs w:val="20"/>
          <w:color w:val="auto"/>
        </w:rPr>
      </w:pPr>
    </w:p>
    <w:tbl>
      <w:tblPr>
        <w:tblLayout w:type="fixed"/>
        <w:tblInd w:w="3380" w:type="dxa"/>
        <w:tblCellMar>
          <w:top w:w="0" w:type="dxa"/>
          <w:left w:w="0" w:type="dxa"/>
          <w:bottom w:w="0" w:type="dxa"/>
          <w:right w:w="0" w:type="dxa"/>
        </w:tblCellMar>
      </w:tblP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1,870</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2,047</w:t>
            </w: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1,917</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1,628</w:t>
            </w: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1,213</w:t>
            </w:r>
          </w:p>
        </w:tc>
      </w:tr>
      <w:tr>
        <w:trPr>
          <w:trHeight w:val="230"/>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4,574</w:t>
            </w: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13,249</w:t>
            </w: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(1,907)</w:t>
            </w: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obligation</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11,342</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ind w:right="6360" w:firstLine="8"/>
        <w:spacing w:after="0" w:line="534"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OTHER POSTRETIREMENT BENEFITS Pension and Postretirement Health Benefits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Oil-Dri Corporation of America Pension Plan (“Pension Plan”) is a defined benefit pension plan for eligible salaried and hourly employees. Pension benefits are based on a formula of years of credited service and levels of compensation or stated amounts for each year of credited service. On January 9, 2020, we amended the Pension Plan to freeze participation, all future benefit accruals and accrual of benefit service, including consideration of compensation increases, effective March 1, 2020. Consequently, the Pension Plan is closed to new participants and current participants no longer earn additional benefits on or after March 1, 2020. On September 20, 2022, the Company's Board of Directors approved a resolution to terminate the Company's defined benefit pension plan. The Company expects to complete the termination over a period of eighteen months.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pension and postretirement health benefit costs were as follows:</w:t>
      </w:r>
    </w:p>
    <w:p>
      <w:pPr>
        <w:spacing w:after="0" w:line="289"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31"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20916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jc w:val="center"/>
        <w:ind w:left="1520"/>
        <w:spacing w:after="0"/>
        <w:rPr>
          <w:sz w:val="20"/>
          <w:szCs w:val="20"/>
          <w:color w:val="auto"/>
        </w:rPr>
      </w:pPr>
      <w:r>
        <w:rPr>
          <w:rFonts w:ascii="Times New Roman" w:cs="Times New Roman" w:eastAsia="Times New Roman" w:hAnsi="Times New Roman"/>
          <w:sz w:val="18"/>
          <w:szCs w:val="18"/>
          <w:b w:val="1"/>
          <w:bCs w:val="1"/>
          <w:color w:val="auto"/>
        </w:rPr>
        <w:t>For the Three Months Ended October</w:t>
      </w:r>
    </w:p>
    <w:p>
      <w:pPr>
        <w:jc w:val="center"/>
        <w:ind w:left="1520"/>
        <w:spacing w:after="0"/>
        <w:rPr>
          <w:sz w:val="20"/>
          <w:szCs w:val="20"/>
          <w:color w:val="auto"/>
        </w:rPr>
      </w:pPr>
      <w:r>
        <w:rPr>
          <w:rFonts w:ascii="Times New Roman" w:cs="Times New Roman" w:eastAsia="Times New Roman" w:hAnsi="Times New Roman"/>
          <w:sz w:val="18"/>
          <w:szCs w:val="18"/>
          <w:b w:val="1"/>
          <w:bCs w:val="1"/>
          <w:color w:val="auto"/>
        </w:rPr>
        <w:t>31,</w:t>
      </w:r>
    </w:p>
    <w:p>
      <w:pPr>
        <w:sectPr>
          <w:pgSz w:w="11900" w:h="16838" w:orient="portrait"/>
          <w:cols w:equalWidth="0" w:num="1">
            <w:col w:w="11240"/>
          </w:cols>
          <w:pgMar w:left="320" w:top="887" w:right="339" w:bottom="1440" w:gutter="0" w:footer="0" w:header="0"/>
        </w:sect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cost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actuarial loss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4"/>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8"/>
        </w:trPr>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459"/>
        </w:trPr>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-779145</wp:posOffset>
            </wp:positionV>
            <wp:extent cx="502348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23485" cy="15430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-479425</wp:posOffset>
            </wp:positionV>
            <wp:extent cx="502348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23485" cy="14541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-187960</wp:posOffset>
            </wp:positionV>
            <wp:extent cx="502348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23485" cy="171450"/>
                    </a:xfrm>
                    <a:prstGeom prst="rect">
                      <a:avLst/>
                    </a:prstGeom>
                    <a:noFill/>
                  </pic:spPr>
                </pic:pic>
              </a:graphicData>
            </a:graphic>
          </wp:anchor>
        </w:drawing>
      </w:r>
    </w:p>
    <w:p>
      <w:pPr>
        <w:spacing w:after="0" w:line="52" w:lineRule="exact"/>
        <w:rPr>
          <w:sz w:val="20"/>
          <w:szCs w:val="20"/>
          <w:color w:val="auto"/>
        </w:rPr>
      </w:pPr>
    </w:p>
    <w:p>
      <w:pPr>
        <w:jc w:val="center"/>
        <w:ind w:right="3560"/>
        <w:spacing w:after="0"/>
        <w:rPr>
          <w:sz w:val="20"/>
          <w:szCs w:val="20"/>
          <w:color w:val="auto"/>
        </w:rPr>
      </w:pPr>
      <w:r>
        <w:rPr>
          <w:rFonts w:ascii="Times New Roman" w:cs="Times New Roman" w:eastAsia="Times New Roman" w:hAnsi="Times New Roman"/>
          <w:sz w:val="18"/>
          <w:szCs w:val="18"/>
          <w:b w:val="1"/>
          <w:bCs w:val="1"/>
          <w:color w:val="auto"/>
        </w:rPr>
        <w:t>Postretirement Health Benefits</w:t>
      </w:r>
    </w:p>
    <w:p>
      <w:pPr>
        <w:spacing w:after="0" w:line="31" w:lineRule="exact"/>
        <w:rPr>
          <w:sz w:val="20"/>
          <w:szCs w:val="20"/>
          <w:color w:val="auto"/>
        </w:rPr>
      </w:pPr>
    </w:p>
    <w:p>
      <w:pPr>
        <w:jc w:val="center"/>
        <w:ind w:right="35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wp:posOffset>
            </wp:positionV>
            <wp:extent cx="20916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jc w:val="center"/>
        <w:ind w:right="3320"/>
        <w:spacing w:after="0"/>
        <w:rPr>
          <w:sz w:val="20"/>
          <w:szCs w:val="20"/>
          <w:color w:val="auto"/>
        </w:rPr>
      </w:pPr>
      <w:r>
        <w:rPr>
          <w:rFonts w:ascii="Times New Roman" w:cs="Times New Roman" w:eastAsia="Times New Roman" w:hAnsi="Times New Roman"/>
          <w:sz w:val="18"/>
          <w:szCs w:val="18"/>
          <w:b w:val="1"/>
          <w:bCs w:val="1"/>
          <w:color w:val="auto"/>
        </w:rPr>
        <w:t>For the Three Months Ended October</w:t>
      </w:r>
    </w:p>
    <w:p>
      <w:pPr>
        <w:jc w:val="center"/>
        <w:ind w:right="332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7" w:lineRule="exact"/>
        <w:rPr>
          <w:sz w:val="20"/>
          <w:szCs w:val="20"/>
          <w:color w:val="auto"/>
        </w:rPr>
      </w:pPr>
    </w:p>
    <w:p>
      <w:pPr>
        <w:sectPr>
          <w:pgSz w:w="11900" w:h="16838" w:orient="portrait"/>
          <w:cols w:equalWidth="0" w:num="2">
            <w:col w:w="4140" w:space="720"/>
            <w:col w:w="638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86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actuarial loss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Prior service costs</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4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non-service cost components of net periodic benefit cost are included in Other Income (Expense) in the line item Other, net on the unaudited Condensed Consolidated Statements of Income.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were not required to make, and did not voluntarily make, a contribution to the Pension Plan during the first three months of fiscal year 2023. We have no minimum funding requirements for the remainder of fiscal year 2023.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postretirement health plan is an unfunded plan. We pay insurance premiums and claims from our assets.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Assumptions used in the previous calculations were as follows: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67"/>
        </w:trPr>
        <w:tc>
          <w:tcPr>
            <w:tcW w:w="4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8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Postretirement Health Benefits</w:t>
            </w:r>
          </w:p>
        </w:tc>
      </w:tr>
      <w:tr>
        <w:trPr>
          <w:trHeight w:val="223"/>
        </w:trPr>
        <w:tc>
          <w:tcPr>
            <w:tcW w:w="4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gridSpan w:val="7"/>
          </w:tcPr>
          <w:p>
            <w:pPr>
              <w:ind w:left="940"/>
              <w:spacing w:after="0"/>
              <w:rPr>
                <w:sz w:val="20"/>
                <w:szCs w:val="20"/>
                <w:color w:val="auto"/>
              </w:rPr>
            </w:pPr>
            <w:r>
              <w:rPr>
                <w:rFonts w:ascii="Times New Roman" w:cs="Times New Roman" w:eastAsia="Times New Roman" w:hAnsi="Times New Roman"/>
                <w:sz w:val="18"/>
                <w:szCs w:val="18"/>
                <w:b w:val="1"/>
                <w:bCs w:val="1"/>
                <w:color w:val="auto"/>
              </w:rPr>
              <w:t>For the Three Months Ended October 31,</w:t>
            </w:r>
          </w:p>
        </w:tc>
        <w:tc>
          <w:tcPr>
            <w:tcW w:w="1060" w:type="dxa"/>
            <w:vAlign w:val="bottom"/>
            <w:tcBorders>
              <w:bottom w:val="single" w:sz="8" w:color="auto"/>
            </w:tcBorders>
          </w:tcPr>
          <w:p>
            <w:pPr>
              <w:spacing w:after="0"/>
              <w:rPr>
                <w:sz w:val="19"/>
                <w:szCs w:val="19"/>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for net periodic benefit cost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4.05 %</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expected rate of return on assets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6.50 %</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8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medical cost trend assumption for postretirement health benefits was 8.50%. The graded trend rate is expected to decrease to an ultimate rate of 4.90% in fiscal year 2044.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OPERATING SEGMENTS</w:t>
      </w:r>
    </w:p>
    <w:p>
      <w:pPr>
        <w:spacing w:after="0" w:line="2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As a result of a change in management organization during fiscal year 2022 and as part of our routine assessments of our segments, our wholly owned subsidiary located in the United Kingdom (UK) is now included in our Business to Business Products Group and our co-packaged coarse cat litter is now</w:t>
      </w:r>
    </w:p>
    <w:p>
      <w:pPr>
        <w:spacing w:after="0" w:line="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included in the Retail and Wholesale Products Group. Prior year net sales and operating income have also been reclassified to reflect these changes. The organization change was intended to better serve our customers and the segment information presented reflects the information regularly reviewed by our chief operating decision maker.</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two operating segments: (1) Business to Business Products Group and (2) Retail and Wholesale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e-commerce retailers;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2022.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for our principal products by segment are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7"/>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Business to Business Products</w:t>
            </w:r>
          </w:p>
        </w:tc>
        <w:tc>
          <w:tcPr>
            <w:tcW w:w="25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Retail and Wholesale Products</w:t>
            </w:r>
          </w:p>
        </w:tc>
      </w:tr>
      <w:tr>
        <w:trPr>
          <w:trHeight w:val="241"/>
        </w:trPr>
        <w:tc>
          <w:tcPr>
            <w:tcW w:w="3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960" w:type="dxa"/>
            <w:vAlign w:val="bottom"/>
            <w:tcBorders>
              <w:bottom w:val="single" w:sz="8" w:color="auto"/>
            </w:tcBorders>
          </w:tcPr>
          <w:p>
            <w:pPr>
              <w:spacing w:after="0"/>
              <w:rPr>
                <w:sz w:val="20"/>
                <w:szCs w:val="20"/>
                <w:color w:val="auto"/>
              </w:rPr>
            </w:pPr>
          </w:p>
        </w:tc>
      </w:tr>
      <w:tr>
        <w:trPr>
          <w:trHeight w:val="225"/>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9"/>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 October 31,</w:t>
            </w:r>
          </w:p>
        </w:tc>
        <w:tc>
          <w:tcPr>
            <w:tcW w:w="960" w:type="dxa"/>
            <w:vAlign w:val="bottom"/>
            <w:tcBorders>
              <w:bottom w:val="single" w:sz="8" w:color="auto"/>
            </w:tcBorders>
          </w:tcPr>
          <w:p>
            <w:pPr>
              <w:spacing w:after="0"/>
              <w:rPr>
                <w:sz w:val="19"/>
                <w:szCs w:val="19"/>
                <w:color w:val="auto"/>
              </w:rPr>
            </w:pPr>
          </w:p>
        </w:tc>
      </w:tr>
      <w:tr>
        <w:trPr>
          <w:trHeight w:val="223"/>
        </w:trPr>
        <w:tc>
          <w:tcPr>
            <w:tcW w:w="3860" w:type="dxa"/>
            <w:vAlign w:val="bottom"/>
            <w:tcBorders>
              <w:bottom w:val="single" w:sz="8" w:color="CCEEFF"/>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54,198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48,531</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and Sports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10,654</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10,003</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Bleaching Clay and Fluids Purification</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18,229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Animal Health and Nutrition</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33,687</w:t>
            </w:r>
          </w:p>
        </w:tc>
        <w:tc>
          <w:tcPr>
            <w:tcW w:w="6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24,809</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64,852</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57,651</w:t>
            </w: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169"/>
        </w:trPr>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20" w:type="dxa"/>
            <w:vAlign w:val="bottom"/>
          </w:tcPr>
          <w:p>
            <w:pPr>
              <w:spacing w:after="0"/>
              <w:rPr>
                <w:sz w:val="14"/>
                <w:szCs w:val="14"/>
                <w:color w:val="auto"/>
              </w:rPr>
            </w:pP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July 31, 2022</w:t>
            </w:r>
          </w:p>
        </w:tc>
        <w:tc>
          <w:tcPr>
            <w:tcW w:w="0" w:type="dxa"/>
            <w:vAlign w:val="bottom"/>
          </w:tcPr>
          <w:p>
            <w:pPr>
              <w:spacing w:after="0"/>
              <w:rPr>
                <w:sz w:val="1"/>
                <w:szCs w:val="1"/>
                <w:color w:val="auto"/>
              </w:rPr>
            </w:pPr>
          </w:p>
        </w:tc>
      </w:tr>
      <w:tr>
        <w:trPr>
          <w:trHeight w:val="243"/>
        </w:trPr>
        <w:tc>
          <w:tcPr>
            <w:tcW w:w="8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80,717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75,644</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126,635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125,293</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41,761</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48,674</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249,113</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249,611</w:t>
            </w:r>
          </w:p>
        </w:tc>
        <w:tc>
          <w:tcPr>
            <w:tcW w:w="0" w:type="dxa"/>
            <w:vAlign w:val="bottom"/>
          </w:tcPr>
          <w:p>
            <w:pPr>
              <w:spacing w:after="0"/>
              <w:rPr>
                <w:sz w:val="1"/>
                <w:szCs w:val="1"/>
                <w:color w:val="auto"/>
              </w:rPr>
            </w:pPr>
          </w:p>
        </w:tc>
      </w:tr>
      <w:tr>
        <w:trPr>
          <w:trHeight w:val="21"/>
        </w:trPr>
        <w:tc>
          <w:tcPr>
            <w:tcW w:w="8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 for employees. In addition, Income from our Business to Business and Retail and Wholesale Products as well as Corporate Expenses for the three months ended October 31, 2021 were adjusted for a change in management organization. See Note 1 of the Notes to the unaudited Condensed Consolidated Financial Statements.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9"/>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October 31,</w:t>
            </w:r>
          </w:p>
        </w:tc>
        <w:tc>
          <w:tcPr>
            <w:tcW w:w="960" w:type="dxa"/>
            <w:vAlign w:val="bottom"/>
            <w:tcBorders>
              <w:bottom w:val="single" w:sz="8" w:color="auto"/>
            </w:tcBorders>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33,687</w:t>
            </w:r>
          </w:p>
        </w:tc>
        <w:tc>
          <w:tcPr>
            <w:tcW w:w="60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7,257</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64,852</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57,651</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7,574</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98,539</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(8,262)</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(6,375)</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6,569</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6,437</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(1,207)</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5,230</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Noncontrolling Interest</w:t>
            </w: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5,241</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1,219,500. As of October 31, 2022, there were 239,985 shares available for future grants under this plan.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non-vested restricted stock as of October 31, 2022 was issued under the 2006 Plan with vesting periods generally between one and five years. We determined the fair value of restricted stock as of the grant date. We recognize the related compensation expense over the period from the date of grant to the date the shares vest.</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40,000 and 75,000 restricted shares of Common Stock granted during the first quarter of fiscal years 2023 and 2022, respectively. Stock-based compensation expense was $0.8 million and $0.6 million for the first quarter of fiscal years 2023 and 2022,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restricted stock transactions is shown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000" w:type="dxa"/>
            <w:vAlign w:val="bottom"/>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Restricted Shares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6"/>
        </w:trPr>
        <w:tc>
          <w:tcPr>
            <w:tcW w:w="80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241"/>
        </w:trPr>
        <w:tc>
          <w:tcPr>
            <w:tcW w:w="80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July 31,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October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 INCOME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(loss) income by component as of October 31, 2022 (in thousands):</w:t>
      </w:r>
    </w:p>
    <w:p>
      <w:pPr>
        <w:spacing w:after="0" w:line="28"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Pension and</w:t>
            </w:r>
          </w:p>
        </w:tc>
        <w:tc>
          <w:tcPr>
            <w:tcW w:w="200" w:type="dxa"/>
            <w:vAlign w:val="bottom"/>
          </w:tcPr>
          <w:p>
            <w:pPr>
              <w:spacing w:after="0"/>
              <w:rPr>
                <w:sz w:val="17"/>
                <w:szCs w:val="17"/>
                <w:color w:val="auto"/>
              </w:rPr>
            </w:pPr>
          </w:p>
        </w:tc>
        <w:tc>
          <w:tcPr>
            <w:tcW w:w="1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Accumulated</w:t>
            </w:r>
          </w:p>
        </w:tc>
        <w:tc>
          <w:tcPr>
            <w:tcW w:w="0" w:type="dxa"/>
            <w:vAlign w:val="bottom"/>
          </w:tcPr>
          <w:p>
            <w:pPr>
              <w:spacing w:after="0"/>
              <w:rPr>
                <w:sz w:val="1"/>
                <w:szCs w:val="1"/>
                <w:color w:val="auto"/>
              </w:rPr>
            </w:pPr>
          </w:p>
        </w:tc>
      </w:tr>
      <w:tr>
        <w:trPr>
          <w:trHeight w:val="184"/>
        </w:trPr>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2"/>
          </w:tcPr>
          <w:p>
            <w:pPr>
              <w:jc w:val="center"/>
              <w:ind w:right="5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200" w:type="dxa"/>
            <w:vAlign w:val="bottom"/>
          </w:tcPr>
          <w:p>
            <w:pPr>
              <w:spacing w:after="0"/>
              <w:rPr>
                <w:sz w:val="15"/>
                <w:szCs w:val="15"/>
                <w:color w:val="auto"/>
              </w:rPr>
            </w:pPr>
          </w:p>
        </w:tc>
        <w:tc>
          <w:tcPr>
            <w:tcW w:w="162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Translation</w:t>
            </w:r>
          </w:p>
        </w:tc>
        <w:tc>
          <w:tcPr>
            <w:tcW w:w="160" w:type="dxa"/>
            <w:vAlign w:val="bottom"/>
          </w:tcPr>
          <w:p>
            <w:pPr>
              <w:spacing w:after="0"/>
              <w:rPr>
                <w:sz w:val="15"/>
                <w:szCs w:val="15"/>
                <w:color w:val="auto"/>
              </w:rPr>
            </w:pPr>
          </w:p>
        </w:tc>
        <w:tc>
          <w:tcPr>
            <w:tcW w:w="14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Health Benefits</w:t>
            </w:r>
          </w:p>
        </w:tc>
        <w:tc>
          <w:tcPr>
            <w:tcW w:w="200" w:type="dxa"/>
            <w:vAlign w:val="bottom"/>
          </w:tcPr>
          <w:p>
            <w:pPr>
              <w:spacing w:after="0"/>
              <w:rPr>
                <w:sz w:val="19"/>
                <w:szCs w:val="19"/>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6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 Income</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comprehensive loss before reclassifications, net</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tax</w:t>
            </w:r>
          </w:p>
        </w:tc>
        <w:tc>
          <w:tcPr>
            <w:tcW w:w="160" w:type="dxa"/>
            <w:vAlign w:val="bottom"/>
          </w:tcPr>
          <w:p>
            <w:pPr>
              <w:spacing w:after="0"/>
              <w:rPr>
                <w:sz w:val="20"/>
                <w:szCs w:val="20"/>
                <w:color w:val="auto"/>
              </w:rPr>
            </w:pPr>
          </w:p>
        </w:tc>
        <w:tc>
          <w:tcPr>
            <w:tcW w:w="18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184"/>
        </w:trPr>
        <w:tc>
          <w:tcPr>
            <w:tcW w:w="40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loss, net of tax</w:t>
            </w: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member of our Board of Directors (the “Board”) retired from the role of President and Chief Executive Officer of a customer of ours in September 2019 and is currently party to a post-employment agreement with the customer. Total net sales to that customer, including sales to subsidiaries of that customer, were $55,158 and $75,296 for the first quarter of fiscal years 2023 and 2022 respectively. Outstanding accounts receivable from that customer, and its subsidiaries, were $863 as of October 31, 2022 and $5,608 as of July 31, 2022.</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member of our Board is currently the President and Chief Executive Officer of a vendor of ours. Total payments to this vendor for fees and cost reimbursements were $62,360 and $215,418 for the first quarter of fiscal years 2022 and 2021 respectively . There were no outstanding accounts payable to that vendor as of October 31, 2022 or July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2022.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and the Business to Business Products Group, as described in Note 11 of the Notes to the unaudited Condensed Consolidated Financial Statements. Each operating segment is discussed individually below.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net sales and gross profits for the first quarter of fiscal 2023 across both the Retail and Wholesale Products Group and the Business to Business Products Group were up from the same period of fiscal year 2022. Although expenses increased, consolidated net income for the three months ended October 31, 2022 was $5.2 million, compared to $0.6 million in the three months ended October 31, 2021.</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Consolidated net sales increased approximately $16.0 million or 19% in the first quarter of fiscal year 2023 compared to first quarter of fiscal year 2022. Consolidated income from operations in the first quarter of fiscal year 2023 increased by $6.1 million compared to the first quarter of fiscal year 2022. This increase is driven by strategic pricing increases as well as growth in the demand for our products, as further discussed below.</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Balance Sheets as of October 31, 2022, and our Consolidated Statements of Cash Flows for the first quarter of fiscal year 2023 show a decrease in total cash and cash equivalents from fiscal year-end 2022 driven by higher inventories and capital expenditures on PP&amp;E.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OCTOBER 31, 2022 COMPARED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OCTOBER 31, 2021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net sales for the three months ended October 31, 2022 were $98.5 million, a 19% increase compared to net sales of $82.5 million for the three months ended October 31, 2021. Net sales increased for both our Retail and Wholesale Products Group and Business to Business Products Group, primarily due to price increases implemented across both product groups.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three months of fiscal year 2023, we have been able to reduce our backlog of orders. The actions taken to increase personnel, expand our production shifts, increase production equipment, make various repairs to equipment, and utilize alternative modes of transportation have driven a reduction of our backlog by $1.1 million, a 17% decrease from July 31, 2022. Furthermore, export tonnages shipped for the first three months of fiscal year 2023 exceeded all quarters in fiscal years 2022 and 2021. We continue to implement strategies related to further reduce manufacturing and freight constraints in order to meet the increase in customer demand. Segment results are discussed further below.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18"/>
          <w:szCs w:val="18"/>
          <w:color w:val="auto"/>
        </w:rPr>
        <w:t>Consolidated gross profit for the first three months of fiscal year 2023 was $22.3 million, or 23% of net sales, compared to $13.8 million, or 17%, of net sales, for the first three months of fiscal year 2022. The increase is driven by higher selling prices, with multiple price increases across our businesses, which are beginning to offset the increases in costs of goods sold. Costs of goods sold continued to rise, driven primarily by per ton increases in natural gas, non-fuel manufacturing and freight costs, offset by lower packaging costs. The cost of natural gas per ton used to operate kilns that dry our clay was 97% higher in the first three months of fiscal year 2023 compared to first three months of fiscal year 2022. There was also a 15% increase in per ton non-fuel manufacturing costs during the first three months of fiscal year 2023 compared to the first three months of fiscal year 2022, due to higher costs for labor, purchased materials, repairs, utilities, electricity, and diesel. Domestic freight costs per ton increased approximately 21% in the first three months of fiscal year 2023 compared to the same period of fiscal year 2022. Ocean freight costs have also increased due to rising fuel costs and export fees. In addition, our overall freight costs can vary between periods depending on the mix of products sold and the geographic distribution of our customers. Packaging costs per ton decreased by approximately 8% in the first three months of fiscal year 2023 compared to the first three months of fiscal year 2023 due to lower commodity costs, particularly as it relates to resin and pallet costs. Many of our contracts for packaging purchases are subject to periodic price adjustments, which trail changes in underlying commodity prices.</w:t>
      </w:r>
    </w:p>
    <w:p>
      <w:pPr>
        <w:spacing w:after="0" w:line="2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Total selling, general and administrative (“SG&amp;A”) expenses of $15.7 million for the first three months of fiscal year 2023 were higher by $2.4 million, or 18%, compared to $13.4 million for the first three months of fiscal year 2022. Unallocated corporate expenses were higher by $1.9 million, or 30%, driven by higher bonus accrual due to improved quarterly results compared to the Company’s performance target under the annual incentive plan, as well as other corporate expenses. The discussion of the segments' operating incomes below describes the changes in SG&amp;A expenses that were allocated to the operating segments.</w:t>
      </w:r>
    </w:p>
    <w:p>
      <w:pPr>
        <w:spacing w:after="0" w:line="2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other (expense) income, net of $(0.1) million for the first three months of fiscal year 2023 was mostly driven by foreign currency translations compared to the net other income of $0.3 million in the first three months of fiscal year 2022.</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Consolidated net income before taxes for the first three months of fiscal year 2023 was $6.4 million compared to $0.7 million for the first three months of fiscal year 2022. Results for the first three months of fiscal year 2023 were driven by the factors discussed above.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 tax expense for the first three months of fiscal year 2023 of $1.2 million compared to $0.1 million for the first three months of fiscal year 2022. Our tax expense was driven primarily by higher net income. We used an estimated annual effective tax rate (“ETR”) in determining our provision for income taxes, which is based on expected annual taxable income and the assessment of various tax deductions, including depletion.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TO BUSINESS PRODUCTS GROUP</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of the Business to Business Products Group for the first three months of fiscal year 2023 were $33.7 million, an increase of $8.9 million, or 36%, from net sales of $24.8 million for the first three months of fiscal year 2022, with strong increases across all three of our businesses in this group. Net sales of our agricultural and horticultural chemical carrier products increased approximately $3.8 million, or 61%, for the first three months of fiscal year 2023 compared to the same period in fiscal year 2022. This is a result of price increases as well as strong demand from several large customers. Net sales of our fluids purification products increased approximately $3.2 million, or 21%, compared to the first three months of the prior fiscal year. The increase in net sales was driven by price increases and continued demand for our products used in the filtration of edible oil, renewable diesel, and jet fuel. Net sales increased in all regions except for the UK, with the majority of the increase in North America and Latin America when compared to the first three months of fiscal year 2022. Net sales of our animal health and nutrition products increased $1.9 million, or 52%, during the first three months of fiscal year 2023 compared to the first three months of the prior year. We saw growth in net sales in all regions except Asia (excluding China) with the most impact coming from Latin America. Latin American sales continued to benefit from the European Union's ("EU") regulations for antibiotic-free foreign protein imports, as a large percentage of meat is exported from that region to the EU. North American sales rose due to a new product line and increased distribution. The decrease in Asia is due to timing and ocean freight delays and not indicative of projected sales for the year.</w:t>
      </w:r>
    </w:p>
    <w:p>
      <w:pPr>
        <w:spacing w:after="0" w:line="21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SG&amp;A expenses for the Business to Business Products Group increased approximately 24% or $0.8 million for the first three months of fiscal year 2023 compared to the same period of the prior fiscal year. The majority of the increase relates to research and development expenses that are now allocated to the animal health business (a change in where existing costs were allocated), previously included in unallocated corporate expenses and increased travel costs.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to Business Products Group’s operating income for the first three months of fiscal year 2023 was $7.3 million, an increase of $1.8 million, or 31%, from operating income of $5.5 million for the first three months of fiscal year 2022. The increase in operating income was driven by higher net sales due to strategic price increases and continued volume growth.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AND WHOLESALE PRODUCTS GROUP</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of the Retail and Wholesale Products Group for the first three months of fiscal year 2023 were $64.9 million, an increase of $7.2 million, or 12%, from net sales of $57.7 million for the first three months of fiscal year 2022 driven by higher net sales of cat litter, industrial and sport products, slightly offset by a small decline in our co-packaged cat litter business. Total cat litter net sales were approximately $5.7 million, or 12%, higher compared to the first three months of the prior fiscal year driven mostly by price increases. Domestic cat litter net sales were $46.8 million an increase of $5.2 million from the first three months of fiscal year 2022 driven primarily by price increases on branded and private label lightweight and coarse litter partially offset by a decrease in net sales of accessories (liners) and private label heavy weight litter. Net sales of co-packaged products decreased by approximately $0.3 million compared to the same period in fiscal year 2022. This decrease was primarily due to our customer discontinuing export sales to one of their foreign subsidiaries as well as softer sales volumes domestically. Net sales of cat litter by our subsidiary in Canada increased period over period, as discussed in “Foreign Operations” below. Net sales of our global industrial and sports products increased approximately $1.5 million, or 17%, compared to the first three months of fiscal year 2022, primarily due to price increases across both industrial and sport products.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expenses for the Retail and Wholesale Products Group were lower by approximately $0.4 million, or 10%, during the first three months of fiscal year 2023 compared to the first three months of fiscal year 2022, primarily due to significantly lower advertising costs partially offset by higher broker sales commissions which are percentage based on net sales, as well as higher travel costs. We anticipate total advertising expense in fiscal year 2023 to be higher than fiscal year 2022 and more in line with historical levels, with spending concentrated in the second half of the year.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Retail and Wholesale Products Group experienced an operating income for the first three months of fiscal year 2023 of $7.6 million, an increase of $6.3 million, or 491%, from operating income of $1.3 million for the first three months of fiscal year 2022. This was driven primarily by the increase in gross margins due to selling price increases partially offset by higher costs of goods sold, and to a much lesser extent lower than expected advertising spend in the first quarter.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OPERATIONS</w:t>
      </w:r>
    </w:p>
    <w:p>
      <w:pPr>
        <w:spacing w:after="0" w:line="2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Foreign operations include our subsidiary in Canada which is reported in the Retail and Wholesale Products Group, and our subsidiaries in the UK, Mexico, China and Indonesia, which are reported in the Business to Business Products Group. Net sales by our foreign subsidiaries during the first three months of fiscal year 2023 were $5.8 million, an increase of $1.4 million, or 32%, compared to net sales of $4.4 million during the first three months of fiscal year 2022. All of our foreign operations, with the exception of our subsidiary in the UK, experienced an increase in net sales during the first three months of fiscal year 2023 compared to fiscal year 2022. Total net sales of our subsidiary in Canada during the first three months of fiscal year 2022 increased by $0.8 million, or 29%, compared to the same period in fiscal year 2022 driven by higher private label cat litter net sales. The increase in cat litter sales was mainly driven by price increases instituted in response to rising costs and to a lesser extent by increases in demand. Net sales of industrial absorbent granules were also higher in the first three months of fiscal year 2022 driven mainly by price increases. Net sales of our subsidiary in the United Kingdom in the first three months of fiscal year 2023 decreased by $47 thousand, or 9%, compared to net sales in the first three months of fiscal year 2022. The decrease relates to the impact of foreign currency in addition to softer sales. Net sales of our subsidiary in Mexico increased during the first three months of fiscal year 2022 compared to the same period of fiscal year 2022 by $0.2 million, or 38% due to growing demand of our animal health products. Net sales of our subsidiary in China increased $0.3 million, or 63%, during the first three months of fiscal year 2023 compared to the first three months of fiscal year 2022 due primarily to the addition of a new customer. Net sales by our foreign subsidiaries represented 6% and 5% of our consolidated net sales during the first three months of fiscal years 2023 and 2022, respectively.</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foreign subsidiaries reported net income of $0.5 million for the first three months of fiscal year 2023, compared to a net loss of $0.3 million for the first three months of fiscal year 2022. The net income in the first three months of fiscal year 2023 was driven by price increases in Canada on our cat litter products, and increased demand in China and Mexico offset by unfavorable impacts of foreign exchange rates primarily in the UK.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assets of our foreign subsidiaries as of October 31, 2022, were $17.7 million, compared to $17.4 million as of July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liquidity needs are to fund our capital requirements, including funding working capital needs; purchasing and upgrading equipment, facilities (including significant renovations at one of our plants), information systems, and real estate; supporting new product development; investing in infrastructure; repurchasing stock; paying dividends; making pension contributions; and, from time to time, business acquisitions, and funding our debt service requirements. During the first three months of fiscal year 2023, we principally funded these short and long-term capital requirements using cash from current operations as well as cash generated in fiscal year 2022 from borrowings under our Series Senior C Notes.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anticipate cash flows from operations and our available sources of liquidity will be sufficient to meet our cash requirements. In addition, we are actively monitoring the timing and collection of our accounts receivable.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elements of our unaudited Condensed Consolidated Statements of Cash Flows (in thousands):</w:t>
      </w:r>
    </w:p>
    <w:p>
      <w:pPr>
        <w:spacing w:after="0" w:line="133"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jc w:val="center"/>
        <w:ind w:left="6460"/>
        <w:spacing w:after="0"/>
        <w:rPr>
          <w:sz w:val="20"/>
          <w:szCs w:val="20"/>
          <w:color w:val="auto"/>
        </w:rPr>
      </w:pPr>
      <w:r>
        <w:rPr>
          <w:rFonts w:ascii="Times New Roman" w:cs="Times New Roman" w:eastAsia="Times New Roman" w:hAnsi="Times New Roman"/>
          <w:sz w:val="18"/>
          <w:szCs w:val="18"/>
          <w:b w:val="1"/>
          <w:bCs w:val="1"/>
          <w:color w:val="auto"/>
        </w:rPr>
        <w:t>October 31,</w:t>
      </w:r>
    </w:p>
    <w:p>
      <w:pPr>
        <w:spacing w:after="0" w:line="7" w:lineRule="exact"/>
        <w:rPr>
          <w:sz w:val="20"/>
          <w:szCs w:val="20"/>
          <w:color w:val="auto"/>
        </w:rPr>
      </w:pPr>
    </w:p>
    <w:tbl>
      <w:tblPr>
        <w:tblLayout w:type="fixed"/>
        <w:tblInd w:w="920" w:type="dxa"/>
        <w:tblCellMar>
          <w:top w:w="0" w:type="dxa"/>
          <w:left w:w="0" w:type="dxa"/>
          <w:bottom w:w="0" w:type="dxa"/>
          <w:right w:w="0" w:type="dxa"/>
        </w:tblCellMar>
      </w:tblPr>
      <w:tr>
        <w:trPr>
          <w:trHeight w:val="237"/>
        </w:trPr>
        <w:tc>
          <w:tcPr>
            <w:tcW w:w="64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(11,536)</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net income, as adjusted for depreciation and amortization and other non-cash operating activities, the primary sources and uses of operating cash flows for the first three months of fiscal years 2023 and 2022 were as follows: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less allowance for doubtful accounts, increased $1.6 million in the first three months of fiscal year 2023 compared to an increase of $2.3 million in the first three months of fiscal year 2022. The increase in accounts receivable was driven primarily by higher net sales as sales prices increased offset by the level and timing of collections due to payment terms.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increased by $5.1 million in the first three months of both fiscal year 2023 and 2022 due to a combination of rising costs, specifically due to natural gas, purchased materials, electricity, diesel, and freight and the building of inventory levels for anticipated seasonal demand and thwart potential supply chain disruptions.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assets decreased by $1.4 million in the first three months of fiscal year 2023 compared to a decrease of $0.2 million in the first three months of fiscal year 2022. The decrease in other assets in the first three months of fiscal year 2023 relates to capitalized pre-production costs being transferred to property, plant and equipment as the mines are now in production.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payable increased by $1.9 million in the first three months of fiscal year 2023 compared to an increase of $1.3 million in the first three months of fiscal year 2022. Trade and freight payables vary in both periods due to the timing of payments, higher cost of goods and services we purchased, production volume levels and vendor payment terms.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Accrued expenses decreased $1.6 million in the first three months of fiscal year 2023 compared to an increase of $0.7 million in the first three months of fiscal year 2022. The payout of the prior fiscal year's bonus reduced accrued salaries in both fiscal years, but to a greater extent in fiscal year 2023 as the accrual was higher at year end 2022 than the prior fiscal year. The decrease in accrued expenses is also impacted by the decrease in advertising expenses and other accruals. The decrease in accrued bonus in the first three months of fiscal year 2022 was offset by an increase in accrued advertising, real estate taxes, professional fees and accrued utilities. These accruals can vary based on timing. In addition, accrued plant expenses can also fluctuate due to timing of payments, changes in the cost of goods and services we purchase, production volume levels and vendor payment terms.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Other liabilities decreased by $0.4 million in the first three months of fiscal year 2023 compared to a decrease of $0.5 million in the first three months of fiscal year 2022. The decreases in both fiscal years 2022 and 2023 relate primarily to a reduction in our operating lease liability.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of $7.5 million in the first three months of fiscal year 2023 were higher compared to cash used in investing activities of $6.7 million in the first three months of fiscal year 2022 driven by capital expenditures. During the first three months of fiscal year 2023 we expanded our plant equipment and improved our facilities to support increased demand for our products as well as made improvements to our IT network.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of $1.9 million in the first three months of fiscal year 2023 was lower than cash used in financing activities of $4.2 million in the first three months of fiscal year 2022 driven by less share repurchases.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cash and investment balances held by our foreign subsidiaries of $2.6 million as of October 31, 2022 were slightly lower than July 31, 2022 balances of $3.3 million. See further discussion in “Foreign Operations” above.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party to a credit agreement (as amended, the “Credit Agreement”) with BMO Harris Bank N.A. (“BMO Harris”), which terminates on August 30, 2027. The agreement provides for a $45 million unsecured revolving credit facility and a maximum of $10 million for letters of credit. The agreement terms also state that we may select a variable interest rate based on either the BMO Harris prime rate or an adjusted SOFR-based rate, plus a margin that varies depending on our debt to earnings ratio, or a fixed rate as agreed between us and BMO Harris. As of October 31, 2022, the variable rates would have been 6.25% for the BMO Harris prime-based rate or 4.10% for the adjusted SOFR-based rate. The Credit Agreement contains restrictive covenants that, among other things and under various conditions, limit our ability to incur additional indebtedness or to dispose of assets. The agreement also requires us to maintain a minimum fixed charge coverage ratio and a maximum net debt to earnings ratio. As of October 31, 2022 and 2021, we were in compliance with the covenants. There were no borrowings during the first three months of either fiscal year 2022 or 2023.</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party to an Amended and Restated Note Purchase and Private Shelf Agreement (as amended, the “Note Agreement”) with PGIM, Inc. (“Prudential”) and certain existing noteholders and purchasers affiliated with Prudential named therein pursuant to which, among other things, we issued $10 million in aggregate principal amount of our 3.95% Series B Senior Notes due May 15, 2030 of which $8 million aggregate principal amount remained outstanding as of October 31, 2022. The Note Agreement provides us with the ability to request, from time to time until May 15, 2023 (or such earlier date as provided for in the agreement), the issuance of additional senior unsecured notes in an aggregate principal amount of up to $75 million minus the aggregate principal amount of the notes then outstanding and the additional notes that have been accepted for purchase. The issuance of such additional notes is at the discretion of the noteholders and purchasers and on an uncommitted basis. Pursuant to the Note Agreement, on December 16, 2021, we issued $25 million in aggregate principal amount of our 3.25% Series C Senior Notes due December 16, 2031. As of October 31, 2022 outstanding notes payable totaled $32.8 million, net of $0.2 million of unamortized debt issuance costs.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8 of the Notes to the unaudited Condensed Consolidated Financial Statements in this Quarterly Report on Form 10-Q for discussion on amendments made to the credit agreement with BMO Harris and our Senior Note Agreements.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2022, we had remaining authority to repurchase 433,166 shares of Common Stock and 273,100 shares of Class B Stock under a repurchase plan approved by our Board of Directors (the “Board”). Repurchases may be made on the open market (pursuant to Rule 10b5-1 plans or otherwise) or in negotiated transactions. The timing, number and manner of share repurchases will be determined by our management pursuant to the repurchase plan approved by our Board.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cash flow from operations, availability under our revolving credit facility, current cash and investment balances and our ability to obtain other financing, if necessary, will provide sufficient liquidity for foreseeable working capital needs, capital expenditures at existing facilities, deferred compensation payouts, dividend payments and debt service obligations for at least the next 12 months. We expect capital expenditures in fiscal year 2023 to be greater than in fiscal year 2022. We do not believe that these increased capital expenditures will dramatically impact our cash position; however our cash requirements are subject to change as business conditions warrant and opportunities arise. Our anticipated advertising expense for fiscal year 2023 is expected to be higher compared to fiscal year 2022 and in line with historical pre-pandemic levels.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We continually evaluate our liquidity position and anticipated cash needs, as well as the financing options available to obtain additional cash reserves. Our ability to fund operations, to make planned capital expenditures, to make scheduled debt payments, to contribute to our pension plan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experienced any material impact to our internal controls over financial reporting despite the fact that many of our employees are still working remotely. We are continually monitoring and assessing the effects of a hybrid work model on our internal controls to minimize the impact to their design and operating effectiveness.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fiscal quarter ended October 31, 2022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1, 3 and 5 of this Part II are either inapplicable or are answered in the negative and are omitted pursuant to the instructions to Part II.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operations and financial results are subject to various risks and uncertainties, including those described in Part I, Item 1A, “Risk Factors” in the Company's Annual Report on Form 10-K for the year ended July 31, 2022. There have been no material changes to our risk factors since the Company's Annual Report on Form 10-K for the year ended July 31, 2022.</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31, 2022, we did not sell any securities which were not registered under the Securities Act of 1933. The following chart summarize our Common Stock and Class B stock purchases during this period. There are no shares of our Class A Common Stock currently outstanding.</w:t>
      </w:r>
    </w:p>
    <w:p>
      <w:pPr>
        <w:spacing w:after="0" w:line="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r>
        <w:rPr>
          <w:rFonts w:ascii="Times New Roman" w:cs="Times New Roman" w:eastAsia="Times New Roman" w:hAnsi="Times New Roman"/>
          <w:sz w:val="23"/>
          <w:szCs w:val="23"/>
          <w:b w:val="1"/>
          <w:bCs w:val="1"/>
          <w:color w:val="auto"/>
          <w:vertAlign w:val="superscript"/>
        </w:rPr>
        <w:t>1, 2</w:t>
      </w:r>
    </w:p>
    <w:tbl>
      <w:tblPr>
        <w:tblLayout w:type="fixed"/>
        <w:tblInd w:w="10" w:type="dxa"/>
        <w:tblCellMar>
          <w:top w:w="0" w:type="dxa"/>
          <w:left w:w="0" w:type="dxa"/>
          <w:bottom w:w="0" w:type="dxa"/>
          <w:right w:w="0" w:type="dxa"/>
        </w:tblCellMar>
      </w:tblPr>
      <w:tr>
        <w:trPr>
          <w:trHeight w:val="214"/>
        </w:trPr>
        <w:tc>
          <w:tcPr>
            <w:tcW w:w="210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24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3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4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2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00" w:type="dxa"/>
            <w:vAlign w:val="bottom"/>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Plans 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Ended October 31, 2022</w:t>
            </w:r>
          </w:p>
        </w:tc>
        <w:tc>
          <w:tcPr>
            <w:tcW w:w="22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6"/>
              </w:rPr>
              <w:t>Purchased</w:t>
            </w:r>
            <w:r>
              <w:rPr>
                <w:rFonts w:ascii="Times New Roman" w:cs="Times New Roman" w:eastAsia="Times New Roman" w:hAnsi="Times New Roman"/>
                <w:sz w:val="23"/>
                <w:szCs w:val="23"/>
                <w:b w:val="1"/>
                <w:bCs w:val="1"/>
                <w:color w:val="auto"/>
                <w:w w:val="96"/>
                <w:vertAlign w:val="superscript"/>
              </w:rPr>
              <w:t>3</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2240" w:type="dxa"/>
            <w:vAlign w:val="bottom"/>
            <w:tcBorders>
              <w:bottom w:val="single" w:sz="8" w:color="auto"/>
            </w:tcBorders>
          </w:tcPr>
          <w:p>
            <w:pPr>
              <w:jc w:val="center"/>
              <w:ind w:left="10"/>
              <w:spacing w:after="0" w:line="243" w:lineRule="exact"/>
              <w:rPr>
                <w:sz w:val="20"/>
                <w:szCs w:val="20"/>
                <w:color w:val="auto"/>
              </w:rPr>
            </w:pPr>
            <w:r>
              <w:rPr>
                <w:rFonts w:ascii="Times New Roman" w:cs="Times New Roman" w:eastAsia="Times New Roman" w:hAnsi="Times New Roman"/>
                <w:sz w:val="18"/>
                <w:szCs w:val="18"/>
                <w:b w:val="1"/>
                <w:bCs w:val="1"/>
                <w:color w:val="auto"/>
                <w:w w:val="97"/>
              </w:rPr>
              <w:t>Programs</w:t>
            </w:r>
            <w:r>
              <w:rPr>
                <w:rFonts w:ascii="Times New Roman" w:cs="Times New Roman" w:eastAsia="Times New Roman" w:hAnsi="Times New Roman"/>
                <w:sz w:val="23"/>
                <w:szCs w:val="23"/>
                <w:b w:val="1"/>
                <w:bCs w:val="1"/>
                <w:color w:val="auto"/>
                <w:w w:val="97"/>
                <w:vertAlign w:val="superscript"/>
              </w:rPr>
              <w:t>4</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00" w:type="dxa"/>
            <w:vAlign w:val="bottom"/>
            <w:tcBorders>
              <w:left w:val="single" w:sz="8" w:color="auto"/>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3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August 1, 2022 to August</w:t>
            </w:r>
          </w:p>
        </w:tc>
        <w:tc>
          <w:tcPr>
            <w:tcW w:w="2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31, 2022</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436,526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100" w:type="dxa"/>
            <w:vAlign w:val="bottom"/>
            <w:tcBorders>
              <w:lef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September 1, 2022 to</w:t>
            </w:r>
          </w:p>
        </w:tc>
        <w:tc>
          <w:tcPr>
            <w:tcW w:w="22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436,526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October 1, 2022 to</w:t>
            </w:r>
          </w:p>
        </w:tc>
        <w:tc>
          <w:tcPr>
            <w:tcW w:w="2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31, 2022</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3,360</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$27.40</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433,166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8"/>
        <w:spacing w:after="0" w:line="241" w:lineRule="auto"/>
        <w:tabs>
          <w:tab w:leader="none" w:pos="115"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table summarizes repurchases of (and remaining authority to repurchase) shares of our Common Stock. Our Board of Directors authorized the repurchase of 300,000 shares of Class B Stock on March 21, 2018, however there have been no repurchases of Class B Stock for the three months ended October 31, 2022, and the authorized Class B Stock is not included in the table above. No shares of our Class A Common Stock are currently outstanding. Descriptions of our Common Stock, Class B Stock and Class A Common Stock are contained in Exhibit 4.1 of the Annual Report on Form 10-K for the fiscal year ended July 31, 2022.</w:t>
      </w:r>
    </w:p>
    <w:p>
      <w:pPr>
        <w:spacing w:after="0" w:line="226" w:lineRule="exact"/>
        <w:rPr>
          <w:sz w:val="20"/>
          <w:szCs w:val="20"/>
          <w:color w:val="auto"/>
        </w:rPr>
      </w:pPr>
    </w:p>
    <w:p>
      <w:pPr>
        <w:ind w:right="20" w:firstLine="8"/>
        <w:spacing w:after="0" w:line="229" w:lineRule="auto"/>
        <w:tabs>
          <w:tab w:leader="none" w:pos="8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figures in the table reflect transactions according to the settlement dates. For purposes of our unaudited consolidated financial statements included in this Form 10-Q, the impact of these repurchases is recorded according to the settlement dates.</w:t>
      </w:r>
    </w:p>
    <w:p>
      <w:pPr>
        <w:spacing w:after="0" w:line="195"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1,913 Common Stock shares surrendered by employees to pay taxes related to restricted stock awards.</w:t>
      </w:r>
    </w:p>
    <w:p>
      <w:pPr>
        <w:spacing w:after="0" w:line="225" w:lineRule="exact"/>
        <w:rPr>
          <w:sz w:val="20"/>
          <w:szCs w:val="20"/>
          <w:color w:val="auto"/>
        </w:rPr>
      </w:pPr>
    </w:p>
    <w:p>
      <w:pPr>
        <w:jc w:val="both"/>
        <w:ind w:right="20" w:firstLine="8"/>
        <w:spacing w:after="0" w:line="239" w:lineRule="auto"/>
        <w:tabs>
          <w:tab w:leader="none" w:pos="8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Board of Directors authorized the repurchase of 250,000 shares of Common Stock on June 14, 2012 and an additional 750,000 shares of Common Stock on March 11, 2019. These authorizations do not have a stated expiration date. The share numbers in this column indicate the number of shares of Common Stock that may yet be repurchased under these authorizations. Repurchases may be made on the open market (pursuant to Rule 10b5-1 plans or otherwise) or in negotiated transactions. The timing, number and manner of share repurchases will be determined by our management.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87"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79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300" w:type="dxa"/>
            <w:vAlign w:val="bottom"/>
          </w:tcPr>
          <w:p>
            <w:pPr>
              <w:spacing w:after="0"/>
              <w:rPr>
                <w:sz w:val="20"/>
                <w:szCs w:val="20"/>
                <w:color w:val="auto"/>
              </w:rPr>
            </w:pPr>
          </w:p>
        </w:tc>
      </w:tr>
      <w:tr>
        <w:trPr>
          <w:trHeight w:val="203"/>
        </w:trPr>
        <w:tc>
          <w:tcPr>
            <w:tcW w:w="108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243"/>
        </w:trPr>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No.</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492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8"/>
                <w:szCs w:val="18"/>
                <w:color w:val="auto"/>
              </w:rPr>
              <w:t>Description</w:t>
            </w:r>
          </w:p>
        </w:tc>
        <w:tc>
          <w:tcPr>
            <w:tcW w:w="100" w:type="dxa"/>
            <w:vAlign w:val="bottom"/>
          </w:tcPr>
          <w:p>
            <w:pPr>
              <w:spacing w:after="0"/>
              <w:rPr>
                <w:sz w:val="21"/>
                <w:szCs w:val="21"/>
                <w:color w:val="auto"/>
              </w:rPr>
            </w:pPr>
          </w:p>
        </w:tc>
        <w:tc>
          <w:tcPr>
            <w:tcW w:w="33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SEC Document Reference</w:t>
            </w:r>
          </w:p>
        </w:tc>
      </w:tr>
      <w:tr>
        <w:trPr>
          <w:trHeight w:val="26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Certifications pursuant to Rule 13a–14(a).</w:t>
            </w:r>
          </w:p>
        </w:tc>
        <w:tc>
          <w:tcPr>
            <w:tcW w:w="3760" w:type="dxa"/>
            <w:vAlign w:val="bottom"/>
            <w:gridSpan w:val="3"/>
          </w:tcPr>
          <w:p>
            <w:pPr>
              <w:spacing w:after="0"/>
              <w:rPr>
                <w:sz w:val="22"/>
                <w:szCs w:val="22"/>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64"/>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Certifications pursuant to Section 1350 of the Sarbanes-Oxley Act of 2002.</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6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Mine Safety Disclosures</w:t>
            </w:r>
            <w:r>
              <w:rPr>
                <w:rFonts w:ascii="Times New Roman" w:cs="Times New Roman" w:eastAsia="Times New Roman" w:hAnsi="Times New Roman"/>
                <w:sz w:val="18"/>
                <w:szCs w:val="18"/>
                <w:color w:val="000000"/>
              </w:rPr>
              <w:t>.</w:t>
            </w:r>
          </w:p>
        </w:tc>
        <w:tc>
          <w:tcPr>
            <w:tcW w:w="1380" w:type="dxa"/>
            <w:vAlign w:val="bottom"/>
            <w:gridSpan w:val="2"/>
          </w:tcPr>
          <w:p>
            <w:pPr>
              <w:spacing w:after="0"/>
              <w:rPr>
                <w:sz w:val="22"/>
                <w:szCs w:val="22"/>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04"/>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4"/>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bl>
    <w:p>
      <w:pPr>
        <w:spacing w:after="0" w:line="3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-7620</wp:posOffset>
            </wp:positionV>
            <wp:extent cx="16033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-7620</wp:posOffset>
            </wp:positionV>
            <wp:extent cx="15392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39240"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Susan M. Kreh</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6, 2022</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320"/>
          </w:cols>
          <w:pgMar w:left="660" w:top="891" w:right="9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RULE 13A -14(A) UNDER THE SECURITIES EXCHANGE ACT OF 1934, AS AMENDED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Daniel S. Jaffee, certify that: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7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427"/>
        <w:spacing w:after="0" w:line="266" w:lineRule="auto"/>
        <w:tabs>
          <w:tab w:leader="none" w:pos="1960"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477"/>
        <w:spacing w:after="0" w:line="266" w:lineRule="auto"/>
        <w:tabs>
          <w:tab w:leader="none" w:pos="1960"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526"/>
        <w:spacing w:after="0" w:line="266" w:lineRule="auto"/>
        <w:tabs>
          <w:tab w:leader="none" w:pos="1960"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517"/>
        <w:spacing w:after="0" w:line="266" w:lineRule="auto"/>
        <w:tabs>
          <w:tab w:leader="none" w:pos="194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427"/>
        <w:spacing w:after="0" w:line="266" w:lineRule="auto"/>
        <w:tabs>
          <w:tab w:leader="none" w:pos="1960"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477"/>
        <w:spacing w:after="0" w:line="273" w:lineRule="auto"/>
        <w:tabs>
          <w:tab w:leader="none" w:pos="1960"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6, 2022</w:t>
            </w: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S. Jaffee</w:t>
            </w:r>
          </w:p>
        </w:tc>
      </w:tr>
      <w:tr>
        <w:trPr>
          <w:trHeight w:val="178"/>
        </w:trPr>
        <w:tc>
          <w:tcPr>
            <w:tcW w:w="840" w:type="dxa"/>
            <w:vAlign w:val="bottom"/>
          </w:tcPr>
          <w:p>
            <w:pPr>
              <w:spacing w:after="0"/>
              <w:rPr>
                <w:sz w:val="15"/>
                <w:szCs w:val="15"/>
                <w:color w:val="auto"/>
              </w:rPr>
            </w:pPr>
          </w:p>
        </w:tc>
        <w:tc>
          <w:tcPr>
            <w:tcW w:w="42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Daniel S. Jaffee</w:t>
            </w:r>
          </w:p>
        </w:tc>
      </w:tr>
      <w:tr>
        <w:trPr>
          <w:trHeight w:val="234"/>
        </w:trPr>
        <w:tc>
          <w:tcPr>
            <w:tcW w:w="8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color w:val="auto"/>
        </w:rPr>
        <w:t>Exhibit 31 (continued):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a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Susan M. Kreh, certify that: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7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332"/>
        <w:spacing w:after="0" w:line="266" w:lineRule="auto"/>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6, 2022</w:t>
            </w:r>
          </w:p>
        </w:tc>
      </w:tr>
      <w:tr>
        <w:trPr>
          <w:trHeight w:val="22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M. Kreh</w:t>
            </w:r>
          </w:p>
        </w:tc>
      </w:tr>
      <w:tr>
        <w:trPr>
          <w:trHeight w:val="169"/>
        </w:trPr>
        <w:tc>
          <w:tcPr>
            <w:tcW w:w="900" w:type="dxa"/>
            <w:vAlign w:val="bottom"/>
          </w:tcPr>
          <w:p>
            <w:pPr>
              <w:spacing w:after="0"/>
              <w:rPr>
                <w:sz w:val="14"/>
                <w:szCs w:val="14"/>
                <w:color w:val="auto"/>
              </w:rPr>
            </w:pPr>
          </w:p>
        </w:tc>
        <w:tc>
          <w:tcPr>
            <w:tcW w:w="49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Susan M. Kreh</w:t>
            </w:r>
          </w:p>
        </w:tc>
      </w:tr>
      <w:tr>
        <w:trPr>
          <w:trHeight w:val="234"/>
        </w:trPr>
        <w:tc>
          <w:tcPr>
            <w:tcW w:w="9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SARBANES-OXLEY ACT OF 2002 CERTIFICATION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the undersigned officer of Oil-Dri Corporation of America (the “Company”) hereby certifies that to the best of my knowledge the Company’s Quarterly Report on Form 10-Q for the quarter ended October 31, 2022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December 6, 2022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Daniel S. Jaffee</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Chairman, President and Chief Executive Officer</w:t>
      </w: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the undersigned officer of Oil-Dri Corporation of America (the “Company”) hereby certifies that to the best of my knowledge the Company’s Quarterly Report on Form 10-Q for the quarter ended October 31, 2022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December 6, 2022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Name: Susan M. Kreh</w:t>
      </w: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3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October 31, 2022.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21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8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20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3"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81"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Section 104</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1360" w:type="dxa"/>
            <w:vAlign w:val="bottom"/>
          </w:tcPr>
          <w:p>
            <w:pPr>
              <w:spacing w:after="0"/>
              <w:rPr>
                <w:sz w:val="20"/>
                <w:szCs w:val="20"/>
                <w:color w:val="auto"/>
              </w:rPr>
            </w:pPr>
          </w:p>
        </w:tc>
        <w:tc>
          <w:tcPr>
            <w:tcW w:w="218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Legal Actions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“Significant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Section</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Section 110(b)</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107(a)</w:t>
            </w:r>
          </w:p>
        </w:tc>
        <w:tc>
          <w:tcPr>
            <w:tcW w:w="1360" w:type="dxa"/>
            <w:vAlign w:val="bottom"/>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7"/>
              </w:rPr>
              <w:t>Total Dollar</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Pending as of</w:t>
            </w:r>
          </w:p>
        </w:tc>
        <w:tc>
          <w:tcPr>
            <w:tcW w:w="9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Initiated</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Resolved</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and</w:t>
            </w:r>
          </w:p>
        </w:tc>
        <w:tc>
          <w:tcPr>
            <w:tcW w:w="800" w:type="dxa"/>
            <w:vAlign w:val="bottom"/>
            <w:vMerge w:val="continue"/>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104(d)</w:t>
            </w:r>
          </w:p>
        </w:tc>
        <w:tc>
          <w:tcPr>
            <w:tcW w:w="1200" w:type="dxa"/>
            <w:vAlign w:val="bottom"/>
            <w:vMerge w:val="continue"/>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Imminent</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Value of</w:t>
            </w:r>
          </w:p>
        </w:tc>
        <w:tc>
          <w:tcPr>
            <w:tcW w:w="12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Substantial”</w:t>
            </w:r>
          </w:p>
        </w:tc>
        <w:tc>
          <w:tcPr>
            <w:tcW w:w="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104(b)</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Citations</w:t>
            </w:r>
          </w:p>
        </w:tc>
        <w:tc>
          <w:tcPr>
            <w:tcW w:w="1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 Flagrant</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Danger</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Proposed MSHA</w:t>
            </w:r>
          </w:p>
        </w:tc>
        <w:tc>
          <w:tcPr>
            <w:tcW w:w="12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Last Day of</w:t>
            </w:r>
          </w:p>
        </w:tc>
        <w:tc>
          <w:tcPr>
            <w:tcW w:w="9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7"/>
              </w:rPr>
              <w:t>During</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During</w:t>
            </w:r>
          </w:p>
        </w:tc>
        <w:tc>
          <w:tcPr>
            <w:tcW w:w="0" w:type="dxa"/>
            <w:vAlign w:val="bottom"/>
          </w:tcPr>
          <w:p>
            <w:pPr>
              <w:spacing w:after="0"/>
              <w:rPr>
                <w:sz w:val="1"/>
                <w:szCs w:val="1"/>
                <w:color w:val="auto"/>
              </w:rPr>
            </w:pPr>
          </w:p>
        </w:tc>
      </w:tr>
      <w:tr>
        <w:trPr>
          <w:trHeight w:val="238"/>
        </w:trPr>
        <w:tc>
          <w:tcPr>
            <w:tcW w:w="1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Mine location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Violations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Orders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Orders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Violations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Orders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Assessments</w:t>
            </w: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Period</w:t>
            </w: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Period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Period</w:t>
            </w:r>
          </w:p>
        </w:tc>
        <w:tc>
          <w:tcPr>
            <w:tcW w:w="0" w:type="dxa"/>
            <w:vAlign w:val="bottom"/>
          </w:tcPr>
          <w:p>
            <w:pPr>
              <w:spacing w:after="0"/>
              <w:rPr>
                <w:sz w:val="1"/>
                <w:szCs w:val="1"/>
                <w:color w:val="auto"/>
              </w:rPr>
            </w:pPr>
          </w:p>
        </w:tc>
      </w:tr>
      <w:tr>
        <w:trPr>
          <w:trHeight w:val="234"/>
        </w:trPr>
        <w:tc>
          <w:tcPr>
            <w:tcW w:w="15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Ochlocknee, Georgia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133</w:t>
            </w:r>
          </w:p>
        </w:tc>
        <w:tc>
          <w:tcPr>
            <w:tcW w:w="12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Ripley, Mississippi</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spacing w:after="0"/>
              <w:rPr>
                <w:sz w:val="19"/>
                <w:szCs w:val="19"/>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Mounds, Illinois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4,264</w:t>
            </w:r>
          </w:p>
        </w:tc>
        <w:tc>
          <w:tcPr>
            <w:tcW w:w="12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75"/>
        </w:trPr>
        <w:tc>
          <w:tcPr>
            <w:tcW w:w="1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Blue Mountain,</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16,847</w:t>
            </w:r>
          </w:p>
        </w:tc>
        <w:tc>
          <w:tcPr>
            <w:tcW w:w="12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49"/>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1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Taft, California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no mining-related fatalities at any of our facilities during the three months ended October 31, 2022. During this period we also received no written notices from MSHA under section 104(e) of the Mine Act of (i) a pattern of violations of mandatory health or safety standards that are of such nature as could have significantly and substantially contributed to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32" w:name="page33"/>
    <w:bookmarkEnd w:id="32"/>
    <w:p>
      <w:pPr>
        <w:spacing w:after="0" w:line="282" w:lineRule="auto"/>
        <w:rPr>
          <w:sz w:val="20"/>
          <w:szCs w:val="20"/>
          <w:color w:val="auto"/>
        </w:rPr>
      </w:pPr>
      <w:r>
        <w:rPr>
          <w:rFonts w:ascii="Times New Roman" w:cs="Times New Roman" w:eastAsia="Times New Roman" w:hAnsi="Times New Roman"/>
          <w:sz w:val="18"/>
          <w:szCs w:val="18"/>
          <w:color w:val="auto"/>
        </w:rPr>
        <w:t>cause and effect of coal or other mine health or safety hazards; or (ii) the potential to have such a pattern. All legal actions pending and initiated during the period were contests of proposed penalties.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10"/>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2"/>
      <w:numFmt w:val="bullet"/>
      <w:start w:val="1"/>
    </w:lvl>
  </w:abstractNum>
  <w:abstractNum w:abstractNumId="7">
    <w:nsid w:val="12200854"/>
    <w:multiLevelType w:val="hybridMultilevel"/>
    <w:lvl w:ilvl="0">
      <w:lvlJc w:val="left"/>
      <w:lvlText w:val="3"/>
      <w:numFmt w:val="bullet"/>
      <w:start w:val="1"/>
    </w:lvl>
  </w:abstractNum>
  <w:abstractNum w:abstractNumId="8">
    <w:nsid w:val="4DB127F8"/>
    <w:multiLevelType w:val="hybridMultilevel"/>
    <w:lvl w:ilvl="0">
      <w:lvlJc w:val="left"/>
      <w:lvlText w:val="4"/>
      <w:numFmt w:val="bullet"/>
      <w:start w:val="1"/>
    </w:lvl>
  </w:abstractNum>
  <w:abstractNum w:abstractNumId="9">
    <w:nsid w:val="216231B"/>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10">
    <w:nsid w:val="1F16E9E8"/>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2022-12-06T15:17:43Z</dcterms:created>
  <dcterms:modified xsi:type="dcterms:W3CDTF">2022-12-06T15:17:43Z</dcterms:modified>
</cp:coreProperties>
</file>