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pPr>
      <w:r>
        <w:rPr>
          <w:rFonts w:ascii="Times New Roman;sans-serif" w:hAnsi="Times New Roman;sans-serif"/>
          <w:b/>
          <w:color w:val="000000"/>
          <w:sz w:val="20"/>
        </w:rPr>
        <w:t>Pursuant to Section 13 or 15(d) of the Securities Exchange Act of 1934</w:t>
      </w:r>
      <w:r>
        <w:rPr>
          <w:color w:val="000000"/>
        </w:rPr>
        <w:t> </w:t>
      </w:r>
    </w:p>
    <w:tbl>
      <w:tblPr>
        <w:tblW w:w="5623" w:type="dxa"/>
        <w:jc w:val="left"/>
        <w:tblInd w:w="0" w:type="dxa"/>
        <w:tblLayout w:type="fixed"/>
        <w:tblCellMar>
          <w:top w:w="28" w:type="dxa"/>
          <w:left w:w="28" w:type="dxa"/>
          <w:bottom w:w="28" w:type="dxa"/>
          <w:right w:w="28" w:type="dxa"/>
        </w:tblCellMar>
      </w:tblPr>
      <w:tblGrid>
        <w:gridCol w:w="1411"/>
        <w:gridCol w:w="1239"/>
        <w:gridCol w:w="1249"/>
        <w:gridCol w:w="504"/>
        <w:gridCol w:w="504"/>
        <w:gridCol w:w="716"/>
      </w:tblGrid>
      <w:tr>
        <w:trPr/>
        <w:tc>
          <w:tcPr>
            <w:tcW w:w="141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December 13, 2023</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ans-serif" w:hAnsi="Times New Roman;sans-serif"/>
          <w:b/>
          <w:color w:val="000000"/>
          <w:sz w:val="20"/>
        </w:rPr>
        <w:t>OIL-DRI CORPORATION OF AMERICA</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the registrant as specified in its charter)</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20"/>
          <w:u w:val="single"/>
        </w:rPr>
        <w:t>Delaware</w:t>
      </w:r>
      <w:r>
        <w:rPr>
          <w:color w:val="000000"/>
        </w:rPr>
        <w:t xml:space="preserve"> </w:t>
      </w:r>
      <w:r>
        <w:rPr>
          <w:rFonts w:ascii="Times New Roman;sans-serif" w:hAnsi="Times New Roman;sans-serif"/>
          <w:b/>
          <w:color w:val="000000"/>
          <w:sz w:val="24"/>
        </w:rPr>
        <w:t xml:space="preserve">001-12622 </w:t>
      </w:r>
      <w:r>
        <w:rPr>
          <w:rFonts w:ascii="Times New Roman;sans-serif" w:hAnsi="Times New Roman;sans-serif"/>
          <w:b/>
          <w:color w:val="000000"/>
          <w:sz w:val="20"/>
          <w:u w:val="single"/>
        </w:rPr>
        <w:t>36-2048898</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679"/>
        <w:gridCol w:w="1476"/>
        <w:gridCol w:w="1480"/>
        <w:gridCol w:w="109"/>
        <w:gridCol w:w="109"/>
        <w:gridCol w:w="109"/>
        <w:gridCol w:w="688"/>
        <w:gridCol w:w="688"/>
        <w:gridCol w:w="690"/>
        <w:gridCol w:w="109"/>
        <w:gridCol w:w="109"/>
        <w:gridCol w:w="109"/>
        <w:gridCol w:w="833"/>
        <w:gridCol w:w="833"/>
        <w:gridCol w:w="1184"/>
      </w:tblGrid>
      <w:tr>
        <w:trPr/>
        <w:tc>
          <w:tcPr>
            <w:tcW w:w="167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410 North Michigan Avenue, Suite 400 </w:t>
      </w:r>
      <w:r>
        <w:rPr>
          <w:rFonts w:ascii="Times New Roman;sans-serif" w:hAnsi="Times New Roman;sans-serif"/>
          <w:b w:val="false"/>
          <w:color w:val="000000"/>
          <w:sz w:val="20"/>
          <w:u w:val="single"/>
        </w:rPr>
        <w:t>60611-4213</w:t>
      </w:r>
      <w:r>
        <w:rPr>
          <w:color w:val="000000"/>
        </w:rPr>
        <w:t xml:space="preserve"> </w:t>
      </w:r>
    </w:p>
    <w:p>
      <w:pPr>
        <w:pStyle w:val="TextBody"/>
        <w:bidi w:val="0"/>
        <w:spacing w:lineRule="auto" w:line="288" w:before="0" w:after="0"/>
        <w:jc w:val="left"/>
        <w:rPr/>
      </w:pPr>
      <w:r>
        <w:rPr>
          <w:rFonts w:ascii="Times New Roman;sans-serif" w:hAnsi="Times New Roman;sans-serif"/>
          <w:b w:val="false"/>
          <w:color w:val="000000"/>
          <w:sz w:val="20"/>
          <w:u w:val="single"/>
        </w:rPr>
        <w:t>Chicago, Illinois</w:t>
      </w:r>
      <w:r>
        <w:rPr>
          <w:color w:val="000000"/>
        </w:rPr>
        <w:t xml:space="preserve"> </w:t>
      </w:r>
      <w:r>
        <w:rPr>
          <w:rFonts w:ascii="Times New Roman;sans-serif" w:hAnsi="Times New Roman;sans-serif"/>
          <w:b w:val="false"/>
          <w:color w:val="000000"/>
          <w:sz w:val="20"/>
        </w:rPr>
        <w:t>(Zip Code)</w:t>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(Address of principal executive offices)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Registrant's telephone number, including area code</w:t>
      </w:r>
      <w:r>
        <w:rPr>
          <w:color w:val="000000"/>
        </w:rPr>
        <w:t xml:space="preserve"> </w:t>
      </w:r>
      <w:r>
        <w:rPr>
          <w:rFonts w:ascii="Times New Roman;sans-serif" w:hAnsi="Times New Roman;sans-serif"/>
          <w:b/>
          <w:color w:val="000000"/>
          <w:sz w:val="20"/>
        </w:rPr>
        <w:t xml:space="preserve">(312) 321-1515 </w:t>
      </w:r>
    </w:p>
    <w:p>
      <w:pPr>
        <w:pStyle w:val="TextBody"/>
        <w:bidi w:val="0"/>
        <w:spacing w:before="0" w:after="0"/>
        <w:jc w:val="center"/>
        <w:rPr/>
      </w:pPr>
      <w:r>
        <w:rPr/>
      </w:r>
    </w:p>
    <w:p>
      <w:pPr>
        <w:pStyle w:val="TextBody"/>
        <w:bidi w:val="0"/>
        <w:spacing w:before="0" w:after="0"/>
        <w:jc w:val="left"/>
        <w:rPr/>
      </w:pPr>
      <w:r>
        <w:rPr/>
      </w:r>
    </w:p>
    <w:tbl>
      <w:tblPr>
        <w:tblW w:w="5115" w:type="dxa"/>
        <w:jc w:val="left"/>
        <w:tblInd w:w="0" w:type="dxa"/>
        <w:tblLayout w:type="fixed"/>
        <w:tblCellMar>
          <w:top w:w="28" w:type="dxa"/>
          <w:left w:w="28" w:type="dxa"/>
          <w:bottom w:w="28" w:type="dxa"/>
          <w:right w:w="28" w:type="dxa"/>
        </w:tblCellMar>
      </w:tblPr>
      <w:tblGrid>
        <w:gridCol w:w="1635"/>
        <w:gridCol w:w="1441"/>
        <w:gridCol w:w="2039"/>
      </w:tblGrid>
      <w:tr>
        <w:trPr/>
        <w:tc>
          <w:tcPr>
            <w:tcW w:w="1635"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5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 </w:t>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ans-serif" w:hAnsi="Times New Roman;sans-serif"/>
          <w:b w:val="false"/>
          <w:color w:val="000000"/>
          <w:sz w:val="20"/>
        </w:rPr>
        <w:t>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19" w:type="dxa"/>
        <w:jc w:val="center"/>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$0.10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ODC</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before="0" w:after="0"/>
        <w:jc w:val="both"/>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787" w:type="dxa"/>
        <w:jc w:val="left"/>
        <w:tblInd w:w="0" w:type="dxa"/>
        <w:tblLayout w:type="fixed"/>
        <w:tblCellMar>
          <w:top w:w="28" w:type="dxa"/>
          <w:left w:w="28" w:type="dxa"/>
          <w:bottom w:w="28" w:type="dxa"/>
          <w:right w:w="28" w:type="dxa"/>
        </w:tblCellMar>
      </w:tblPr>
      <w:tblGrid>
        <w:gridCol w:w="124"/>
        <w:gridCol w:w="109"/>
        <w:gridCol w:w="109"/>
        <w:gridCol w:w="300"/>
        <w:gridCol w:w="300"/>
        <w:gridCol w:w="301"/>
        <w:gridCol w:w="1329"/>
        <w:gridCol w:w="1329"/>
        <w:gridCol w:w="18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5.07</w:t>
            </w:r>
          </w:p>
        </w:tc>
        <w:tc>
          <w:tcPr>
            <w:tcW w:w="454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Submission of Matters to a Vote of Security Holders.</w:t>
            </w:r>
          </w:p>
        </w:tc>
      </w:tr>
    </w:tbl>
    <w:p>
      <w:pPr>
        <w:pStyle w:val="TextBody"/>
        <w:bidi w:val="0"/>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held its annual meeting of stockholders on December 13, 2023. See the Company’s 2023 Proxy Statement for more information on the proposals presented at the meeting, the relevant portions of which are incorporated herein by reference.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PROPOSAL 1: ELECTION OF DIRECTORS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stockholders elected all of the nominees for director recommended by the Company’s Board of Directors (the “Board”). The voting results were as follows:</w:t>
      </w:r>
    </w:p>
    <w:p>
      <w:pPr>
        <w:pStyle w:val="TextBody"/>
        <w:bidi w:val="0"/>
        <w:spacing w:before="0" w:after="0"/>
        <w:jc w:val="left"/>
        <w:rPr/>
      </w:pPr>
      <w:r>
        <w:rPr/>
      </w:r>
    </w:p>
    <w:tbl>
      <w:tblPr>
        <w:tblW w:w="6999"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540"/>
        <w:gridCol w:w="541"/>
        <w:gridCol w:w="141"/>
        <w:gridCol w:w="109"/>
        <w:gridCol w:w="109"/>
        <w:gridCol w:w="109"/>
        <w:gridCol w:w="488"/>
        <w:gridCol w:w="488"/>
        <w:gridCol w:w="296"/>
        <w:gridCol w:w="109"/>
        <w:gridCol w:w="109"/>
        <w:gridCol w:w="109"/>
        <w:gridCol w:w="492"/>
        <w:gridCol w:w="492"/>
        <w:gridCol w:w="69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Withheld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Ellen-Blair Chube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22,878,476 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1,745,334 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574,854 </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M. Hindsley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21,786,063 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2,837,747 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574,854 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S. Jaffee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23,319,672 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1,304,138 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574,854 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 Nemeroff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22,609,684 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2,014,126 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574,854 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George C. Roeth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23,449,202 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1,174,608 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574,854 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Amy L Ryan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21,776,443 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2,847,367 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574,854 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Patricia J. Schmeda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24,553,031 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70,779 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574,854 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Allan H. Selig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23,307,978 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1,315,832 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574,854 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Lawrence E. Washow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23,114,099 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1,509,711 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574,854 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PROPOSAL 2: RATIFICATION OF THE APPOINTMENT OF INDEPENDENT AUDITOR</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stockholders ratified the appointment of Grant Thornton LLP as independent auditor for the fiscal year ending July 31, 2024. The voting results were as follows:</w:t>
      </w:r>
    </w:p>
    <w:p>
      <w:pPr>
        <w:pStyle w:val="TextBody"/>
        <w:bidi w:val="0"/>
        <w:spacing w:before="0" w:after="0"/>
        <w:jc w:val="left"/>
        <w:rPr/>
      </w:pPr>
      <w:r>
        <w:rPr/>
      </w:r>
    </w:p>
    <w:tbl>
      <w:tblPr>
        <w:tblW w:w="1986" w:type="dxa"/>
        <w:jc w:val="left"/>
        <w:tblInd w:w="0" w:type="dxa"/>
        <w:tblLayout w:type="fixed"/>
        <w:tblCellMar>
          <w:top w:w="28" w:type="dxa"/>
          <w:left w:w="28" w:type="dxa"/>
          <w:bottom w:w="28" w:type="dxa"/>
          <w:right w:w="28" w:type="dxa"/>
        </w:tblCellMar>
      </w:tblPr>
      <w:tblGrid>
        <w:gridCol w:w="270"/>
        <w:gridCol w:w="238"/>
        <w:gridCol w:w="243"/>
        <w:gridCol w:w="540"/>
        <w:gridCol w:w="541"/>
        <w:gridCol w:w="154"/>
      </w:tblGrid>
      <w:tr>
        <w:trPr/>
        <w:tc>
          <w:tcPr>
            <w:tcW w:w="27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25,108,509 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Against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Abstain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lineRule="auto" w:line="276" w:before="100" w:after="283"/>
        <w:jc w:val="both"/>
        <w:rPr>
          <w:rFonts w:ascii="Times New Roman;sans-serif" w:hAnsi="Times New Roman;sans-serif"/>
          <w:b/>
          <w:color w:val="000000"/>
          <w:sz w:val="20"/>
        </w:rPr>
      </w:pPr>
      <w:r>
        <w:rPr>
          <w:rFonts w:ascii="Times New Roman;sans-serif" w:hAnsi="Times New Roman;sans-serif"/>
          <w:b/>
          <w:color w:val="000000"/>
          <w:sz w:val="20"/>
        </w:rPr>
        <w:t xml:space="preserve">PROPOSAL 3: ADVISORY VOTE ON EXECUTIVE COMPENSATION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stockholders voted to approve, on an advisory basis, the compensation of the named executive officers disclosed in the Proxy Statement. The voting results were as follows:</w:t>
      </w:r>
    </w:p>
    <w:p>
      <w:pPr>
        <w:pStyle w:val="TextBody"/>
        <w:bidi w:val="0"/>
        <w:spacing w:before="0" w:after="0"/>
        <w:jc w:val="left"/>
        <w:rPr/>
      </w:pPr>
      <w:r>
        <w:rPr/>
      </w:r>
    </w:p>
    <w:tbl>
      <w:tblPr>
        <w:tblW w:w="2869" w:type="dxa"/>
        <w:jc w:val="left"/>
        <w:tblInd w:w="0" w:type="dxa"/>
        <w:tblLayout w:type="fixed"/>
        <w:tblCellMar>
          <w:top w:w="28" w:type="dxa"/>
          <w:left w:w="28" w:type="dxa"/>
          <w:bottom w:w="28" w:type="dxa"/>
          <w:right w:w="28" w:type="dxa"/>
        </w:tblCellMar>
      </w:tblPr>
      <w:tblGrid>
        <w:gridCol w:w="587"/>
        <w:gridCol w:w="518"/>
        <w:gridCol w:w="529"/>
        <w:gridCol w:w="540"/>
        <w:gridCol w:w="541"/>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24,036,678 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Against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Abstain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Broker Non-Votes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283"/>
        <w:jc w:val="both"/>
        <w:rPr/>
      </w:pPr>
      <w:r>
        <w:rPr/>
      </w:r>
    </w:p>
    <w:p>
      <w:pPr>
        <w:pStyle w:val="TextBody"/>
        <w:bidi w:val="0"/>
        <w:spacing w:lineRule="auto" w:line="276" w:before="100" w:after="283"/>
        <w:jc w:val="both"/>
        <w:rPr>
          <w:rFonts w:ascii="Times New Roman;sans-serif" w:hAnsi="Times New Roman;sans-serif"/>
          <w:b/>
          <w:color w:val="000000"/>
          <w:sz w:val="20"/>
        </w:rPr>
      </w:pPr>
      <w:r>
        <w:rPr>
          <w:rFonts w:ascii="Times New Roman;sans-serif" w:hAnsi="Times New Roman;sans-serif"/>
          <w:b/>
          <w:color w:val="000000"/>
          <w:sz w:val="20"/>
        </w:rPr>
        <w:t xml:space="preserve">PROPOSAL 4: ADVISORY VOTE ON THE FREQUENCY OF FUTURE ADVISORY VOTES ON EXECUTIVE COMPENSATION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stockholders voted to select, on an advisory basis, the frequency of future advisory votes on the compensation of the named executive officers. The voting results were as follows:</w:t>
      </w:r>
    </w:p>
    <w:p>
      <w:pPr>
        <w:pStyle w:val="TextBody"/>
        <w:bidi w:val="0"/>
        <w:spacing w:before="0" w:after="0"/>
        <w:jc w:val="left"/>
        <w:rPr/>
      </w:pPr>
      <w:r>
        <w:rPr/>
      </w:r>
    </w:p>
    <w:tbl>
      <w:tblPr>
        <w:tblW w:w="2825" w:type="dxa"/>
        <w:jc w:val="left"/>
        <w:tblInd w:w="0" w:type="dxa"/>
        <w:tblLayout w:type="fixed"/>
        <w:tblCellMar>
          <w:top w:w="28" w:type="dxa"/>
          <w:left w:w="28" w:type="dxa"/>
          <w:bottom w:w="28" w:type="dxa"/>
          <w:right w:w="28" w:type="dxa"/>
        </w:tblCellMar>
      </w:tblPr>
      <w:tblGrid>
        <w:gridCol w:w="574"/>
        <w:gridCol w:w="504"/>
        <w:gridCol w:w="512"/>
        <w:gridCol w:w="540"/>
        <w:gridCol w:w="541"/>
        <w:gridCol w:w="154"/>
      </w:tblGrid>
      <w:tr>
        <w:trPr/>
        <w:tc>
          <w:tcPr>
            <w:tcW w:w="57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Years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22,357,461 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Years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Year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Abstain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 Non-Votes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76" w:before="100" w:after="283"/>
        <w:jc w:val="both"/>
        <w:rPr>
          <w:rFonts w:ascii="Times New Roman;sans-serif" w:hAnsi="Times New Roman;sans-serif"/>
          <w:b/>
          <w:color w:val="000000"/>
          <w:sz w:val="20"/>
        </w:rPr>
      </w:pPr>
      <w:r>
        <w:rPr>
          <w:rFonts w:ascii="Times New Roman;sans-serif" w:hAnsi="Times New Roman;sans-serif"/>
          <w:b/>
          <w:color w:val="000000"/>
          <w:sz w:val="20"/>
        </w:rPr>
        <w:t xml:space="preserve">PROPOSAL 5: APPROVAL OF THE AMENDED AND RESTATED OIL-DRI CORPORATION OF AMERICA 2006 LONG TERM INCENTIVE PLAN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stockholders voted to approve the Amended and Restated Oil-Dri Corporation of America 2006 Long Term Incentive Plan. The voting results were as follows:</w:t>
      </w:r>
    </w:p>
    <w:p>
      <w:pPr>
        <w:pStyle w:val="TextBody"/>
        <w:bidi w:val="0"/>
        <w:spacing w:before="0" w:after="0"/>
        <w:jc w:val="left"/>
        <w:rPr/>
      </w:pPr>
      <w:r>
        <w:rPr/>
      </w:r>
    </w:p>
    <w:tbl>
      <w:tblPr>
        <w:tblW w:w="2825" w:type="dxa"/>
        <w:jc w:val="left"/>
        <w:tblInd w:w="0" w:type="dxa"/>
        <w:tblLayout w:type="fixed"/>
        <w:tblCellMar>
          <w:top w:w="28" w:type="dxa"/>
          <w:left w:w="28" w:type="dxa"/>
          <w:bottom w:w="28" w:type="dxa"/>
          <w:right w:w="28" w:type="dxa"/>
        </w:tblCellMar>
      </w:tblPr>
      <w:tblGrid>
        <w:gridCol w:w="571"/>
        <w:gridCol w:w="504"/>
        <w:gridCol w:w="515"/>
        <w:gridCol w:w="540"/>
        <w:gridCol w:w="541"/>
        <w:gridCol w:w="154"/>
      </w:tblGrid>
      <w:tr>
        <w:trPr/>
        <w:tc>
          <w:tcPr>
            <w:tcW w:w="57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22,629,721 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Against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Abstain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 Non-Votes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2547" w:type="dxa"/>
        <w:jc w:val="left"/>
        <w:tblInd w:w="0" w:type="dxa"/>
        <w:tblLayout w:type="fixed"/>
        <w:tblCellMar>
          <w:top w:w="28" w:type="dxa"/>
          <w:left w:w="28" w:type="dxa"/>
          <w:bottom w:w="28" w:type="dxa"/>
          <w:right w:w="28" w:type="dxa"/>
        </w:tblCellMar>
      </w:tblPr>
      <w:tblGrid>
        <w:gridCol w:w="124"/>
        <w:gridCol w:w="109"/>
        <w:gridCol w:w="109"/>
        <w:gridCol w:w="300"/>
        <w:gridCol w:w="300"/>
        <w:gridCol w:w="301"/>
        <w:gridCol w:w="381"/>
        <w:gridCol w:w="381"/>
        <w:gridCol w:w="5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8.01</w:t>
            </w:r>
          </w:p>
        </w:tc>
        <w:tc>
          <w:tcPr>
            <w:tcW w:w="130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Other Events.</w:t>
            </w:r>
          </w:p>
        </w:tc>
      </w:tr>
    </w:tbl>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its regular meeting on December 13, 2023, the Board declared quarterly cash dividends of $0.29 per share of the Company’s Common Stock and $0.218 per share of the Company’s Class B Stock. The dividends will be payable on March 8, 2024, to stockholders of record at the close of business on February 23, 2024. A copy of the Company’s press release announcing these matters is attached as Exhibit 99.1 and the information contained therein is incorporated herein by reference.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this Item 8.01 and Exhibit 99.1 shall not be deemed “filed” for purposes of Section 18 of the Securities Exchange Act of 1934, as amended (the “Exchange Act”), or otherwise subject to the liabilities of that section. This information shall not be deemed to be incorporated by reference in any filing under the Securities Act of 1933, as amended, or the Exchange Act, except as shall be expressly set forth by specific reference to such disclosure in this Form 8-K in such a filing.</w:t>
      </w:r>
    </w:p>
    <w:p>
      <w:pPr>
        <w:pStyle w:val="TextBody"/>
        <w:bidi w:val="0"/>
        <w:spacing w:before="0" w:after="0"/>
        <w:jc w:val="both"/>
        <w:rPr/>
      </w:pPr>
      <w:r>
        <w:rPr/>
      </w:r>
    </w:p>
    <w:tbl>
      <w:tblPr>
        <w:tblW w:w="4318" w:type="dxa"/>
        <w:jc w:val="left"/>
        <w:tblInd w:w="0" w:type="dxa"/>
        <w:tblLayout w:type="fixed"/>
        <w:tblCellMar>
          <w:top w:w="28" w:type="dxa"/>
          <w:left w:w="28" w:type="dxa"/>
          <w:bottom w:w="28" w:type="dxa"/>
          <w:right w:w="28" w:type="dxa"/>
        </w:tblCellMar>
      </w:tblPr>
      <w:tblGrid>
        <w:gridCol w:w="124"/>
        <w:gridCol w:w="109"/>
        <w:gridCol w:w="109"/>
        <w:gridCol w:w="300"/>
        <w:gridCol w:w="300"/>
        <w:gridCol w:w="301"/>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(d)Exhibits</w:t>
      </w:r>
    </w:p>
    <w:tbl>
      <w:tblPr>
        <w:tblW w:w="4437"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979"/>
        <w:gridCol w:w="979"/>
        <w:gridCol w:w="1386"/>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br/>
              <w:t> </w:t>
              <w:br/>
              <w:t>Description of Exhibits</w:t>
            </w:r>
          </w:p>
        </w:tc>
      </w:tr>
      <w:tr>
        <w:trPr/>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q1xf24xdividends.htm">
              <w:r>
                <w:rPr>
                  <w:rStyle w:val="InternetLink"/>
                  <w:rFonts w:ascii="Times New Roman;sans-serif" w:hAnsi="Times New Roman;sans-serif"/>
                  <w:b w:val="false"/>
                  <w:color w:val="0000FF"/>
                  <w:sz w:val="20"/>
                  <w:u w:val="single"/>
                </w:rPr>
                <w:t>Press Release dated December 14, 2023</w:t>
              </w:r>
            </w:hyperlink>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81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Company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8286" w:type="dxa"/>
        <w:jc w:val="left"/>
        <w:tblInd w:w="0" w:type="dxa"/>
        <w:tblLayout w:type="fixed"/>
        <w:tblCellMar>
          <w:top w:w="28" w:type="dxa"/>
          <w:left w:w="28" w:type="dxa"/>
          <w:bottom w:w="28" w:type="dxa"/>
          <w:right w:w="28" w:type="dxa"/>
        </w:tblCellMar>
      </w:tblPr>
      <w:tblGrid>
        <w:gridCol w:w="124"/>
        <w:gridCol w:w="109"/>
        <w:gridCol w:w="109"/>
        <w:gridCol w:w="574"/>
        <w:gridCol w:w="574"/>
        <w:gridCol w:w="574"/>
        <w:gridCol w:w="1947"/>
        <w:gridCol w:w="1947"/>
        <w:gridCol w:w="19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OIL-DRI CORPORATION OF AMERICA</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Laura G. Scheland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Laura G. Scheland</w:t>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Strategic Partnerships and General Counsel &amp; Secretary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Date:  December 14,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drawing>
          <wp:inline distT="0" distB="0" distL="0" distR="0">
            <wp:extent cx="1485900" cy="4953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85900" cy="495300"/>
                    </a:xfrm>
                    <a:prstGeom prst="rect">
                      <a:avLst/>
                    </a:prstGeom>
                  </pic:spPr>
                </pic:pic>
              </a:graphicData>
            </a:graphic>
          </wp:inline>
        </w:drawing>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8.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2D69"/>
          <w:sz w:val="17"/>
        </w:rPr>
      </w:pPr>
      <w:r>
        <w:rPr>
          <w:rFonts w:ascii="Times New Roman;sans-serif" w:hAnsi="Times New Roman;sans-serif"/>
          <w:b w:val="false"/>
          <w:color w:val="002D69"/>
          <w:sz w:val="17"/>
        </w:rPr>
        <w:t>410 N. Michigan Ave. Chicago, Illinois 60611, U.S.A</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2D69"/>
          <w:sz w:val="24"/>
        </w:rPr>
      </w:pPr>
      <w:r>
        <w:rPr>
          <w:rFonts w:ascii="Times New Roman;sans-serif" w:hAnsi="Times New Roman;sans-serif"/>
          <w:b/>
          <w:color w:val="002D69"/>
          <w:sz w:val="24"/>
        </w:rPr>
        <w:t>News Announcement</w:t>
      </w:r>
    </w:p>
    <w:p>
      <w:pPr>
        <w:pStyle w:val="TextBody"/>
        <w:bidi w:val="0"/>
        <w:spacing w:lineRule="auto" w:line="288" w:before="0" w:after="0"/>
        <w:jc w:val="center"/>
        <w:rPr>
          <w:rFonts w:ascii="Times New Roman;sans-serif" w:hAnsi="Times New Roman;sans-serif"/>
          <w:b w:val="false"/>
          <w:i/>
          <w:color w:val="002D69"/>
          <w:sz w:val="24"/>
        </w:rPr>
      </w:pPr>
      <w:r>
        <w:rPr>
          <w:rFonts w:ascii="Times New Roman;sans-serif" w:hAnsi="Times New Roman;sans-serif"/>
          <w:b w:val="false"/>
          <w:i/>
          <w:color w:val="002D69"/>
          <w:sz w:val="24"/>
        </w:rPr>
        <w:t>For Immediate Release</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99.1</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Oil-Dri Board of Directors Declares Quarterly Dividends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CHICAGO—(December 14, 2023)— The Board of Directors of Oil-Dri Corporation of America (NYSE: ODC) yesterday declared quarterly cash dividends of $0.29 per share of the Company’s Common Stock and $0.218 per share of the Company’s Class B Stock.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dividends declared will be payable on March 8, 2024 to stockholders of record at the close of business on February 23, 2024. The Company has paid cash dividends continuously since 1974 and has increased dividends annually for twenty consecutive years.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expects to release earnings for its second quarter of fiscal 2024 after the close of the U.S. stock market on Thursday, March 7, 2024 and to host an earnings discussion via webcast on Friday, March 8, 2024. Participation details will be posted on the Events page of the Company’s website approximately one week prior to the call. </w: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i/>
          <w:color w:val="000000"/>
          <w:sz w:val="20"/>
        </w:rPr>
        <w:t>Oil-Dri Corporation of America is a leading manufacturer and supplier of specialty sorbent products for the pet care, animal health and nutrition, fluids purification, agricultural ingredients, sports field, industrial and automotive markets.</w:t>
      </w:r>
      <w:r>
        <w:rPr>
          <w:color w:val="000000"/>
        </w:rPr>
        <w:t xml:space="preserve"> </w:t>
      </w:r>
      <w:r>
        <w:rPr>
          <w:rFonts w:ascii="Times New Roman;sans-serif" w:hAnsi="Times New Roman;sans-serif"/>
          <w:b w:val="false"/>
          <w:i/>
          <w:color w:val="000000"/>
          <w:sz w:val="20"/>
        </w:rPr>
        <w:t>Oil-Dri is vertically integrated which enables the Company to efficiently oversee every step of the process from research and development to supply chain to marketing and sales. With over 80 years of experience, the Company continues to fulfill its mission to Create Value from Sorbent Minerals.</w:t>
      </w:r>
      <w:r>
        <w:rPr>
          <w:color w:val="000000"/>
        </w:rPr>
        <w:t xml:space="preserve"> </w:t>
      </w:r>
      <w:r>
        <w:rPr>
          <w:rFonts w:ascii="Times New Roman;sans-serif" w:hAnsi="Times New Roman;sans-serif"/>
          <w:b w:val="false"/>
          <w:i/>
          <w:color w:val="000000"/>
          <w:sz w:val="20"/>
        </w:rPr>
        <w:t>To learn more about the Company, visit oildri.com.</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Category: Dividends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Contact:</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Leslie A. Garber</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Manager of Investor Relations</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Oil-Dri Corporation of America</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InvestorRelations@oildri.com</w:t>
      </w:r>
    </w:p>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(312) 321-1515</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93190"/>
                <wp:effectExtent l="0" t="0" r="0" b="0"/>
                <wp:wrapNone/>
                <wp:docPr id="6" name="Frame5"/>
                <a:graphic xmlns:a="http://schemas.openxmlformats.org/drawingml/2006/main">
                  <a:graphicData uri="http://schemas.microsoft.com/office/word/2010/wordprocessingShape">
                    <wps:wsp>
                      <wps:cNvSpPr txBox="1"/>
                      <wps:spPr>
                        <a:xfrm>
                          <a:off x="0" y="0"/>
                          <a:ext cx="6480175" cy="139319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2D69"/>
                                <w:sz w:val="16"/>
                              </w:rPr>
                            </w:pPr>
                            <w:r>
                              <w:rPr>
                                <w:rFonts w:ascii="Times New Roman;sans-serif" w:hAnsi="Times New Roman;sans-serif"/>
                                <w:b/>
                                <w:color w:val="002D69"/>
                                <w:sz w:val="16"/>
                              </w:rPr>
                              <w:t>Leslie A. Garber</w:t>
                            </w:r>
                          </w:p>
                          <w:p>
                            <w:pPr>
                              <w:pStyle w:val="TextBody"/>
                              <w:bidi w:val="0"/>
                              <w:spacing w:lineRule="auto" w:line="288" w:before="0" w:after="0"/>
                              <w:jc w:val="center"/>
                              <w:rPr>
                                <w:rFonts w:ascii="Times New Roman;sans-serif" w:hAnsi="Times New Roman;sans-serif"/>
                                <w:b w:val="false"/>
                                <w:i/>
                                <w:color w:val="002D69"/>
                                <w:sz w:val="16"/>
                              </w:rPr>
                            </w:pPr>
                            <w:r>
                              <w:rPr>
                                <w:rFonts w:ascii="Times New Roman;sans-serif" w:hAnsi="Times New Roman;sans-serif"/>
                                <w:b w:val="false"/>
                                <w:i/>
                                <w:color w:val="002D69"/>
                                <w:sz w:val="16"/>
                              </w:rPr>
                              <w:t>Investor Relations Manager</w:t>
                            </w:r>
                          </w:p>
                          <w:p>
                            <w:pPr>
                              <w:pStyle w:val="TextBody"/>
                              <w:bidi w:val="0"/>
                              <w:spacing w:lineRule="auto" w:line="288" w:before="0" w:after="0"/>
                              <w:jc w:val="center"/>
                              <w:rPr>
                                <w:rFonts w:ascii="Times New Roman;sans-serif" w:hAnsi="Times New Roman;sans-serif"/>
                                <w:b w:val="false"/>
                                <w:color w:val="002D69"/>
                                <w:sz w:val="16"/>
                                <w:u w:val="single"/>
                              </w:rPr>
                            </w:pPr>
                            <w:r>
                              <w:rPr>
                                <w:rFonts w:ascii="Times New Roman;sans-serif" w:hAnsi="Times New Roman;sans-serif"/>
                                <w:b w:val="false"/>
                                <w:color w:val="002D69"/>
                                <w:sz w:val="16"/>
                                <w:u w:val="single"/>
                              </w:rPr>
                              <w:t>InvestorRelations@oildri.com</w:t>
                            </w:r>
                          </w:p>
                          <w:p>
                            <w:pPr>
                              <w:pStyle w:val="TextBody"/>
                              <w:bidi w:val="0"/>
                              <w:spacing w:lineRule="auto" w:line="288" w:before="0" w:after="0"/>
                              <w:jc w:val="center"/>
                              <w:rPr>
                                <w:rFonts w:ascii="Times New Roman;sans-serif" w:hAnsi="Times New Roman;sans-serif"/>
                                <w:b w:val="false"/>
                                <w:color w:val="002D69"/>
                                <w:sz w:val="16"/>
                              </w:rPr>
                            </w:pPr>
                            <w:r>
                              <w:rPr>
                                <w:rFonts w:ascii="Times New Roman;sans-serif" w:hAnsi="Times New Roman;sans-serif"/>
                                <w:b w:val="false"/>
                                <w:color w:val="002D69"/>
                                <w:sz w:val="16"/>
                              </w:rPr>
                              <w:t>(312) 321-1515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7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2D69"/>
                          <w:sz w:val="16"/>
                        </w:rPr>
                      </w:pPr>
                      <w:r>
                        <w:rPr>
                          <w:rFonts w:ascii="Times New Roman;sans-serif" w:hAnsi="Times New Roman;sans-serif"/>
                          <w:b/>
                          <w:color w:val="002D69"/>
                          <w:sz w:val="16"/>
                        </w:rPr>
                        <w:t>Leslie A. Garber</w:t>
                      </w:r>
                    </w:p>
                    <w:p>
                      <w:pPr>
                        <w:pStyle w:val="TextBody"/>
                        <w:bidi w:val="0"/>
                        <w:spacing w:lineRule="auto" w:line="288" w:before="0" w:after="0"/>
                        <w:jc w:val="center"/>
                        <w:rPr>
                          <w:rFonts w:ascii="Times New Roman;sans-serif" w:hAnsi="Times New Roman;sans-serif"/>
                          <w:b w:val="false"/>
                          <w:i/>
                          <w:color w:val="002D69"/>
                          <w:sz w:val="16"/>
                        </w:rPr>
                      </w:pPr>
                      <w:r>
                        <w:rPr>
                          <w:rFonts w:ascii="Times New Roman;sans-serif" w:hAnsi="Times New Roman;sans-serif"/>
                          <w:b w:val="false"/>
                          <w:i/>
                          <w:color w:val="002D69"/>
                          <w:sz w:val="16"/>
                        </w:rPr>
                        <w:t>Investor Relations Manager</w:t>
                      </w:r>
                    </w:p>
                    <w:p>
                      <w:pPr>
                        <w:pStyle w:val="TextBody"/>
                        <w:bidi w:val="0"/>
                        <w:spacing w:lineRule="auto" w:line="288" w:before="0" w:after="0"/>
                        <w:jc w:val="center"/>
                        <w:rPr>
                          <w:rFonts w:ascii="Times New Roman;sans-serif" w:hAnsi="Times New Roman;sans-serif"/>
                          <w:b w:val="false"/>
                          <w:color w:val="002D69"/>
                          <w:sz w:val="16"/>
                          <w:u w:val="single"/>
                        </w:rPr>
                      </w:pPr>
                      <w:r>
                        <w:rPr>
                          <w:rFonts w:ascii="Times New Roman;sans-serif" w:hAnsi="Times New Roman;sans-serif"/>
                          <w:b w:val="false"/>
                          <w:color w:val="002D69"/>
                          <w:sz w:val="16"/>
                          <w:u w:val="single"/>
                        </w:rPr>
                        <w:t>InvestorRelations@oildri.com</w:t>
                      </w:r>
                    </w:p>
                    <w:p>
                      <w:pPr>
                        <w:pStyle w:val="TextBody"/>
                        <w:bidi w:val="0"/>
                        <w:spacing w:lineRule="auto" w:line="288" w:before="0" w:after="0"/>
                        <w:jc w:val="center"/>
                        <w:rPr>
                          <w:rFonts w:ascii="Times New Roman;sans-serif" w:hAnsi="Times New Roman;sans-serif"/>
                          <w:b w:val="false"/>
                          <w:color w:val="002D69"/>
                          <w:sz w:val="16"/>
                        </w:rPr>
                      </w:pPr>
                      <w:r>
                        <w:rPr>
                          <w:rFonts w:ascii="Times New Roman;sans-serif" w:hAnsi="Times New Roman;sans-serif"/>
                          <w:b w:val="false"/>
                          <w:color w:val="002D69"/>
                          <w:sz w:val="16"/>
                        </w:rPr>
                        <w:t>(312) 321-1515</w:t>
                      </w:r>
                    </w:p>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1160</Words>
  <Characters>6474</Characters>
  <CharactersWithSpaces>7592</CharactersWithSpaces>
  <Paragraphs>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