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328930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243205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Date of Report (Date of earliest event reported)</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2460"/>
              <w:spacing w:after="0"/>
              <w:rPr>
                <w:sz w:val="20"/>
                <w:szCs w:val="20"/>
                <w:color w:val="auto"/>
              </w:rPr>
            </w:pPr>
            <w:r>
              <w:rPr>
                <w:rFonts w:ascii="Arial" w:cs="Arial" w:eastAsia="Arial" w:hAnsi="Arial"/>
                <w:sz w:val="18"/>
                <w:szCs w:val="18"/>
                <w:color w:val="auto"/>
                <w:w w:val="91"/>
              </w:rPr>
              <w:t>July 12, 2020</w:t>
            </w:r>
          </w:p>
        </w:tc>
      </w:tr>
      <w:tr>
        <w:trPr>
          <w:trHeight w:val="837"/>
        </w:trPr>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4"/>
              </w:rPr>
              <w:t>Oil-Dri Corporation of America</w:t>
            </w:r>
          </w:p>
        </w:tc>
        <w:tc>
          <w:tcPr>
            <w:tcW w:w="3460" w:type="dxa"/>
            <w:vAlign w:val="bottom"/>
          </w:tcPr>
          <w:p>
            <w:pPr>
              <w:spacing w:after="0"/>
              <w:rPr>
                <w:sz w:val="24"/>
                <w:szCs w:val="24"/>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440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0"/>
                <w:szCs w:val="20"/>
                <w:color w:val="auto"/>
              </w:rPr>
            </w:pPr>
          </w:p>
        </w:tc>
      </w:tr>
      <w:tr>
        <w:trPr>
          <w:trHeight w:val="621"/>
        </w:trPr>
        <w:tc>
          <w:tcPr>
            <w:tcW w:w="42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001-12622</w:t>
            </w:r>
          </w:p>
        </w:tc>
        <w:tc>
          <w:tcPr>
            <w:tcW w:w="46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36-2048898</w:t>
            </w: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22"/>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gridSpan w:val="5"/>
          </w:tcPr>
          <w:p>
            <w:pPr>
              <w:jc w:val="center"/>
              <w:ind w:right="840"/>
              <w:spacing w:after="0"/>
              <w:rPr>
                <w:sz w:val="20"/>
                <w:szCs w:val="20"/>
                <w:color w:val="auto"/>
              </w:rPr>
            </w:pPr>
            <w:r>
              <w:rPr>
                <w:rFonts w:ascii="Arial" w:cs="Arial" w:eastAsia="Arial" w:hAnsi="Arial"/>
                <w:sz w:val="18"/>
                <w:szCs w:val="18"/>
                <w:color w:val="auto"/>
                <w:w w:val="93"/>
              </w:rPr>
              <w:t>(Commission File</w:t>
            </w: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incorporation)</w:t>
            </w:r>
          </w:p>
        </w:tc>
        <w:tc>
          <w:tcPr>
            <w:tcW w:w="3540" w:type="dxa"/>
            <w:vAlign w:val="bottom"/>
            <w:gridSpan w:val="5"/>
          </w:tcPr>
          <w:p>
            <w:pPr>
              <w:jc w:val="center"/>
              <w:ind w:right="860"/>
              <w:spacing w:after="0"/>
              <w:rPr>
                <w:sz w:val="20"/>
                <w:szCs w:val="20"/>
                <w:color w:val="auto"/>
              </w:rPr>
            </w:pPr>
            <w:r>
              <w:rPr>
                <w:rFonts w:ascii="Arial" w:cs="Arial" w:eastAsia="Arial" w:hAnsi="Arial"/>
                <w:sz w:val="18"/>
                <w:szCs w:val="18"/>
                <w:color w:val="auto"/>
                <w:w w:val="91"/>
              </w:rPr>
              <w:t>Number)</w:t>
            </w:r>
          </w:p>
        </w:tc>
        <w:tc>
          <w:tcPr>
            <w:tcW w:w="34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2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1"/>
              </w:rPr>
              <w:t>410 North Michigan Avenue</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Suite 400</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4"/>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Chicago, Illinois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right"/>
              <w:ind w:right="211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2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center"/>
              <w:ind w:right="1730"/>
              <w:spacing w:after="0"/>
              <w:rPr>
                <w:sz w:val="20"/>
                <w:szCs w:val="20"/>
                <w:color w:val="auto"/>
              </w:rPr>
            </w:pPr>
            <w:r>
              <w:rPr>
                <w:rFonts w:ascii="Arial" w:cs="Arial" w:eastAsia="Arial" w:hAnsi="Arial"/>
                <w:sz w:val="18"/>
                <w:szCs w:val="18"/>
                <w:color w:val="auto"/>
                <w:w w:val="94"/>
              </w:rPr>
              <w:t>(Zip Code)</w:t>
            </w:r>
          </w:p>
        </w:tc>
      </w:tr>
      <w:tr>
        <w:trPr>
          <w:trHeight w:val="405"/>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0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
        </w:trPr>
        <w:tc>
          <w:tcPr>
            <w:tcW w:w="3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340" w:type="dxa"/>
            <w:vAlign w:val="bottom"/>
          </w:tcPr>
          <w:p>
            <w:pPr>
              <w:ind w:left="660"/>
              <w:spacing w:after="0"/>
              <w:rPr>
                <w:sz w:val="20"/>
                <w:szCs w:val="20"/>
                <w:color w:val="auto"/>
              </w:rPr>
            </w:pPr>
            <w:r>
              <w:rPr>
                <w:rFonts w:ascii="Arial" w:cs="Arial" w:eastAsia="Arial" w:hAnsi="Arial"/>
                <w:sz w:val="18"/>
                <w:szCs w:val="18"/>
                <w:color w:val="auto"/>
              </w:rPr>
              <w:t>Title of each class</w:t>
            </w:r>
          </w:p>
        </w:tc>
        <w:tc>
          <w:tcPr>
            <w:tcW w:w="1820" w:type="dxa"/>
            <w:vAlign w:val="bottom"/>
          </w:tcPr>
          <w:p>
            <w:pPr>
              <w:ind w:left="220"/>
              <w:spacing w:after="0"/>
              <w:rPr>
                <w:sz w:val="20"/>
                <w:szCs w:val="20"/>
                <w:color w:val="auto"/>
              </w:rPr>
            </w:pPr>
            <w:r>
              <w:rPr>
                <w:rFonts w:ascii="Arial" w:cs="Arial" w:eastAsia="Arial" w:hAnsi="Arial"/>
                <w:sz w:val="18"/>
                <w:szCs w:val="18"/>
                <w:color w:val="auto"/>
              </w:rPr>
              <w:t>Trading Symbol(s)</w:t>
            </w:r>
          </w:p>
        </w:tc>
        <w:tc>
          <w:tcPr>
            <w:tcW w:w="5040" w:type="dxa"/>
            <w:vAlign w:val="bottom"/>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70"/>
        </w:trPr>
        <w:tc>
          <w:tcPr>
            <w:tcW w:w="20" w:type="dxa"/>
            <w:vAlign w:val="bottom"/>
          </w:tcPr>
          <w:p>
            <w:pPr>
              <w:spacing w:after="0"/>
              <w:rPr>
                <w:sz w:val="23"/>
                <w:szCs w:val="23"/>
                <w:color w:val="auto"/>
              </w:rPr>
            </w:pPr>
          </w:p>
        </w:tc>
        <w:tc>
          <w:tcPr>
            <w:tcW w:w="4340" w:type="dxa"/>
            <w:vAlign w:val="bottom"/>
          </w:tcPr>
          <w:p>
            <w:pPr>
              <w:ind w:left="660"/>
              <w:spacing w:after="0"/>
              <w:rPr>
                <w:sz w:val="20"/>
                <w:szCs w:val="20"/>
                <w:color w:val="auto"/>
              </w:rPr>
            </w:pPr>
            <w:r>
              <w:rPr>
                <w:rFonts w:ascii="Arial" w:cs="Arial" w:eastAsia="Arial" w:hAnsi="Arial"/>
                <w:sz w:val="18"/>
                <w:szCs w:val="18"/>
                <w:color w:val="auto"/>
              </w:rPr>
              <w:t>Common Stock, par value $0.10 per share</w:t>
            </w:r>
          </w:p>
        </w:tc>
        <w:tc>
          <w:tcPr>
            <w:tcW w:w="1820" w:type="dxa"/>
            <w:vAlign w:val="bottom"/>
          </w:tcPr>
          <w:p>
            <w:pPr>
              <w:ind w:left="220"/>
              <w:spacing w:after="0"/>
              <w:rPr>
                <w:sz w:val="20"/>
                <w:szCs w:val="20"/>
                <w:color w:val="auto"/>
              </w:rPr>
            </w:pPr>
            <w:r>
              <w:rPr>
                <w:rFonts w:ascii="Arial" w:cs="Arial" w:eastAsia="Arial" w:hAnsi="Arial"/>
                <w:sz w:val="18"/>
                <w:szCs w:val="18"/>
                <w:color w:val="auto"/>
              </w:rPr>
              <w:t>ODC</w:t>
            </w:r>
          </w:p>
        </w:tc>
        <w:tc>
          <w:tcPr>
            <w:tcW w:w="5040" w:type="dxa"/>
            <w:vAlign w:val="bottom"/>
          </w:tcPr>
          <w:p>
            <w:pPr>
              <w:ind w:left="260"/>
              <w:spacing w:after="0"/>
              <w:rPr>
                <w:sz w:val="20"/>
                <w:szCs w:val="20"/>
                <w:color w:val="auto"/>
              </w:rPr>
            </w:pPr>
            <w:r>
              <w:rPr>
                <w:rFonts w:ascii="Arial" w:cs="Arial" w:eastAsia="Arial" w:hAnsi="Arial"/>
                <w:sz w:val="18"/>
                <w:szCs w:val="18"/>
                <w:color w:val="auto"/>
              </w:rPr>
              <w:t>New York Stock Exchange</w:t>
            </w:r>
          </w:p>
        </w:tc>
      </w:tr>
      <w:tr>
        <w:trPr>
          <w:trHeight w:val="37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21" w:right="3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7.01</w:t>
      </w:r>
      <w:r>
        <w:rPr>
          <w:rFonts w:ascii="Arial" w:cs="Arial" w:eastAsia="Arial" w:hAnsi="Arial"/>
          <w:sz w:val="18"/>
          <w:szCs w:val="18"/>
          <w:b w:val="1"/>
          <w:bCs w:val="1"/>
          <w:color w:val="auto"/>
        </w:rPr>
        <w:t xml:space="preserve">  Regulation FD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8.01 of this report is incorporated herein by reference solely for the purposes of this Item 7.01.</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Oil-Dri Corporation of America (the “Company”) is deeply saddened to announce that Mr. Joseph C. Miller, Vice Chairman of the Board of Directors of the Company and a member of the Compensation Committee, passed away on July 12, 2020. On July 15, 2020, the Company issued a press release, attached hereto as Exhibit 99.1.</w:t>
      </w:r>
    </w:p>
    <w:p>
      <w:pPr>
        <w:spacing w:after="0" w:line="34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660" w:type="dxa"/>
            <w:vAlign w:val="bottom"/>
          </w:tcPr>
          <w:p>
            <w:pPr>
              <w:spacing w:after="0"/>
              <w:rPr>
                <w:sz w:val="18"/>
                <w:szCs w:val="18"/>
                <w:color w:val="auto"/>
              </w:rPr>
            </w:pPr>
          </w:p>
        </w:tc>
      </w:tr>
      <w:tr>
        <w:trPr>
          <w:trHeight w:val="230"/>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660" w:type="dxa"/>
            <w:vAlign w:val="bottom"/>
          </w:tcPr>
          <w:p>
            <w:pPr>
              <w:ind w:left="4000"/>
              <w:spacing w:after="0"/>
              <w:rPr>
                <w:sz w:val="20"/>
                <w:szCs w:val="20"/>
                <w:color w:val="auto"/>
              </w:rPr>
            </w:pPr>
            <w:r>
              <w:rPr>
                <w:rFonts w:ascii="Arial" w:cs="Arial" w:eastAsia="Arial" w:hAnsi="Arial"/>
                <w:sz w:val="18"/>
                <w:szCs w:val="18"/>
                <w:color w:val="auto"/>
              </w:rPr>
              <w:t>Description of Exhibits</w:t>
            </w:r>
          </w:p>
        </w:tc>
      </w:tr>
      <w:tr>
        <w:trPr>
          <w:trHeight w:val="27"/>
        </w:trPr>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507"/>
        </w:trPr>
        <w:tc>
          <w:tcPr>
            <w:tcW w:w="1240" w:type="dxa"/>
            <w:vAlign w:val="bottom"/>
          </w:tcPr>
          <w:p>
            <w:pPr>
              <w:ind w:left="4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660" w:type="dxa"/>
            <w:vAlign w:val="bottom"/>
          </w:tcPr>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July 15, 2020</w:t>
              </w:r>
            </w:hyperlink>
          </w:p>
        </w:tc>
      </w:tr>
    </w:tbl>
    <w:p>
      <w:pPr>
        <w:sectPr>
          <w:pgSz w:w="11900" w:h="16838" w:orient="portrait"/>
          <w:cols w:equalWidth="0" w:num="1">
            <w:col w:w="11240"/>
          </w:cols>
          <w:pgMar w:left="320" w:top="715"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2020</w:t>
      </w:r>
    </w:p>
    <w:p>
      <w:pPr>
        <w:sectPr>
          <w:pgSz w:w="11900" w:h="16838" w:orient="portrait"/>
          <w:cols w:equalWidth="0" w:num="1">
            <w:col w:w="11020"/>
          </w:cols>
          <w:pgMar w:left="320" w:top="553"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Mourns Death of Joseph C. Miller, Vice Chairman of the Board of Directors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CHICAGO, July 15, 2020 - It is with great sadness that Oil-Dri Corporation of America (NYSE: ODC) announces the death of Joseph 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Miller, Vice Chairman of the Board of Directors and long-time board member.</w:t>
      </w:r>
    </w:p>
    <w:p>
      <w:pPr>
        <w:spacing w:after="0" w:line="159"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“The world has lost a great man. For over 50 years, my late father and I valued our relationship with Joe as a competitor, colleague and friend. He leaves a legacy of tremendous business acumen, leadership, and commitment to our company. Joe can be credited with creating value-added cat litter, thereby unlocking billions of dollars for the category. He will be dearly missed by all,” says Daniel S. Jaffee, President and Chief Executive Officer. “On behalf of the entire company and the Board, I would like to send our deepest condolences to Joe’s wife, children, and the rest of his family.”</w:t>
      </w:r>
    </w:p>
    <w:p>
      <w:pPr>
        <w:spacing w:after="0" w:line="154"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With years of leadership experience in the sorbent minerals industry, Joseph C. Miller joined Oil-Dri in 1989 as Vice President of Corporate Planning and Marketing. He served as Group Vice President for Sales, Marketing and Distribution from 1990 to 1993. Mr. Miller was Senior Vice President for the Consumer, Industrial &amp; Environmental and Transportation Groups of the Company from 1993 to 1995. He became Vice Chairman of the Board in 1995. Mr. Miller was an employee of the Company until 2000, when he became an independent consultant specializing in strategic planning.</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Oil-Dri</w:t>
      </w:r>
    </w:p>
    <w:p>
      <w:pPr>
        <w:spacing w:after="0" w:line="18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75 years of experience, the company continues to fulfill its mission to Create Value from Sorbent Minerals.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Category: Company News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Leslie A. Garber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Manager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InvestorRelations@oildri.com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40"/>
      </w:cols>
      <w:pgMar w:left="320" w:top="8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2020-07-15T15:53:37Z</dcterms:created>
  <dcterms:modified xsi:type="dcterms:W3CDTF">2020-07-15T15:53:37Z</dcterms:modified>
</cp:coreProperties>
</file>