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UNITED STATES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color w:val="auto"/>
                <w:w w:val="99"/>
              </w:rPr>
              <w:t>SECURITIES AND EXCHANGE COMMISSION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(Mark One)</w:t>
            </w:r>
          </w:p>
        </w:tc>
        <w:tc>
          <w:tcPr>
            <w:tcW w:w="24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FORM 10-Q</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9"/>
            <w:vMerge w:val="continue"/>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1"/>
          </w:tcPr>
          <w:p>
            <w:pPr>
              <w:jc w:val="center"/>
              <w:ind w:right="68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540" w:type="dxa"/>
            <w:vAlign w:val="bottom"/>
            <w:gridSpan w:val="8"/>
          </w:tcPr>
          <w:p>
            <w:pPr>
              <w:jc w:val="center"/>
              <w:ind w:right="2460"/>
              <w:spacing w:after="0" w:line="181" w:lineRule="exact"/>
              <w:rPr>
                <w:sz w:val="20"/>
                <w:szCs w:val="20"/>
                <w:color w:val="auto"/>
              </w:rPr>
            </w:pPr>
            <w:r>
              <w:rPr>
                <w:rFonts w:ascii="Times New Roman" w:cs="Times New Roman" w:eastAsia="Times New Roman" w:hAnsi="Times New Roman"/>
                <w:sz w:val="18"/>
                <w:szCs w:val="18"/>
                <w:color w:val="auto"/>
                <w:w w:val="99"/>
              </w:rPr>
              <w:t>For the Quarterly Period Ended October 31, 2024</w:t>
            </w:r>
          </w:p>
        </w:tc>
        <w:tc>
          <w:tcPr>
            <w:tcW w:w="0" w:type="dxa"/>
            <w:vAlign w:val="bottom"/>
          </w:tcPr>
          <w:p>
            <w:pPr>
              <w:spacing w:after="0"/>
              <w:rPr>
                <w:sz w:val="1"/>
                <w:szCs w:val="1"/>
                <w:color w:val="auto"/>
              </w:rPr>
            </w:pPr>
          </w:p>
        </w:tc>
      </w:tr>
      <w:tr>
        <w:trPr>
          <w:trHeight w:val="234"/>
        </w:trPr>
        <w:tc>
          <w:tcPr>
            <w:tcW w:w="3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or</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20" w:type="dxa"/>
            <w:vAlign w:val="bottom"/>
            <w:gridSpan w:val="11"/>
          </w:tcPr>
          <w:p>
            <w:pPr>
              <w:jc w:val="center"/>
              <w:ind w:right="68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c>
          <w:tcPr>
            <w:tcW w:w="0" w:type="dxa"/>
            <w:vAlign w:val="bottom"/>
          </w:tcPr>
          <w:p>
            <w:pPr>
              <w:spacing w:after="0"/>
              <w:rPr>
                <w:sz w:val="1"/>
                <w:szCs w:val="1"/>
                <w:color w:val="auto"/>
              </w:rPr>
            </w:pPr>
          </w:p>
        </w:tc>
      </w:tr>
      <w:tr>
        <w:trPr>
          <w:trHeight w:val="553"/>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6"/>
          </w:tcPr>
          <w:p>
            <w:pPr>
              <w:jc w:val="center"/>
              <w:ind w:right="3100"/>
              <w:spacing w:after="0"/>
              <w:rPr>
                <w:sz w:val="20"/>
                <w:szCs w:val="20"/>
                <w:color w:val="auto"/>
              </w:rPr>
            </w:pPr>
            <w:r>
              <w:rPr>
                <w:rFonts w:ascii="Times New Roman" w:cs="Times New Roman" w:eastAsia="Times New Roman" w:hAnsi="Times New Roman"/>
                <w:sz w:val="18"/>
                <w:szCs w:val="18"/>
                <w:color w:val="auto"/>
              </w:rPr>
              <w:t>Commission File Number 001-12622</w:t>
            </w: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color w:val="auto"/>
                <w:w w:val="99"/>
              </w:rPr>
              <w:t>OIL-DRI CORPORATION OF AMERICA</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gridSpan w:val="3"/>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700" w:type="dxa"/>
            <w:vAlign w:val="bottom"/>
            <w:gridSpan w:val="4"/>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60" w:type="dxa"/>
            <w:vAlign w:val="bottom"/>
            <w:gridSpan w:val="6"/>
          </w:tcPr>
          <w:p>
            <w:pPr>
              <w:jc w:val="center"/>
              <w:ind w:right="1350"/>
              <w:spacing w:after="0"/>
              <w:rPr>
                <w:sz w:val="20"/>
                <w:szCs w:val="20"/>
                <w:color w:val="auto"/>
              </w:rPr>
            </w:pPr>
            <w:r>
              <w:rPr>
                <w:rFonts w:ascii="Times New Roman" w:cs="Times New Roman" w:eastAsia="Times New Roman" w:hAnsi="Times New Roman"/>
                <w:sz w:val="18"/>
                <w:szCs w:val="18"/>
                <w:color w:val="auto"/>
                <w:w w:val="97"/>
              </w:rPr>
              <w:t>organization)</w:t>
            </w:r>
          </w:p>
        </w:tc>
        <w:tc>
          <w:tcPr>
            <w:tcW w:w="2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7"/>
          </w:tcPr>
          <w:p>
            <w:pPr>
              <w:jc w:val="center"/>
              <w:ind w:right="470"/>
              <w:spacing w:after="0"/>
              <w:rPr>
                <w:sz w:val="20"/>
                <w:szCs w:val="20"/>
                <w:color w:val="auto"/>
              </w:rPr>
            </w:pPr>
            <w:r>
              <w:rPr>
                <w:rFonts w:ascii="Times New Roman" w:cs="Times New Roman" w:eastAsia="Times New Roman" w:hAnsi="Times New Roman"/>
                <w:sz w:val="18"/>
                <w:szCs w:val="18"/>
                <w:color w:val="auto"/>
                <w:w w:val="98"/>
              </w:rPr>
              <w:t>410 North Michigan Avenue, Suite 400</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center"/>
              <w:ind w:right="75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620" w:type="dxa"/>
            <w:vAlign w:val="bottom"/>
            <w:gridSpan w:val="2"/>
          </w:tcPr>
          <w:p>
            <w:pPr>
              <w:spacing w:after="0"/>
              <w:rPr>
                <w:sz w:val="18"/>
                <w:szCs w:val="18"/>
                <w:color w:val="auto"/>
              </w:rPr>
            </w:pPr>
          </w:p>
        </w:tc>
        <w:tc>
          <w:tcPr>
            <w:tcW w:w="2440" w:type="dxa"/>
            <w:vAlign w:val="bottom"/>
          </w:tcPr>
          <w:p>
            <w:pPr>
              <w:spacing w:after="0"/>
              <w:rPr>
                <w:sz w:val="18"/>
                <w:szCs w:val="18"/>
                <w:color w:val="auto"/>
              </w:rPr>
            </w:pPr>
          </w:p>
        </w:tc>
        <w:tc>
          <w:tcPr>
            <w:tcW w:w="262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color w:val="auto"/>
              </w:rPr>
              <w:t>60611-4213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7"/>
          </w:tcPr>
          <w:p>
            <w:pPr>
              <w:jc w:val="center"/>
              <w:ind w:right="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0" w:type="dxa"/>
            <w:vAlign w:val="bottom"/>
          </w:tcPr>
          <w:p>
            <w:pPr>
              <w:spacing w:after="0"/>
              <w:rPr>
                <w:sz w:val="1"/>
                <w:szCs w:val="1"/>
                <w:color w:val="auto"/>
              </w:rPr>
            </w:pPr>
          </w:p>
        </w:tc>
      </w:tr>
      <w:tr>
        <w:trPr>
          <w:trHeight w:val="297"/>
        </w:trPr>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ODC</w:t>
            </w:r>
          </w:p>
        </w:tc>
        <w:tc>
          <w:tcPr>
            <w:tcW w:w="520" w:type="dxa"/>
            <w:vAlign w:val="bottom"/>
          </w:tcPr>
          <w:p>
            <w:pPr>
              <w:spacing w:after="0"/>
              <w:rPr>
                <w:sz w:val="20"/>
                <w:szCs w:val="20"/>
                <w:color w:val="auto"/>
              </w:rPr>
            </w:pPr>
          </w:p>
        </w:tc>
        <w:tc>
          <w:tcPr>
            <w:tcW w:w="29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282" w:right="399" w:bottom="1440" w:gutter="0" w:footer="0" w:header="0"/>
        </w:sectPr>
      </w:pPr>
    </w:p>
    <w:p>
      <w:pPr>
        <w:spacing w:after="0" w:line="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7120" w:space="720"/>
            <w:col w:w="3340"/>
          </w:cols>
          <w:pgMar w:left="320" w:top="1282" w:right="399" w:bottom="1440" w:gutter="0" w:footer="0" w:header="0"/>
          <w:type w:val="continuous"/>
        </w:sectPr>
      </w:pPr>
    </w:p>
    <w:p>
      <w:pPr>
        <w:spacing w:after="0" w:line="2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2024, 5,159,843 shares of the registrant's Common Stock and 2,137,428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of our Annual Report on Form 10-K for the fiscal year ended July 31, 2024 and from time to time in our other filings with the SEC.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(in thousands, except for share and per share amounts, unaudited)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70,544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$1,562 and $934 at October 31, 2024 and July 31, 2024,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 Assets</w:t>
            </w:r>
          </w:p>
        </w:tc>
        <w:tc>
          <w:tcPr>
            <w:tcW w:w="7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137,947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Trademarks, trade names and patents,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$647 and $625 at October 31, 2024 and July 31, 2024,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$8,431 and $8,149 at October 31, 2024 and July 31, 2024, respectively</w:t>
            </w:r>
          </w:p>
        </w:tc>
        <w:tc>
          <w:tcPr>
            <w:tcW w:w="1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206,056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33,443</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54,841</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$223 and $226 at October 31, 2024 and July 31, 2024, respectively</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6,603</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71,338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126,179</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8,884,473 shares at October 31, 2024</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8,843,673 shares at July 31, 2024</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2,518,056 shares at October 31, 2024</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2,518,056 shares at July 31, 2024</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246,525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(3,723,947 Common and 380,628 Class B shares at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(87,001)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2024 and 3,702,185 Common and 362,649 Class B shares at July 31, 2024)</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223,992</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350,171</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 thousands, except for share and per share amounts, unaudited)</w:t>
      </w:r>
    </w:p>
    <w:p>
      <w:pPr>
        <w:spacing w:after="0" w:line="11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127,945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111,438</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(87,165)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(80,447)</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40,780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5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0.290</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0.233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0.218</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5" w:name="page6"/>
    <w:bookmarkEnd w:id="5"/>
    <w:p>
      <w:pPr>
        <w:jc w:val="center"/>
        <w:ind w:left="162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Statements of Comprehensive Income </w:t>
      </w:r>
      <w:r>
        <w:rPr>
          <w:rFonts w:ascii="Times New Roman" w:cs="Times New Roman" w:eastAsia="Times New Roman" w:hAnsi="Times New Roman"/>
          <w:sz w:val="18"/>
          <w:szCs w:val="18"/>
          <w:color w:val="auto"/>
        </w:rPr>
        <w:t>(in thousands, unaudited)</w:t>
      </w:r>
    </w:p>
    <w:p>
      <w:pPr>
        <w:spacing w:after="0" w:line="325"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57"/>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expenses (net of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9479"/>
          </w:cols>
          <w:pgMar w:left="980" w:top="887" w:right="1440"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997" w:gutter="0" w:footer="0" w:header="0"/>
          <w:type w:val="continuous"/>
        </w:sectPr>
      </w:pPr>
    </w:p>
    <w:bookmarkStart w:id="6" w:name="page7"/>
    <w:bookmarkEnd w:id="6"/>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(in thousands, except for share amounts, unaudited)</w:t>
      </w:r>
    </w:p>
    <w:p>
      <w:pPr>
        <w:spacing w:after="0" w:line="200" w:lineRule="exact"/>
        <w:rPr>
          <w:sz w:val="20"/>
          <w:szCs w:val="20"/>
          <w:color w:val="auto"/>
        </w:rPr>
      </w:pPr>
    </w:p>
    <w:p>
      <w:pPr>
        <w:spacing w:after="0" w:line="238" w:lineRule="exact"/>
        <w:rPr>
          <w:sz w:val="20"/>
          <w:szCs w:val="20"/>
          <w:color w:val="auto"/>
        </w:rPr>
      </w:pPr>
    </w:p>
    <w:tbl>
      <w:tblPr>
        <w:tblLayout w:type="fixed"/>
        <w:tblInd w:w="2600" w:type="dxa"/>
        <w:tblCellMar>
          <w:top w:w="0" w:type="dxa"/>
          <w:left w:w="0" w:type="dxa"/>
          <w:bottom w:w="0" w:type="dxa"/>
          <w:right w:w="0" w:type="dxa"/>
        </w:tblCellMar>
      </w:tblPr>
      <w:tr>
        <w:trPr>
          <w:trHeight w:val="172"/>
        </w:trPr>
        <w:tc>
          <w:tcPr>
            <w:tcW w:w="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For the Three Months Ended October 31</w:t>
            </w:r>
          </w:p>
        </w:tc>
        <w:tc>
          <w:tcPr>
            <w:tcW w:w="1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2"/>
                <w:szCs w:val="12"/>
                <w:color w:val="auto"/>
              </w:rPr>
              <w:t>Number of Shares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Common &amp; Class</w:t>
            </w:r>
          </w:p>
        </w:tc>
        <w:tc>
          <w:tcPr>
            <w:tcW w:w="88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Common &amp;</w:t>
            </w:r>
          </w:p>
        </w:tc>
        <w:tc>
          <w:tcPr>
            <w:tcW w:w="112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auto"/>
              </w:rPr>
              <w:t>Additional Paid-</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auto"/>
              </w:rPr>
              <w:t>Retained</w:t>
            </w:r>
          </w:p>
        </w:tc>
        <w:tc>
          <w:tcPr>
            <w:tcW w:w="10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Accumulated Other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Treasury Stock</w:t>
            </w:r>
          </w:p>
        </w:tc>
        <w:tc>
          <w:tcPr>
            <w:tcW w:w="9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auto"/>
              </w:rPr>
              <w:t>Treasury Stock</w:t>
            </w: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Comprehensive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B Stock</w:t>
            </w:r>
          </w:p>
        </w:tc>
        <w:tc>
          <w:tcPr>
            <w:tcW w:w="880" w:type="dxa"/>
            <w:vAlign w:val="bottom"/>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In Capital</w:t>
            </w:r>
          </w:p>
        </w:tc>
        <w:tc>
          <w:tcPr>
            <w:tcW w:w="8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Earnings</w:t>
            </w:r>
          </w:p>
        </w:tc>
        <w:tc>
          <w:tcPr>
            <w:tcW w:w="1020" w:type="dxa"/>
            <w:vAlign w:val="bottom"/>
            <w:vMerge w:val="continue"/>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Income</w:t>
            </w:r>
          </w:p>
        </w:tc>
        <w:tc>
          <w:tcPr>
            <w:tcW w:w="1120" w:type="dxa"/>
            <w:vAlign w:val="bottom"/>
          </w:tcPr>
          <w:p>
            <w:pPr>
              <w:jc w:val="center"/>
              <w:ind w:left="1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2023</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11,147,279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(4,010,630)</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55,624</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200,796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(81,207)</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748</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177,076</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10,742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(1,953)</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182,000</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1,108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2023</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11,329,279</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(4,026,459)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1,133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56,746</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209,585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(82,111)</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563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185,916</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2024</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11,361,729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(4,064,834)</w:t>
            </w:r>
          </w:p>
        </w:tc>
        <w:tc>
          <w:tcPr>
            <w:tcW w:w="12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1,136</w:t>
            </w:r>
          </w:p>
        </w:tc>
        <w:tc>
          <w:tcPr>
            <w:tcW w:w="10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60,877</w:t>
            </w:r>
          </w:p>
        </w:tc>
        <w:tc>
          <w:tcPr>
            <w:tcW w:w="16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232,247</w:t>
            </w:r>
          </w:p>
        </w:tc>
        <w:tc>
          <w:tcPr>
            <w:tcW w:w="100" w:type="dxa"/>
            <w:vAlign w:val="bottom"/>
          </w:tcPr>
          <w:p>
            <w:pPr>
              <w:spacing w:after="0"/>
              <w:rPr>
                <w:sz w:val="14"/>
                <w:szCs w:val="14"/>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(84,441)</w:t>
            </w:r>
          </w:p>
        </w:tc>
        <w:tc>
          <w:tcPr>
            <w:tcW w:w="120" w:type="dxa"/>
            <w:vAlign w:val="bottom"/>
          </w:tcPr>
          <w:p>
            <w:pPr>
              <w:spacing w:after="0"/>
              <w:rPr>
                <w:sz w:val="14"/>
                <w:szCs w:val="14"/>
                <w:color w:val="auto"/>
              </w:rPr>
            </w:pPr>
          </w:p>
        </w:tc>
        <w:tc>
          <w:tcPr>
            <w:tcW w:w="460" w:type="dxa"/>
            <w:vAlign w:val="bottom"/>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769</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210,588</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16,376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16,376</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40,800</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(10,739)</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572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1,152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w:t>
            </w: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2024</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11,402,529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(4,104,575)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62,601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246,525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(87,001)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223,992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7" w:right="879" w:bottom="1440" w:gutter="0" w:footer="0" w:header="0"/>
        </w:sectPr>
      </w:pPr>
    </w:p>
    <w:bookmarkStart w:id="7" w:name="page8"/>
    <w:bookmarkEnd w:id="7"/>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1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7"/>
                <w:szCs w:val="17"/>
                <w:color w:val="auto"/>
              </w:rPr>
            </w:pPr>
          </w:p>
        </w:tc>
        <w:tc>
          <w:tcPr>
            <w:tcW w:w="10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30"/>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r>
      <w:tr>
        <w:trPr>
          <w:trHeight w:val="236"/>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bottom w:val="single" w:sz="8" w:color="CCEEFF"/>
            </w:tcBorders>
          </w:tcPr>
          <w:p>
            <w:pPr>
              <w:spacing w:after="0"/>
              <w:rPr>
                <w:sz w:val="19"/>
                <w:szCs w:val="19"/>
                <w:color w:val="auto"/>
              </w:rPr>
            </w:pPr>
          </w:p>
        </w:tc>
        <w:tc>
          <w:tcPr>
            <w:tcW w:w="3940" w:type="dxa"/>
            <w:vAlign w:val="bottom"/>
            <w:tcBorders>
              <w:top w:val="single" w:sz="8" w:color="auto"/>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180" w:type="dxa"/>
            <w:vAlign w:val="bottom"/>
            <w:tcBorders>
              <w:top w:val="single" w:sz="8" w:color="CCEEFF"/>
              <w:bottom w:val="single" w:sz="8" w:color="CCEEFF"/>
            </w:tcBorders>
            <w:gridSpan w:val="3"/>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(12,817)</w:t>
            </w:r>
          </w:p>
        </w:tc>
        <w:tc>
          <w:tcPr>
            <w:tcW w:w="280" w:type="dxa"/>
            <w:vAlign w:val="bottom"/>
            <w:tcBorders>
              <w:top w:val="single" w:sz="8" w:color="CCEEFF"/>
              <w:bottom w:val="single" w:sz="8" w:color="CCEEFF"/>
            </w:tcBorders>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(12,817)</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36"/>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(9,080)</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30"/>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24,481</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13,506</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87" w:right="8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6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12,506</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in prepaid expenses and 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payments, net of refunds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8"/>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2024 are not necessarily an indication of the results that may be expected for the fiscal year ending July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2024,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spare parts. These assets are 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get them ready for their intended use.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assets are carried at cost on the Consolidated Balance Sheets and are reviewed for possible impairment on an annual basis or when circumstances indicate impairment that an asset may become impaired. We take into consideration idle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underutilized equipment and review business plans for possible impairment. When impairment is indicated, an impairment charge is recorded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the carrying value of the asset and its fair market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is as follows (in thousands):</w:t>
      </w:r>
    </w:p>
    <w:p>
      <w:pPr>
        <w:spacing w:after="0" w:line="5"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240" w:type="dxa"/>
            <w:vAlign w:val="bottom"/>
          </w:tcPr>
          <w:p>
            <w:pPr>
              <w:spacing w:after="0"/>
              <w:rPr>
                <w:sz w:val="17"/>
                <w:szCs w:val="17"/>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41"/>
        </w:trPr>
        <w:tc>
          <w:tcPr>
            <w:tcW w:w="5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335,921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333,561</w:t>
            </w: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(197,974)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(195,765)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137,947</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137,796</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materials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asset classes and we will not allocate the contract consideration to these components. This policy was applied to all existing leases upon adoption of ASC 842 and will be applied to new leases on an ongoing basis.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3" w:lineRule="exact"/>
        <w:rPr>
          <w:sz w:val="20"/>
          <w:szCs w:val="20"/>
          <w:color w:val="auto"/>
        </w:rPr>
      </w:pPr>
    </w:p>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$0.2 million as of both October 31, 2024 and July 31, 2024. This liability is reported in Other within Accrued Expenses on the unaudited Condensed Consolidated Balance Sheet. There was $0.2 million revenue recognized during the three months ended October 31, 2024,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Other noncurrent liabilities on the unaudited Condensed Consolidated Balance Sheet includes $4.8 million for the reclamation liability as of both October 31, 2024 and July 31, 2024 and $1.7 million for postretirement health benefit as of both October 31, 2024 and July 31,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These amendments primarily require disaggregated disclosure, in the notes to the financial statements, of prescribed categories of expenses within relevant income statement captions. The requirements will be applied prospectively, with the option to apply the standard retrospectively, for annual periods beginning after December 15, 2026, and interim periods within fiscal years beginning after December 15, 2027. Early adoption is permitted. We are currently evaluating the impact that the adoption of this guidance will have on our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the two-class method to report our earnings per share ("EPS"). The two-class method is an earnings allocation formula that 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shares of Common Stock and Class B Stock based on amounts actually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shares of Class B Stock, if the effect is dilutive. Dilution for Class B Stock takes into consideration the effect of unvested restricted shares, if the effect is dilutive. Below is a reconciliation of the calculation of basic and diluted EPS.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 2024</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16,376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57"/>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3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r>
    </w:tbl>
    <w:p>
      <w:pPr>
        <w:ind w:left="20" w:right="460" w:hanging="6"/>
        <w:spacing w:after="0" w:line="204" w:lineRule="auto"/>
        <w:tabs>
          <w:tab w:leader="none" w:pos="183"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131,525 shares of unvested Common Stock and 62,663 shares of unvested Class B Stock was anti-dilutive therefore not included in the calculation of diluted EPS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 2023</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10,742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10,172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70"/>
        </w:trPr>
        <w:tc>
          <w:tcPr>
            <w:tcW w:w="5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bl>
    <w:p>
      <w:pPr>
        <w:spacing w:after="0" w:line="13" w:lineRule="exact"/>
        <w:rPr>
          <w:sz w:val="20"/>
          <w:szCs w:val="20"/>
          <w:color w:val="auto"/>
        </w:rPr>
      </w:pPr>
    </w:p>
    <w:p>
      <w:pPr>
        <w:ind w:left="20" w:right="460" w:hanging="6"/>
        <w:spacing w:after="0" w:line="210" w:lineRule="auto"/>
        <w:tabs>
          <w:tab w:leader="none" w:pos="18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210,675 shares of unvested Common Stock and 54,370 shares of unvested Class B Stock was anti-dilutive therefore not included in the calculation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-226695</wp:posOffset>
            </wp:positionV>
            <wp:extent cx="2160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980" w:top="1130" w:right="5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29"/>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48"/>
        </w:trPr>
        <w:tc>
          <w:tcPr>
            <w:tcW w:w="18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r>
      <w:tr>
        <w:trPr>
          <w:trHeight w:val="20"/>
        </w:trPr>
        <w:tc>
          <w:tcPr>
            <w:tcW w:w="18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$3.7 million and $3.8 million as of October 31, 2024 and July 31, 2024,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are valued using quoted market prices in active markets. These cash instruments are primarily money market funds and are included in cash and cash equivalents on the Consolidated Balance Sheets. We had $0.9 million in cash equivalents as of October 31, 2024 and $3.0 million in cash equivalents as of July 31, 2024.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Balances of accounts receivable, short-term investments and accounts payable approximated their fair values at October 31, 2024 and July 31, 2024 due to the short maturity and nature of those balances.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is reported at outstanding face value, less unamortized debt issuance costs. The estimated fair value of debt, including current maturities, was $47.1 million and $51.1 million as of October 31, 2024 and July 31, 2024, respectively. The fair value was estimated using the exit price notion of fair value and is classified as Level 2. See Note 8 of the Notes to the Consolidated Financial Statements for further information about such debt.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intangible assets are mainly comprised of customer lists, patents, trademarks, trade names and goodwill.</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year 2024, we recorded additions of intangible assets of $37.4 million related to the acquisition of Ultra Pet Company, Inc. ("Ultra Pet"), the components of which were $20.4 million of customer list, $5.2 million of trade name and $11.8 million of goodwill. During the first quarter of fiscal year 2025 we recognized a measurement period adjustment as a result of our acquisition of Ultra Pet, which increased our goodwill by $0.2 million.</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customer lists and patents on a straight-line basis over periods ranging from 18 to 20 years. Estimated intangible amortization for fiscal year 2025 is $1.2 million. Estimated intangible amortization for each of the next five fiscal years is $1.2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Trademarks and trade names acquired via acquisitions, with a carrying value of $5.6 million, were determined to have an indefinite life and are not amortized.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33,443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r>
      <w:tr>
        <w:trPr>
          <w:trHeight w:val="20"/>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year 2023, we recorded a reserve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During the first quarter of fiscal year 2025, we increased the total estimated cost by $0.4 million resulting in a total $3.5 million expense related to this matter. The modification work is expected to be completed during fiscal year 2025.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B Senior Notes due May 15, 2030, of which $6 million aggregate principal amount remained outstanding as of October 31, 2024, (ii) on December 16, 2021, we issued an additional $25 million in aggregate principal amount of our 3.25% Series C Senior Notes due December 16, 2031, all of which remained outstanding as of October 31, 2024, and (iii) on April 30, 2024 we issued $10 million in aggregate principal amount of our 6.47% Series D Senior Notes due April 30, 2033, all of which remained outstanding as of October 31, 2024. The Note Agreement also provides us with the ability to request, from time to time, that Prudential affiliate(s) purchase, at Prudential’s discretion and on an uncommitted basis, additional senior unsecured notes of Oil-Dri (the “Shelf Notes,” and collectively with the Series A Senior Notes,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On September 21, 2023, the Company entered into Amendment No. 4 to the Note Agreement extending the time frame for issuing and selling Shelf Notes to September 21, 2026.</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and certain of our domestic subsidiaries. The Credit Agreement provides for a $75 million unsecured revolving credit facility, including a maximum of $20 million for letters of credit.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increase the amount the Company may borrow from BMO from time to time pursuant to its revolving line of credit from up to $45 million to up to $75 million and to increase the aggregate maximum amount of letters of credit from up to $10 million to up to $20 million; add an accordion provision to allow the Company to increase the revolving line of credit by up to an additional $50 million, subject to the terms and conditions set forth in the Eighth Amendment; extend the termination date to September 30, 2029; and increase certain restrictive covenant thresholds, including but not limited to, an increase to the permitted acquisitions threshold in the restricted covenants from a cumulative total of $45 million to $100 million.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31, 2024, and July 31, 2024, we were in compliance with the covenants. There were no new borrowings during the first quarter of fiscal year 2025, however, on October 30, 2024 we elected to pay down $5 million of our total borrowings under the Credit Agreement. As of October 31, 2024 we had $5 million drawn at a 6.66% interest rate. We also had $2.9 million of letters of credit outstanding under the Credit Agreement as of both October 31, 2024 and July 31, 2024.</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BMO prime rate or an adjusted SOFR-based rate, plus a margin that varies depending on our debt to earnings ratio, or a fixed rate as agreed between us and BMO. As of October 31, 2024, the variable rates would have been 8.00% for the BMO prime-based rate or 5.81% for the adjusted SOFR-based 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months ended October 31, 2024. Operating lease costs are included in Cost of Goods Sold or 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center"/>
        <w:ind w:left="2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258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6116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9" w:lineRule="exact"/>
        <w:rPr>
          <w:sz w:val="20"/>
          <w:szCs w:val="20"/>
          <w:color w:val="auto"/>
        </w:rPr>
      </w:pPr>
    </w:p>
    <w:p>
      <w:pPr>
        <w:ind w:left="6060"/>
        <w:spacing w:after="0"/>
        <w:tabs>
          <w:tab w:leader="none" w:pos="74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19685</wp:posOffset>
            </wp:positionV>
            <wp:extent cx="32575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0" cy="171450"/>
                    </a:xfrm>
                    <a:prstGeom prst="rect">
                      <a:avLst/>
                    </a:prstGeom>
                    <a:noFill/>
                  </pic:spPr>
                </pic:pic>
              </a:graphicData>
            </a:graphic>
          </wp:anchor>
        </w:drawing>
      </w:r>
    </w:p>
    <w:p>
      <w:pPr>
        <w:spacing w:after="0" w:line="43" w:lineRule="exact"/>
        <w:rPr>
          <w:sz w:val="20"/>
          <w:szCs w:val="20"/>
          <w:color w:val="auto"/>
        </w:rPr>
      </w:pPr>
    </w:p>
    <w:p>
      <w:pPr>
        <w:ind w:left="3080"/>
        <w:spacing w:after="0"/>
        <w:tabs>
          <w:tab w:leader="none" w:pos="5640" w:val="left"/>
          <w:tab w:leader="none" w:pos="6320" w:val="left"/>
          <w:tab w:leader="none" w:pos="7020" w:val="left"/>
          <w:tab w:leader="none" w:pos="7820" w:val="left"/>
        </w:tabs>
        <w:rPr>
          <w:sz w:val="20"/>
          <w:szCs w:val="20"/>
          <w:color w:val="auto"/>
        </w:rPr>
      </w:pPr>
      <w:r>
        <w:rPr>
          <w:rFonts w:ascii="Times New Roman" w:cs="Times New Roman" w:eastAsia="Times New Roman" w:hAnsi="Times New Roman"/>
          <w:sz w:val="18"/>
          <w:szCs w:val="18"/>
          <w:color w:val="auto"/>
        </w:rPr>
        <w:t>Operating lease cost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1,370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546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33"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36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13335</wp:posOffset>
            </wp:positionV>
            <wp:extent cx="1645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 w:lineRule="exact"/>
        <w:rPr>
          <w:sz w:val="20"/>
          <w:szCs w:val="20"/>
          <w:color w:val="auto"/>
        </w:rPr>
      </w:pPr>
    </w:p>
    <w:tbl>
      <w:tblPr>
        <w:tblLayout w:type="fixed"/>
        <w:tblInd w:w="2500" w:type="dxa"/>
        <w:tblCellMar>
          <w:top w:w="0" w:type="dxa"/>
          <w:left w:w="0" w:type="dxa"/>
          <w:bottom w:w="0" w:type="dxa"/>
          <w:right w:w="0" w:type="dxa"/>
        </w:tblCellMar>
      </w:tblPr>
      <w:tr>
        <w:trPr>
          <w:trHeight w:val="238"/>
        </w:trPr>
        <w:tc>
          <w:tcPr>
            <w:tcW w:w="3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1,136</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2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2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0" w:type="dxa"/>
            <w:vAlign w:val="bottom"/>
            <w:tcBorders>
              <w:bottom w:val="single" w:sz="8" w:color="auto"/>
            </w:tcBorders>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22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5.3 years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5.4 years</w:t>
            </w:r>
          </w:p>
        </w:tc>
      </w:tr>
      <w:tr>
        <w:trPr>
          <w:trHeight w:val="229"/>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5.10%</w:t>
            </w:r>
          </w:p>
        </w:tc>
        <w:tc>
          <w:tcPr>
            <w:tcW w:w="2840" w:type="dxa"/>
            <w:vAlign w:val="bottom"/>
            <w:gridSpan w:val="4"/>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5.10%</w:t>
            </w:r>
          </w:p>
        </w:tc>
      </w:tr>
      <w:tr>
        <w:trPr>
          <w:trHeight w:val="55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 maturities as of October 31, 2024, are as follows (in thousands):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08"/>
        </w:trPr>
        <w:tc>
          <w:tcPr>
            <w:tcW w:w="21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2140" w:type="dxa"/>
            <w:vAlign w:val="bottom"/>
          </w:tcPr>
          <w:p>
            <w:pPr>
              <w:spacing w:after="0"/>
              <w:rPr>
                <w:sz w:val="9"/>
                <w:szCs w:val="9"/>
                <w:color w:val="auto"/>
              </w:rPr>
            </w:pPr>
          </w:p>
        </w:tc>
      </w:tr>
      <w:tr>
        <w:trPr>
          <w:trHeight w:val="230"/>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2025 (remaining nine months)</w:t>
            </w:r>
          </w:p>
        </w:tc>
        <w:tc>
          <w:tcPr>
            <w:tcW w:w="20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4,061</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2026</w:t>
            </w: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4,724</w:t>
            </w:r>
          </w:p>
        </w:tc>
        <w:tc>
          <w:tcPr>
            <w:tcW w:w="21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2027</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3,758</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2028</w:t>
            </w: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2,949</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2029</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2,356</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3,480</w:t>
            </w:r>
          </w:p>
        </w:tc>
        <w:tc>
          <w:tcPr>
            <w:tcW w:w="2140" w:type="dxa"/>
            <w:vAlign w:val="bottom"/>
          </w:tcPr>
          <w:p>
            <w:pPr>
              <w:spacing w:after="0"/>
              <w:rPr>
                <w:sz w:val="19"/>
                <w:szCs w:val="19"/>
                <w:color w:val="auto"/>
              </w:rPr>
            </w:pPr>
          </w:p>
        </w:tc>
      </w:tr>
      <w:tr>
        <w:trPr>
          <w:trHeight w:val="223"/>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21,328</w:t>
            </w:r>
          </w:p>
        </w:tc>
        <w:tc>
          <w:tcPr>
            <w:tcW w:w="21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(2,558)</w:t>
            </w:r>
          </w:p>
        </w:tc>
        <w:tc>
          <w:tcPr>
            <w:tcW w:w="2140" w:type="dxa"/>
            <w:vAlign w:val="bottom"/>
          </w:tcPr>
          <w:p>
            <w:pPr>
              <w:spacing w:after="0"/>
              <w:rPr>
                <w:sz w:val="19"/>
                <w:szCs w:val="19"/>
                <w:color w:val="auto"/>
              </w:rPr>
            </w:pPr>
          </w:p>
        </w:tc>
      </w:tr>
      <w:tr>
        <w:trPr>
          <w:trHeight w:val="248"/>
        </w:trPr>
        <w:tc>
          <w:tcPr>
            <w:tcW w:w="216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obligation</w:t>
            </w: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18,770</w:t>
            </w:r>
          </w:p>
        </w:tc>
        <w:tc>
          <w:tcPr>
            <w:tcW w:w="2140" w:type="dxa"/>
            <w:vAlign w:val="bottom"/>
          </w:tcPr>
          <w:p>
            <w:pPr>
              <w:spacing w:after="0"/>
              <w:rPr>
                <w:sz w:val="21"/>
                <w:szCs w:val="21"/>
                <w:color w:val="auto"/>
              </w:rPr>
            </w:pPr>
          </w:p>
        </w:tc>
      </w:tr>
      <w:tr>
        <w:trPr>
          <w:trHeight w:val="20"/>
        </w:trPr>
        <w:tc>
          <w:tcPr>
            <w:tcW w:w="216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7"/>
                <w:szCs w:val="17"/>
                <w:color w:val="auto"/>
              </w:rPr>
            </w:pPr>
          </w:p>
        </w:tc>
        <w:tc>
          <w:tcPr>
            <w:tcW w:w="25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80" w:type="dxa"/>
            <w:vAlign w:val="bottom"/>
            <w:tcBorders>
              <w:bottom w:val="single" w:sz="8" w:color="auto"/>
            </w:tcBorders>
          </w:tcPr>
          <w:p>
            <w:pPr>
              <w:spacing w:after="0"/>
              <w:rPr>
                <w:sz w:val="20"/>
                <w:szCs w:val="20"/>
                <w:color w:val="auto"/>
              </w:rPr>
            </w:pPr>
          </w:p>
        </w:tc>
      </w:tr>
      <w:tr>
        <w:trPr>
          <w:trHeight w:val="225"/>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 October 31,</w:t>
            </w:r>
          </w:p>
        </w:tc>
        <w:tc>
          <w:tcPr>
            <w:tcW w:w="98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60,861</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11,854</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Fluids Purification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48,415</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79,530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72,277</w:t>
            </w: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100,325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200,545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200,187</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49,301</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62,118</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350,171</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48,415</w:t>
            </w:r>
          </w:p>
        </w:tc>
        <w:tc>
          <w:tcPr>
            <w:tcW w:w="6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79,530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11,331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127,945</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1,719,500. As of October 31, 2024, there were 560,724 shares of Common Stock or Class B Stock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October 31, 2024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40,800 and 57,000 restricted shares of Common Stock granted during the three months ended October 31, 2024 and 2023, respectively. There were no restricted shares of Class B Stock granted during the three months ended October 31, 2024 and 125,000 in the three months ended October 31, 2023. Stock-based compensation expense was $0.9 million and $0.8 million for the three months ended October 31, 2024 and 2023,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October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as of October 31, 2024 (in thousands):</w:t>
      </w:r>
    </w:p>
    <w:p>
      <w:pPr>
        <w:spacing w:after="0" w:line="23" w:lineRule="exact"/>
        <w:rPr>
          <w:sz w:val="20"/>
          <w:szCs w:val="20"/>
          <w:color w:val="auto"/>
        </w:rPr>
      </w:pPr>
    </w:p>
    <w:tbl>
      <w:tblPr>
        <w:tblLayout w:type="fixed"/>
        <w:tblInd w:w="490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5"/>
        </w:trPr>
        <w:tc>
          <w:tcPr>
            <w:tcW w:w="21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c>
          <w:tcPr>
            <w:tcW w:w="164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16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21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0</wp:posOffset>
            </wp:positionV>
            <wp:extent cx="620649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06490"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9" w:lineRule="exact"/>
        <w:rPr>
          <w:sz w:val="20"/>
          <w:szCs w:val="20"/>
          <w:color w:val="auto"/>
        </w:rPr>
      </w:pPr>
    </w:p>
    <w:p>
      <w:pPr>
        <w:ind w:left="760"/>
        <w:spacing w:after="0"/>
        <w:tabs>
          <w:tab w:leader="none" w:pos="4780" w:val="left"/>
        </w:tabs>
        <w:rPr>
          <w:sz w:val="20"/>
          <w:szCs w:val="20"/>
          <w:color w:val="auto"/>
        </w:rPr>
      </w:pPr>
      <w:r>
        <w:rPr>
          <w:rFonts w:ascii="Times New Roman" w:cs="Times New Roman" w:eastAsia="Times New Roman" w:hAnsi="Times New Roman"/>
          <w:sz w:val="18"/>
          <w:szCs w:val="18"/>
          <w:color w:val="auto"/>
        </w:rPr>
        <w:t>Balance as of July 31, 2024</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60" w:right="860"/>
        <w:spacing w:after="0" w:line="234"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p>
    <w:p>
      <w:pPr>
        <w:spacing w:after="0" w:line="10" w:lineRule="exact"/>
        <w:rPr>
          <w:sz w:val="20"/>
          <w:szCs w:val="20"/>
          <w:color w:val="auto"/>
        </w:rPr>
      </w:pPr>
    </w:p>
    <w:p>
      <w:pPr>
        <w:ind w:left="760" w:right="144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1,076</w:t>
            </w: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769</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4"/>
                <w:szCs w:val="24"/>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-264795</wp:posOffset>
            </wp:positionV>
            <wp:extent cx="62064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0649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80" w:space="720"/>
            <w:col w:w="5040"/>
          </w:cols>
          <w:pgMar w:left="320" w:top="887" w:right="339" w:bottom="1440" w:gutter="0" w:footer="0" w:header="0"/>
          <w:type w:val="continuous"/>
        </w:sectPr>
      </w:pPr>
    </w:p>
    <w:tbl>
      <w:tblPr>
        <w:tblLayout w:type="fixed"/>
        <w:tblInd w:w="740" w:type="dxa"/>
        <w:tblCellMar>
          <w:top w:w="0" w:type="dxa"/>
          <w:left w:w="0" w:type="dxa"/>
          <w:bottom w:w="0" w:type="dxa"/>
          <w:right w:w="0" w:type="dxa"/>
        </w:tblCellMar>
      </w:tblPr>
      <w:tr>
        <w:trPr>
          <w:trHeight w:val="156"/>
        </w:trPr>
        <w:tc>
          <w:tcPr>
            <w:tcW w:w="4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7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one of our vendors. Total payments to this vendor for fees and cost reimbursements were $0.3 million and $0.1 million for the first three months of fiscal years 2025 and 2024, respectively. There were $0.1 million of outstanding accounts payable due to that vendor as of both October 31, 2024 and July 31, 2024.</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One member of our Board retired from the role of President and Chief Executive Officer of one of our customers on September 28, 2019 and is currently party to a post-employment consulting agreement with this customer. Total sales to that customer, including sales to its subsidiaries, were $0.1 million for the first three months of both fiscal years 2025 and 2024. There were no outstanding amounts due from that customer as of either October 31, 2024 or July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2024.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or "R&amp;W") and the Business to Business Products Group ("Business to Business" or "B2B"), as described in Note 10 of the Notes to the unaudited Condensed Consolidated Financial Statements. Each operating segment is discussed individually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Quarterly net sales, gross profit and net income reached all-time highs in the three months ended October 31, 2024. Net sales grew across both the Retail and Wholesale Products Group and the Business to Business Products Group. Both operating segments grew due to higher volumes and favorable mix compared to the same period in fiscal year 2024. Consolidated net sales of $127.9 million increased $16.5 million, or 15%, in the three months ended October 31, 2024 compared to the three months ended October 31, 2023. Gross margin grew to 32% for the three months ended October 31, 2024 compared to 28% for the three months ended October 31, 2023.</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higher SG&amp;A and other expenses including tax, consolidated income from operations increased $8.0 million, or 61%, and net income increased $5.6 million, or 52%, for the three months ended October 31, 2024 compared to the three months ended October 31,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Balance Sheet as of October 31, 2024 and our Condensed Consolidated Statement of Cash Flows for the three months ended October 31, 2024 show an decrease in total cash and cash equivalents from fiscal year-end 2024. The decrease was driven primarily due to the use of cash in investing and financing activities which included capital expenditures, partial payment on our revolving credit facility, dividend payments and treasury stock repurchases. These were partially offset by positive cash flow from operations. Refer to the "Liquidity and Capital Resources" section below for more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three months ended October 31, 2024 were $127.9 million, a 15% increase compared to net sales of $111.4 million for the three months ended October 31, 2023. The increase was primarily driven by higher volumes and favorable mix in both our Business to Business and Retail and Wholesale product groups.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in the three months ended October 31, 2024 was $40.8 million, an increase of $9.8 million, or 32%, from gross profit of $31.0 million in the three months ended October 31, 2023. Our gross margin (defined as gross profit as a percentage of net sales) in the three months ended October 31, 2024 increased to 32% from 28% in the three months ended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both"/>
        <w:spacing w:after="0" w:line="246" w:lineRule="auto"/>
        <w:rPr>
          <w:sz w:val="20"/>
          <w:szCs w:val="20"/>
          <w:color w:val="auto"/>
        </w:rPr>
      </w:pPr>
      <w:r>
        <w:rPr>
          <w:rFonts w:ascii="Times New Roman" w:cs="Times New Roman" w:eastAsia="Times New Roman" w:hAnsi="Times New Roman"/>
          <w:sz w:val="18"/>
          <w:szCs w:val="18"/>
          <w:color w:val="auto"/>
        </w:rPr>
        <w:t>October 31, 2023. This gross margin expansion was mainly driven by volume growth, which led to improved fixed cost coverage, and favorable product mix. Additionally, we realized production efficiencies at various manufacturing plants which resulted in stronger gross margins for several of our products. While some per ton costs such as transportation have increased, overall cost pressures have lessened and have been mitigated by the positive impact of volume and mix. This resulted in overall per ton cost of goods sold, for the three months ended October 31, 2024, to remain flat when compared to the same period last year.</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SG&amp;A expenses of $19.6 million for the three months ended October 31, 2024 were higher by $1.8 million, or 10%, compared to $17.8 million for the three months ended October 31, 2023. Corporate unallocated expenses remained flat year over year as the increase was driven by segments' SG&amp;A. The discussion of the segments' operating incomes below describes the changes in SG&amp;A expenses that were allocated to the operating segments.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expenses, net were $1.0 million for the three months ended October 31, 2024 compared to $0.3 million in the same period of fiscal year 2024. The increase was mainly due to higher interest expenses an increase in the estimated landfill modification cost. Refer to Note 7 of the Notes to the unaudited Condensed Consolidated Financial Statements for additional details regarding the landfill modification accrual.</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three months ended October 31, 2024 was $20.2 million compared to $12.8 million for the three months ended October 31, 2023. Results for the three months ended October 31, 2024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tax expense of $3.8 million for the three months ended October 31, 2024 compared to $2.1 million for the three months ended October 31, 2023. Our tax expense was driven primarily by higher net income. We used an estimated annual effective tax rate ("ETR") of 19% in determining our provision for income taxes, which is based on expected annual taxable income and the assessment of various tax adjustments, including depletion and discrete items.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Consolidated quarterly net income reached a record $16.4 million in the three months ended October 31, 2024, an increase of $5.6 million or 52%, from $10.7 million for the three months ended October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three months ended October 31, 2024 were $48.4 million, an increase of $9.3 million, or 24%, from net sales of $39.2 million for the three months ended October 31, 2023, driven by sales of our fluids purification and agricultural products. Net sales of our fluids purification products increased $8.2 million, or 37%, in the three months ended October 31, 2024 compared to the three months ended October 31, 2023. The increase was primarily driven by new and growing demand in the renewable diesel business and, to a lesser extent, higher prices. Net sales increased in all regions except for our subsidiary in the U.K. which is further discussed below. Net sales of our agricultural and horticultural chemical carrier products increased $1.3 million, or 12%, for the three months ended October 31, 2024 compared to the three months ended October 31, 2023 as a result of stronger demand and, to a lesser extent, higher prices. The volume growth was primarily due to key customers who resumed purchasing after working through inventory surpluses. Net sales of our animal health &amp; nutrition products decreased $0.2 million, or 3%, during the three months ended October 31, 2024 compared to three months ended October 31, 2023. The decrease was driven by the Asia region (including China) and our subsidiary in Mexico, partially offset by higher sales in North America and Latin America. Net sales in Asia were down due to the sell off of existing inventory that occurred in the first quarter of fiscal year 2024 as we transitioned to a master distributor in China. Net sales in Latin America grew due to higher demand of exiting and new customers specifically in Brazil while net sales in North America grew due to higher prices and, to a lesser extent, growth in demand.</w:t>
      </w:r>
    </w:p>
    <w:p>
      <w:pPr>
        <w:spacing w:after="0" w:line="200" w:lineRule="exact"/>
        <w:rPr>
          <w:sz w:val="20"/>
          <w:szCs w:val="20"/>
          <w:color w:val="auto"/>
        </w:rPr>
      </w:pP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by $0.7 million, or 20%, for the three months ended October 31, 2024 compared to the three months ended October 31, 2023. The increase was mainly driven by a preliminary foreign value-added tax ("VAT") assessment and higher research and development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three months ended October 31, 2024 was $17.1 million, an increase of $6.0 million, or 54%, from operating income of $11.1 million for the three months ended October 31, 2023. The increase in operating income was mostly driven by higher sales in our fluids purification and agricultural products.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three months ended October 31, 2024 were $79.5 million, an increase of $7.3 million, or 10%, from net sales of $72.3 million for the three months ended October 31, 2023. This increase was mainly driven by sales of our new crystal cat litter products and stronger demand for our co-packaged cat litter and industrial products. Total global cat litter net sales for the three months ended October 31, 2024 increased $6.8 million, or 11%, compared to the three months ended October 31, 2023, driven primarily by sales of our new crystal cat litter products and higher demand in our co-packaged business partially offset by a decrease in our clay based cat litter sales. Net sales of co-packaged cat litter increased $2.1 million, or 78%, compared to the three months ended October 31, 2024 due to higher demand. In the first quarter of fiscal year 2024, a cyber-attack disrupted a key customer’s ability to place and receive orders, which negatively impacted sales of Oil-Dri’s co-packaged coarse litter. However, the cyber event boosted sales of the Oil-Dri’s branded and private label coarse items, and is currently influencing year-over-year comparisons for both domestic clay and co-packaged litter products. Although total domestic clay litter revenues declined, Oil-Dri continued to experience topline growth of its EPA-approved Cat’s Pride Antibacterial Clumping Litter which is currently sold at large brick and mortar and e-commerce retailers. In addition, new distribution of other clay products and accessories was achieved at new and existing customers. Net sales of cat litter by our subsidiary in Canada decreased slightly period over period, as discussed in "Foreign Operations" below. Net sales of our global industrial and sports products increased $0.4 million, or 4%, compared to the three months ended October 31, 2023, primarily driven by increased demand of our clay-based floor absorbent products by new and existing customers.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$1.0 million, or 21%, higher during the three months ended October 31, 2024 compared to the three months ended October 31, 2023, primarily due to higher compensation related costs, a credit reserve for several customer bankruptcies, amortization of the customer list acquired with Ultra Pet and higher research and development costs. These higher expenses were partially offset by lower advertising expense in the first quarter of fiscal year 2025 compared to the first quarter of fiscal year 2024. We anticipate total advertising expense in fiscal year 2025 to be lower than fiscal year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three months ended October 31, 2024 was $13.4 million, an increase of $2.1 million, or 18%, from operating income of $11.3 million for three months ended October 31, 2023. This was driven primarily by higher volumes including new crystal cat litter sales, partially offset by elevated SG&amp;A expenses,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subsidiaries in Canada and Netherlands, which are reported in the Retail and Wholesale Products Group, and our subsidiaries in the United Kingdom ("UK"), Mexico, China and Indonesia, which are reported in the Business to Business Products Group. Net sales by our foreign subsidiaries for the three months ended October 31, 2024 were $5.1 million, a decrease of 27%, compared to net sales of $7.0 million during the three months ended October 31, 2023. The decrease was driven mainly by our subsidiary in China and, to a lesser extent, all other subsidiaries. Net sales of our subsidiary in China decreased $1.7 million, or 100%, in the three months ended October 31, 2024 compared to the same period of fiscal year 2024 due to a sell-off of all existing inventory to a new master distributor, which occurred in the first quarter of fiscal year 2024. Sales to China are now directly through the Company and not through our subsidiary in China. Total net sales of our subsidiary in Canada decreased $0.1 million, or 2%, in the three months ended October 31, 2024 compared to the three months ended October 31, 2023, driven by softer sales volumes of cat litter partially offset by higher net sales of floor absorbents due to higher prices. Net sales of our subsidiaries in the UK and Mexico decreased slightly in the three months ended October 31, 2024 compared to the three months ended October 31, 2023. Net sales by our foreign subsidiaries represented 4% and 6% of our consolidated net sales for the three months ended October 31, 2024 and 2023,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loss of $0.2 million for the three months ended October 31, 2024, compared to net income of $0.6 million in the three months ended October 31, 2023. The decrease in net income was primarily driven by the decrease in China sales as well as the preliminary foreign VAT assessment recognized in the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October 31, 2024, were $9.2 million, compared to $8.7 million as of July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41" w:lineRule="auto"/>
        <w:rPr>
          <w:sz w:val="20"/>
          <w:szCs w:val="20"/>
          <w:color w:val="auto"/>
        </w:rPr>
      </w:pPr>
      <w:r>
        <w:rPr>
          <w:rFonts w:ascii="Times New Roman" w:cs="Times New Roman" w:eastAsia="Times New Roman" w:hAnsi="Times New Roman"/>
          <w:sz w:val="18"/>
          <w:szCs w:val="18"/>
          <w:color w:val="auto"/>
        </w:rPr>
        <w:t>infrastructure; repurchasing stock; paying dividends; and, from time to time, business acquisitions, and funding our debt service requirements. During the three months ended October 31, 2024, we principally funded these short and long-term capital requirements using cash from current operations as well as cash generated from previous borrowings under our Series B, C and D Senior Notes and Credit Agreement. On September 30, 2024 we amended the Credit Agreement to, among other things, increase our line of credit from $45 million to $75 million in order to gain extra flexibility in our cash position. See Note 8 of the Notes to the unaudited Condensed Consolidated Financial Statements in this Quarterly Report on Form 10-Q for further information relating to our existing borrowings.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27"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three months ended October 31, 2024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allowances increased by $9.0 million in the three months ended October 31, 2024. The increase in accounts receivable was driven primarily by higher net sales, offset by the level and timing of collections due to payment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increased by $2.0 million in the three months ended October 31, 2024 due to the building of finished goods inventory to meet anticipated demand.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decreased by $2.2 million in the three months ended October 31, 2024. The decrease is mainly due to the timing of tax and insurance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impact of payments related to capital expenditures, accounts payable increased by $1.9 million in the three months ended October 31, 2024. The increase was mainly due to the timing of payments, cost of goods and services we purchase, production volume levels and vendor payment terms. In the three months ended October 31, 2024 there was a $3.0 million decrease in accounts payable related to capital expenditures recognized as cash used in investing activities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payments made related to capital expenditures, accrued expenses decreased $6.1 million in the three months ended October 31, 2024. The decrease was mainly due to the payout of annual bonuses and taxes, and other miscellaneous expenses which fluctuate due to timing of payments, changes in the cost of goods and services we purchase, production volume levels and vendor payment terms including freight. In the three months ended October 31, 2024 there was a $4.5 million decrease in accrued expenses related to capital expenditures recognized as cash used in investing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$12.8 million in the three months ended October 31, 2024 was driven by capital expenditures. During the three months ended October 31, 2024 we continued to expand our plant equipment and improve our facilities to support increased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$9.1 million in the three months ended October 31, 2024 was primarily driven by a $5 million payment of our borrowing under the Credit Agreement, as well as cash used for dividend payments and treasury stock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cash balances held by our foreign subsidiaries of $4.7 million as of October 31, 2024 decreased compared to $4.5 million as of July 31, 2024. See further discussion in "Foreign Operations"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2024, we had remaining authority to repurchase 368,902 shares of Common Stock and 244,113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changes in commodity prices, interest rates, foreign currency exchange rates, and duties and tariffs, along with the impact of inflation. We do not engage in financial transactions for trading or speculative purposes.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Prices Risk. </w:t>
      </w:r>
      <w:r>
        <w:rPr>
          <w:rFonts w:ascii="Times New Roman" w:cs="Times New Roman" w:eastAsia="Times New Roman" w:hAnsi="Times New Roman"/>
          <w:sz w:val="18"/>
          <w:szCs w:val="18"/>
          <w:color w:val="auto"/>
        </w:rPr>
        <w:t>We are primarily exposed to fluctuations in market prices with respect to the commodities necessary for producing, packaging,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our products, and in particular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During fiscal years 2024 and 2023, we purchased several forward fuel contracts in Georgia and California which will cover a portion of our needs through fiscal year 2026. These contracts totaled approximately $4.3 million in fiscal year 2024, and a 10% change in the market price for fuel would have resulted in an additional pretax gain or loss of approximately $0.4 million as the related inventory containing those inputs was sold.</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The interest payable on amounts borrowed pursuant to our Credit Agreement is based on variable interest rates and is therefore affected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changes in interest rates. In addition, we have investments consisting of cash, cash equivalents and short-term investments which are also affected by changes in interest rates. Based on our current and expected levels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borrowing and investing, we do not expect changes in interest rates to have a material impact on our results of operations or financial position.</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We are exposed to foreign currency risk, primarily the U.S. dollar relative to the local currency in the foreign markets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net sales of our products may be influenced by the relative strength of the U.S. dollar compared to various other currencies, which makes our products relatively more or less expensive than our foreign competitors' products in local marketplaces. We do not enter into any hedge contracts to offset any adverse effect of changes in currency exchange rates. Foreign currency fluctuations did not have a material impact on our results of operations or financial position during any of the fiscal periods presented, and we do not expect changes in foreign currency rates to have a material impact on our results of operations or financial position.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Duties and Tariffs Market Risk. </w:t>
      </w:r>
      <w:r>
        <w:rPr>
          <w:rFonts w:ascii="Times New Roman" w:cs="Times New Roman" w:eastAsia="Times New Roman" w:hAnsi="Times New Roman"/>
          <w:sz w:val="18"/>
          <w:szCs w:val="18"/>
          <w:color w:val="auto"/>
        </w:rPr>
        <w:t>We are exposed to market risk with respect to duties and tariffs assessed on raw materials, component parts, and finished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we import. Additionally, we are exposed to duties and tariffs on our finished goods that we export from our manufacturing plants. As these tariffs and duties increase, we determine whether a price increase to our customers to offset these costs is warranted. To the extent that an increase in these costs would have a material impact on our results of operations, we believe that our competitors would experience a similar impact.</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Inflation Risk</w:t>
      </w:r>
      <w:r>
        <w:rPr>
          <w:rFonts w:ascii="Times New Roman" w:cs="Times New Roman" w:eastAsia="Times New Roman" w:hAnsi="Times New Roman"/>
          <w:sz w:val="18"/>
          <w:szCs w:val="18"/>
          <w:color w:val="auto"/>
        </w:rPr>
        <w:t>. Our results of operations and financial condition are presented based on historical cost. While it is difficult to accurately measure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inflationary pressure, we believe any inflationary impact on our product and operating costs would be offset by our ability to increase selling prices, create operational efficiencies and seek lower cost alternatives.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October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of our Annual Report on Form 10-K for the fiscal year ended July 31, 2024. There have been no material changes to our risk factors since our Annual Report on Form 10-K for the fiscal year ended July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we did not sell any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214"/>
        </w:trPr>
        <w:tc>
          <w:tcPr>
            <w:tcW w:w="20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0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vMerge w:val="continue"/>
          </w:tcPr>
          <w:p>
            <w:pPr>
              <w:spacing w:after="0"/>
              <w:rPr>
                <w:sz w:val="21"/>
                <w:szCs w:val="21"/>
                <w:color w:val="auto"/>
              </w:rPr>
            </w:pPr>
          </w:p>
        </w:tc>
        <w:tc>
          <w:tcPr>
            <w:tcW w:w="23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3"/>
                <w:szCs w:val="23"/>
                <w:b w:val="1"/>
                <w:bCs w:val="1"/>
                <w:color w:val="auto"/>
                <w:w w:val="96"/>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 2024 to August</w:t>
            </w:r>
          </w:p>
        </w:tc>
        <w:tc>
          <w:tcPr>
            <w:tcW w:w="23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379,925</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2024 to</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379,925</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2024 to</w:t>
            </w:r>
          </w:p>
        </w:tc>
        <w:tc>
          <w:tcPr>
            <w:tcW w:w="23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11,023</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$68.45</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368,902</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Stock</w:t>
            </w:r>
          </w:p>
        </w:tc>
        <w:tc>
          <w:tcPr>
            <w:tcW w:w="23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 2024 to August</w:t>
            </w:r>
          </w:p>
        </w:tc>
        <w:tc>
          <w:tcPr>
            <w:tcW w:w="23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262,092</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2024 to</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262,092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2024 to</w:t>
            </w:r>
          </w:p>
        </w:tc>
        <w:tc>
          <w:tcPr>
            <w:tcW w:w="23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17,979</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$68.43</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244,113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35"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and Class B Stock. No shares of our Class A Common Stock are currently outstanding. Descriptions of our Common Stock, Class B Stock and Class A Common Stock are contained in Exhibit 4.1 of our Annual Report on Form 10-K for the fiscal year ended July 31, 2024.</w:t>
      </w:r>
    </w:p>
    <w:p>
      <w:pPr>
        <w:spacing w:after="0" w:line="227" w:lineRule="exact"/>
        <w:rPr>
          <w:sz w:val="20"/>
          <w:szCs w:val="20"/>
          <w:color w:val="auto"/>
        </w:rPr>
      </w:pPr>
    </w:p>
    <w:p>
      <w:pPr>
        <w:ind w:firstLine="8"/>
        <w:spacing w:after="0" w:line="229" w:lineRule="auto"/>
        <w:tabs>
          <w:tab w:leader="none" w:pos="8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Condensed Consolidated Financial Statements included in this Quarterly Report on Form 10-Q, the impact of repurchases are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purchased shares were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Exhibit</w:t>
      </w:r>
    </w:p>
    <w:p>
      <w:pPr>
        <w:ind w:left="360"/>
        <w:spacing w:after="0"/>
        <w:tabs>
          <w:tab w:leader="none" w:pos="4000" w:val="left"/>
          <w:tab w:leader="none" w:pos="85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r>
        <w:rPr>
          <w:sz w:val="20"/>
          <w:szCs w:val="20"/>
          <w:color w:val="auto"/>
        </w:rPr>
        <w:tab/>
      </w:r>
      <w:r>
        <w:rPr>
          <w:rFonts w:ascii="Times New Roman" w:cs="Times New Roman" w:eastAsia="Times New Roman" w:hAnsi="Times New Roman"/>
          <w:sz w:val="17"/>
          <w:szCs w:val="17"/>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111" w:lineRule="exact"/>
        <w:rPr>
          <w:sz w:val="20"/>
          <w:szCs w:val="20"/>
          <w:color w:val="auto"/>
        </w:rPr>
      </w:pPr>
    </w:p>
    <w:p>
      <w:pPr>
        <w:jc w:val="right"/>
        <w:ind w:left="6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46">
        <w:r>
          <w:rPr>
            <w:rFonts w:ascii="Times New Roman" w:cs="Times New Roman" w:eastAsia="Times New Roman" w:hAnsi="Times New Roman"/>
            <w:sz w:val="18"/>
            <w:szCs w:val="18"/>
            <w:u w:val="single" w:color="auto"/>
            <w:color w:val="0000FF"/>
          </w:rPr>
          <w:t>Eighth Amendment to Credit Agreement, dated September 30, 2024, by and between Oil-</w:t>
        </w:r>
      </w:hyperlink>
      <w:hyperlink r:id="rId46">
        <w:r>
          <w:rPr>
            <w:rFonts w:ascii="Times New Roman" w:cs="Times New Roman" w:eastAsia="Times New Roman" w:hAnsi="Times New Roman"/>
            <w:sz w:val="18"/>
            <w:szCs w:val="18"/>
            <w:u w:val="single" w:color="auto"/>
            <w:color w:val="0000FF"/>
          </w:rPr>
          <w:t>Dri Corporation of America and BMO Bank N.A. (formerly known as BMO Harris Bank</w:t>
        </w:r>
      </w:hyperlink>
    </w:p>
    <w:p>
      <w:pPr>
        <w:spacing w:after="0" w:line="2" w:lineRule="exact"/>
        <w:rPr>
          <w:sz w:val="20"/>
          <w:szCs w:val="20"/>
          <w:color w:val="auto"/>
        </w:rPr>
      </w:pPr>
    </w:p>
    <w:p>
      <w:pPr>
        <w:ind w:left="110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N.A.)</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10.1 to Oil-Dri Corporation of America’s Current</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Report on Form 8-K filed on September 30, 2024</w:t>
      </w:r>
    </w:p>
    <w:p>
      <w:pPr>
        <w:spacing w:after="0" w:line="90" w:lineRule="exact"/>
        <w:rPr>
          <w:sz w:val="20"/>
          <w:szCs w:val="20"/>
          <w:color w:val="auto"/>
        </w:rPr>
      </w:pPr>
    </w:p>
    <w:p>
      <w:pPr>
        <w:sectPr>
          <w:pgSz w:w="11900" w:h="16838" w:orient="portrait"/>
          <w:cols w:equalWidth="0" w:num="2">
            <w:col w:w="7560" w:space="360"/>
            <w:col w:w="3320"/>
          </w:cols>
          <w:pgMar w:left="320" w:top="887" w:right="339" w:bottom="1440" w:gutter="0" w:footer="0" w:header="0"/>
          <w:type w:val="continuous"/>
        </w:sectPr>
      </w:pPr>
    </w:p>
    <w:tbl>
      <w:tblPr>
        <w:tblLayout w:type="fixed"/>
        <w:tblInd w:w="280" w:type="dxa"/>
        <w:tblCellMar>
          <w:top w:w="0" w:type="dxa"/>
          <w:left w:w="0" w:type="dxa"/>
          <w:bottom w:w="0" w:type="dxa"/>
          <w:right w:w="0" w:type="dxa"/>
        </w:tblCellMar>
      </w:tblPr>
      <w:tr>
        <w:trPr>
          <w:trHeight w:val="207"/>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Certifications pursuant to Rule 13a–14(a) or Rule 15d-14(a) under the Securities Exchange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820" w:type="dxa"/>
            <w:vAlign w:val="bottom"/>
          </w:tcPr>
          <w:p>
            <w:pPr>
              <w:spacing w:after="0"/>
              <w:rPr>
                <w:sz w:val="13"/>
                <w:szCs w:val="13"/>
                <w:color w:val="auto"/>
              </w:rPr>
            </w:pPr>
          </w:p>
        </w:tc>
        <w:tc>
          <w:tcPr>
            <w:tcW w:w="668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77"/>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as adopted pursuant to Section 906 of the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56"/>
        </w:trPr>
        <w:tc>
          <w:tcPr>
            <w:tcW w:w="820" w:type="dxa"/>
            <w:vAlign w:val="bottom"/>
          </w:tcPr>
          <w:p>
            <w:pPr>
              <w:spacing w:after="0"/>
              <w:rPr>
                <w:sz w:val="13"/>
                <w:szCs w:val="13"/>
                <w:color w:val="auto"/>
              </w:rPr>
            </w:pPr>
          </w:p>
        </w:tc>
        <w:tc>
          <w:tcPr>
            <w:tcW w:w="67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77"/>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2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4660" w:type="dxa"/>
            <w:vAlign w:val="bottom"/>
            <w:gridSpan w:val="3"/>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8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101.CAL</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9, 2024</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20"/>
          </w:cols>
          <w:pgMar w:left="660" w:top="891" w:right="9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13A-14(A)/15D-14(A)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October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9,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October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9,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Actions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Section 104</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Section 104(d)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Value of Proposed</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Last Day Initiated During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Orders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1,332</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5,844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3,802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34,160</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5" w:name="page36"/>
    <w:bookmarkEnd w:id="35"/>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4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1"/>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4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6" Type="http://schemas.openxmlformats.org/officeDocument/2006/relationships/hyperlink" Target="https://www.sec.gov/ix?doc=/Archives/edgar/data/0000074046/000007404624000054/odc-2024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2024-12-09T15:16:34Z</dcterms:created>
  <dcterms:modified xsi:type="dcterms:W3CDTF">2024-12-09T15:16:34Z</dcterms:modified>
</cp:coreProperties>
</file>