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32446.xml.htm"/>
      <w:bookmarkStart w:id="1" w:name="kswkform4_17925324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Christiansen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60611-4213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of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8,811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70.49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51,189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the purpose of covering tax liability incident to the vesting of restricted stock issued in accordance with Rule 16b-3.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0689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3225</Characters>
  <CharactersWithSpaces>3750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