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October 19, 2028.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21, 2024, the first trading day following the grant date of this award, which fell on a weekend.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21, 2024, the first trading day following the vesting date of this award, which fell on a weekend.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3657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2024-10-21T16:46:35Z</dcterms:created>
  <dcterms:modified xsi:type="dcterms:W3CDTF">2024-10-21T16:46:35Z</dcterms:modified>
</cp:coreProperties>
</file>