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20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2019</w:t>
            </w:r>
          </w:p>
        </w:tc>
        <w:tc>
          <w:tcPr>
            <w:tcW w:w="0" w:type="dxa"/>
            <w:vAlign w:val="bottom"/>
          </w:tcPr>
          <w:p>
            <w:pPr>
              <w:spacing w:after="0"/>
              <w:rPr>
                <w:sz w:val="1"/>
                <w:szCs w:val="1"/>
                <w:color w:val="auto"/>
              </w:rPr>
            </w:pP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165" w:right="279" w:bottom="1440" w:gutter="0" w:footer="0" w:header="0"/>
        </w:sectPr>
      </w:pPr>
    </w:p>
    <w:p>
      <w:pPr>
        <w:spacing w:after="0" w:line="127"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237" w:lineRule="exact"/>
        <w:rPr>
          <w:sz w:val="24"/>
          <w:szCs w:val="24"/>
          <w:color w:val="auto"/>
        </w:rPr>
      </w:pPr>
    </w:p>
    <w:p>
      <w:pPr>
        <w:sectPr>
          <w:pgSz w:w="11900" w:h="16838" w:orient="portrait"/>
          <w:cols w:equalWidth="0" w:num="5">
            <w:col w:w="3080" w:space="200"/>
            <w:col w:w="1380" w:space="220"/>
            <w:col w:w="1640" w:space="120"/>
            <w:col w:w="1260" w:space="500"/>
            <w:col w:w="2980"/>
          </w:cols>
          <w:pgMar w:left="240" w:top="1165" w:right="279" w:bottom="1440" w:gutter="0" w:footer="0" w:header="0"/>
          <w:type w:val="continuous"/>
        </w:sect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January 31, 2019.</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5,311,462 Shares and Class B Stock – 2,251,738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statements are subject to certain risks, uncertainties and assumptions that could cause actual results to differ materially, including, but not limited to, those described in Item 1A, Risk Factors, of our Annual Report on Form 10-K for the fiscal year ended July 31, 2018, which contains, among other risk factors, a description of the issues that may arise with the implementation of our new enterprise resource planning system which became operational on August 1, 2018.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Oil-Dri is a registered trademark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$690 and $817 at January 31, 2019 and July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33,602</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28,123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1,924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82,300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83,014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241,425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86,193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1,298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$283 and $267 at January 31, 2019 and July 31, 2018,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$5,918 and $5,540 at January 31, 2019 and July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24,644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193,137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7,882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1,132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7,492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30,949</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3,038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of $46 and $60 at January 31, 2019 and July 31, 2018,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5,664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16,474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4,108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29,284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60,373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62,797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8,236,449 shares at January 31, 2019</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8,086,849 shares at July 31, 2018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2,576,479 shares at January 31, 2019</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2,468,979 shares at July 31, 2018</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39,730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158,788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158,935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(2,924,987 Common and 324,741 Class B shares at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(56,480)</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180"/>
              <w:spacing w:after="0"/>
              <w:rPr>
                <w:sz w:val="20"/>
                <w:szCs w:val="20"/>
                <w:color w:val="auto"/>
              </w:rPr>
            </w:pPr>
            <w:r>
              <w:rPr>
                <w:rFonts w:ascii="Arial" w:cs="Arial" w:eastAsia="Arial" w:hAnsi="Arial"/>
                <w:sz w:val="18"/>
                <w:szCs w:val="18"/>
                <w:color w:val="auto"/>
              </w:rPr>
              <w:t>January 31, 2019 and 2,914,092 Common and 324,741 Class B shares at July 31, 2018)</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132,764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131,885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193,137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136,023</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135,540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 (1)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(104,609)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(96,908)</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31,414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38,632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(27,584)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(29,234)</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3,830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9,398</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 (1)</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3,672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(6,956)</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1,954</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158,935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154,735</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(3,340)</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158,788</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153,571</w:t>
            </w:r>
          </w:p>
        </w:tc>
      </w:tr>
      <w:tr>
        <w:trPr>
          <w:trHeight w:val="284"/>
        </w:trPr>
        <w:tc>
          <w:tcPr>
            <w:tcW w:w="8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0.46</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0.42</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5,099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2,069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2,097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7,242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0.4800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0.4600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0.3600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0.3450</w:t>
            </w:r>
          </w:p>
        </w:tc>
      </w:tr>
    </w:tbl>
    <w:p>
      <w:pPr>
        <w:spacing w:after="0" w:line="256" w:lineRule="exact"/>
        <w:rPr>
          <w:sz w:val="20"/>
          <w:szCs w:val="20"/>
          <w:color w:val="auto"/>
        </w:rPr>
      </w:pPr>
    </w:p>
    <w:p>
      <w:pPr>
        <w:jc w:val="both"/>
        <w:ind w:firstLine="8"/>
        <w:spacing w:after="0" w:line="312" w:lineRule="auto"/>
        <w:tabs>
          <w:tab w:leader="none" w:pos="27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Prior year amounts have been retrospectively adjusted to conform to the current year presentation of the non-service cost components of net periodic benefit cost required by new guidance under Accounting Standards Codification (“ASC”) 715, </w:t>
      </w:r>
      <w:r>
        <w:rPr>
          <w:rFonts w:ascii="Arial" w:cs="Arial" w:eastAsia="Arial" w:hAnsi="Arial"/>
          <w:sz w:val="16"/>
          <w:szCs w:val="16"/>
          <w:i w:val="1"/>
          <w:iCs w:val="1"/>
          <w:color w:val="auto"/>
        </w:rPr>
        <w:t>Improving the Presentation of Net Periodic Pension Cost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Periodic Postretirement Benefit Cost. </w:t>
      </w:r>
      <w:r>
        <w:rPr>
          <w:rFonts w:ascii="Arial" w:cs="Arial" w:eastAsia="Arial" w:hAnsi="Arial"/>
          <w:sz w:val="16"/>
          <w:szCs w:val="16"/>
          <w:color w:val="auto"/>
        </w:rPr>
        <w:t>See Note 2 of the Notes to unaudited Condensed Consolidated Financial Statements for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3,193</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1,954</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291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255</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69,880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68,894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 (1)</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(54,476)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(49,237)</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15,404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(12,577)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(14,474)</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5,183</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 (1)</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(6,167)</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Oil-Dri</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0.33</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0.30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5,121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5,035</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7,229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7,139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0.2400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0.2300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0.1800</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0.1725</w:t>
            </w:r>
          </w:p>
        </w:tc>
      </w:tr>
      <w:tr>
        <w:trPr>
          <w:trHeight w:val="27"/>
        </w:trPr>
        <w:tc>
          <w:tcPr>
            <w:tcW w:w="8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8"/>
        <w:spacing w:after="0" w:line="312" w:lineRule="auto"/>
        <w:tabs>
          <w:tab w:leader="none" w:pos="27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Prior year amounts have been retrospectively adjusted to conform to the current year presentation of the non-service cost components of net periodic benefit cost required by new guidance under Accounting Standards Codification (“ASC”) 715, </w:t>
      </w:r>
      <w:r>
        <w:rPr>
          <w:rFonts w:ascii="Arial" w:cs="Arial" w:eastAsia="Arial" w:hAnsi="Arial"/>
          <w:sz w:val="16"/>
          <w:szCs w:val="16"/>
          <w:i w:val="1"/>
          <w:iCs w:val="1"/>
          <w:color w:val="auto"/>
        </w:rPr>
        <w:t>Improving the Presentation of Net Periodic Pension Cost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Periodic Postretirement Benefit Cost. </w:t>
      </w:r>
      <w:r>
        <w:rPr>
          <w:rFonts w:ascii="Arial" w:cs="Arial" w:eastAsia="Arial" w:hAnsi="Arial"/>
          <w:sz w:val="16"/>
          <w:szCs w:val="16"/>
          <w:color w:val="auto"/>
        </w:rPr>
        <w:t>See Note 2 of the Notes to unaudited Condensed Consolidated Financial Statements for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Oil-Dri</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97"/>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237</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2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3,216</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6,539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Loss on the sale of fixed assets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Life insurance benefits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(5,607)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370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2,692</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10,602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25,840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455</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440" w:type="dxa"/>
            <w:vAlign w:val="bottom"/>
            <w:tcBorders>
              <w:top w:val="single" w:sz="8" w:color="CCEEFF"/>
            </w:tcBorders>
            <w:gridSpan w:val="2"/>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(6,505)</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12,757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9,375</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5"/>
            <w:vMerge w:val="restart"/>
          </w:tcPr>
          <w:p>
            <w:pPr>
              <w:ind w:left="566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4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1,680</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10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2018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and six months ended January 31, 2019 are not necessarily an indication of the results that may be expected for the fiscal year ending July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herein, our significant accounting policies, which are detailed in our Annual Report on Form 10-K for the fiscal year ended July 31, 2018 have not materially changed. However, the unaudited Condensed Consolidated Financial Statements reflect changes required upon adoption of new accounting guidance, as described in Note 2 of the Notes to unaudited Condensed Consolidated Financial Statements. The following is a description of certain of our significant accounting policies.</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$96,000 and $390,000 as of January 31, 2019 and July 31, 2018, respectively. This liability is reported in Other Accrued Expenses on the Condensed Consolidated Balance Sheet. Revenue recognized during the second quarter ended January 31, 2019 that was included in the liability for advance payments at the beginning of the period was $84,000.</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record an allowance for doubtful accounts based on our historical experience and a periodic review of our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Overburden Removal and Mining Costs. </w:t>
      </w:r>
      <w:r>
        <w:rPr>
          <w:rFonts w:ascii="Arial" w:cs="Arial" w:eastAsia="Arial" w:hAnsi="Arial"/>
          <w:sz w:val="16"/>
          <w:szCs w:val="16"/>
          <w:color w:val="auto"/>
        </w:rPr>
        <w:t>We mine sorbent materials on property that we either own or lease as part of our overall operations.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7" w:lineRule="exact"/>
        <w:rPr>
          <w:sz w:val="20"/>
          <w:szCs w:val="20"/>
          <w:color w:val="auto"/>
        </w:rPr>
      </w:pPr>
    </w:p>
    <w:p>
      <w:pPr>
        <w:ind w:right="58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(“FASB”) issued guidance under ASC 842, </w:t>
      </w:r>
      <w:r>
        <w:rPr>
          <w:rFonts w:ascii="Arial" w:cs="Arial" w:eastAsia="Arial" w:hAnsi="Arial"/>
          <w:sz w:val="16"/>
          <w:szCs w:val="16"/>
          <w:i w:val="1"/>
          <w:iCs w:val="1"/>
          <w:color w:val="auto"/>
        </w:rPr>
        <w:t>Leases</w:t>
      </w:r>
      <w:r>
        <w:rPr>
          <w:rFonts w:ascii="Arial" w:cs="Arial" w:eastAsia="Arial" w:hAnsi="Arial"/>
          <w:sz w:val="16"/>
          <w:szCs w:val="16"/>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2014, the FASB issued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subsequently issued several amendments to further clarify the principles for recognizing revenue. This guidance establishes a single comprehensive revenue recognition model for all contracts with customers and will supersede most existing revenue guidance. The core principle of ASC 606 is that entities should recognize revenue to depict the transfer of promised goods or services to customers in an amount that reflects the consideration to which the entity expects to be entitled to receive in exchange.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 xml:space="preserve">Oil-Dri adopted the new guidance on a modified retrospective basis effective August 1, 2018. We applied the practical expedient available under ASC 606 to disregard determining significant financing components if the good is transferred and payment is received within one year. We also adopted the policy election to exclude from the transaction price all amounts collected from customers for sales and other taxes. We do not expect a material impact on our annual Consolidated Financial Statements from the adoption of this guidance. Results for periods beginning on or after August 1, 2018 are recognized and presented in accordance with ASC 606, while prior period amounts have not been adjusted and continue to be reported in accordance with the prior account guidance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2016, the FASB issued guidance under ASC 825,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guidance addresses certain aspects of recognition, measurement, presentation and disclosure of financial instruments. This guidance was effective for our first quarter of fiscal year 2019. The provisions relevant to us relate to fair value disclosures for our notes payable, which are measured at amortized cost on the balance sheet. These provisions require the use of the exit price notion when measuring the fair value of financial instruments for disclosure purposes, as well as eliminate the requirement to disclose the method and significant assumptions used to estimate the fair value in such disclosure. This guidance impacted our disclosures only on a prospective basis and did not have a material impact on our unaudited Condensed Consolidated Financial Statements. See Note 4 of the Notes to unaudited Condensed Consolidated Financial Statements for further information about Fair Value Measurements.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2017, the FASB issued guidance under ASC 715,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which requires presenting the service cost component of net periodic benefit cost in the same income statement line item(s) as other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We adopted this new guidance in the first quarter of fiscal 2019 and accordingly recorded the non-service cost components of net periodic benefit cost in Other Income (Expense) in the line item Other, net on the unaudited Condensed Consolidated Statements of Income and Retained Earnings. As such, the adoption did not have a material impact on our Consolidated Financial Statements. See Note 6 of the Notes to unaudited Condensed Consolidated Financial Statements for further information about our pension and postretirement health plans.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5,349</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28,123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January 31, 2019 and July 31, 2018 were $1,028,000 and $1,136,000,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of $7,163,000 and $9,920,000 as of January 31, 2019 and July 31, 2018, respectively, were classified as Level 1. These cash instruments are primarily money market mutual funds and are included in cash and cash equivalents on the unaudited Condensed Consolidated Balance Sheet.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January 31, 2019 and July 31, 2018.</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January 31, 2019 and July 31, 2018 due to the short maturity and nature of those balances.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$6,384,000 and $9,553,000 as of January 31, 2019 and July 31, 2018, respectively, and are classified as Level 2. The fair value as of January 31, 2019, was determined using the exit price notion of fair value required by the adoption of new accounting guidance for fiscal year 2019, as discussed in Note 2 of the Notes to unaudited Condensed Consolidated Financial Statements.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unaudited Condensed Consolidated Financial Statements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Intangible amortization expense was $209,000 and $253,000 in the second quarter of fiscal years 2019 and 2018, respectively. Intangible amortization expense was $419,000 and $507,000 in the first six months of fiscal years 2019 and 2018, respectively. Estimated intangible amortization for the remainder of fiscal year 2019 is $417,000. Estimated intangible amortization for the next five fiscal years is as follows (in thousands):</w:t>
      </w:r>
    </w:p>
    <w:p>
      <w:pPr>
        <w:spacing w:after="0" w:line="99"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2024</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2018 and no impairment was identified. There have been no triggering events that would indicate a new impairment analysis is needed.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6"/>
              </w:rPr>
              <w:t>Pension Benefits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391</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517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1,057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1,014</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165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386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641</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2"/>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98</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 and Retained Earnings.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make, a contribution to the pension plan during the first six months of fiscal year 2019. We have no minimum funding requirements for the remainder of fiscal year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made a significant voluntary contribution to the pension plan in excess of the minimum required contribution in the third quarter of fiscal year 2018. This voluntary contribution improved the plan's funded status and contributed to a lower net periodic benefit expense for the second quarter and the first six months of fiscal year 2019 compared to the same period in the prior year. The postretirement health plan is an unfunded plan. We pay insurance premiums and claims from our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6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60" w:type="dxa"/>
            <w:vAlign w:val="bottom"/>
            <w:gridSpan w:val="7"/>
          </w:tcPr>
          <w:p>
            <w:pPr>
              <w:ind w:left="98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4.04%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9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7.50%. The graded trend rate is expected to decrease to an ultimate rate of 4.50% in fiscal year 2038.</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18"/>
                <w:szCs w:val="18"/>
                <w:color w:val="auto"/>
              </w:rPr>
            </w:pPr>
          </w:p>
        </w:tc>
        <w:tc>
          <w:tcPr>
            <w:tcW w:w="25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7"/>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6,502</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67,613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64,286</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15,429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15,686</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24,454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1,197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1,126</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51,784</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54,442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84,239</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81,098</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87"/>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24"/>
                <w:szCs w:val="24"/>
                <w:color w:val="auto"/>
              </w:rPr>
            </w:pPr>
          </w:p>
        </w:tc>
        <w:tc>
          <w:tcPr>
            <w:tcW w:w="25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gridSpan w:val="9"/>
          </w:tcPr>
          <w:p>
            <w:pPr>
              <w:jc w:val="center"/>
              <w:ind w:right="13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3,287</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35,218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33,464</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7,652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7,569</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552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26,458</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27,355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43,422</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41,539</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July 31, 2018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60,283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65,143</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93,950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89,623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45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38,904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39,916</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193,137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194,682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500" w:type="dxa"/>
            <w:vAlign w:val="bottom"/>
            <w:vMerge w:val="restart"/>
          </w:tcPr>
          <w:p>
            <w:pPr>
              <w:jc w:val="right"/>
              <w:ind w:right="281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6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40" w:type="dxa"/>
            <w:vAlign w:val="bottom"/>
            <w:gridSpan w:val="9"/>
          </w:tcPr>
          <w:p>
            <w:pPr>
              <w:jc w:val="center"/>
              <w:ind w:right="13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Income (Loss)</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51,784</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84,239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4,787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136,023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(14,024)</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40" w:type="dxa"/>
            <w:vAlign w:val="bottom"/>
            <w:gridSpan w:val="10"/>
          </w:tcPr>
          <w:p>
            <w:pPr>
              <w:jc w:val="center"/>
              <w:ind w:left="61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4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Income (Loss)</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26,458</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43,422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41,539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2,422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69,880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non-vested restricted stock as of January 31, 2019 was issued under the 2006 Plan with vesting periods generally between two years and five years. We determined the fair value of restricted stock as of the grant date. We recognize the related compensation expense over the period from the date of grant to the date the shares vest.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117,000 restricted shares of Common Stock and 7,000 restricted shares of Class B Stock granted during the second quarter of fiscal year 2019. No restricted stock was granted during the second quarter of fiscal year 2018. Stock-based compensation expense related to non-vested restricted stock was $229,000 and $426,000 for the second quarter of fiscal years 2019 and 2018, respectively. Stock-based compensation expense related to non-vested restricted stock was $889,000 and $928,000 for the first six months of fiscal years 2019 and 2018,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33.00</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30.21</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January 31, 2019</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January 31, 2019 (in thousands):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Pension and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Health Benefits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(a)</w:t>
            </w:r>
          </w:p>
        </w:tc>
        <w:tc>
          <w:tcPr>
            <w:tcW w:w="1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w w:val="95"/>
              </w:rPr>
              <w:t>Net current-period other comprehensive income (loss),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77"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is net of tax expense of $93,000. Amount is included in the components of net periodic benefit cost for the pension and postretirement health plans. See Note 6 of the Notes to unaudited Condensed Consolidated Financial Statements for further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member of our Board of Directors is the President and Chief Executive Officer of a customer of ours. That customer was a customer of ours before the board member joined that customer and before he became a member of our Board of Directors. Total net sales to that customer, including sales to subsidiaries of that customer, were $105,000 and $77,000 for the second quarters of fiscal years 2019 and 2018, respectively, and were $202,000 and $163,000 for the first six months of fiscal years 2019 and 2018, respectively. Outstanding accounts receivable from that customer, and its subsidiaries, were $45,000 and $14,000 as of January 31, 2019 and July 31, 2018, respectively.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member of our Board of Directors, and of the Compensation Committee of our Board of Directors, is the President and Chief Executive Officer as well as a director and shareholder of a law firm that regularly provides services to us. Total payments to that vendor for fees and cost reimbursements were $51,000 and $53,000 for the second quarters of fiscal years 2019 and 2018, respectively, and were $97,000 and $116,000 for the first six months of fiscal years 2019 and 2018, respectively. There were no outstanding accounts payable to that vendor as of January 31, 2019 or July 31, 2018.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2018.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2018, which contained, among other risk factors, a description of the issues that may arise with the implementation of our new enterprise resource planning system which became operational on August 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2019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sales for the six months ended January 31, 2019 were $136,023,000, compared to net sales of $135,540,000 for the six months ended January 31, 2018. Net sales were up for our Retail and Wholesale Products Group and were down for our Business to Business Products Group. Both groups reported lower operating income, as discussed further below.</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Consolidated gross profit for the first six months of fiscal year 2019 was $31,414,000, or 23.1% of net sales, compared to $38,632,000, or 28.5% of net sales, for the first six months of fiscal year 2018. Gross profit was negatively impacted by higher freight, packaging and manufacturing costs, including higher natural gas costs. Freight costs per ton were up over 20%, an increase of about $4,000,000 compared to the first six months of fiscal year 2018. A shortage of drivers combined with the impact of government regulations in the trucking industry (new regulations went into effect during the second quarter of our fiscal year 2018) resulted in less truck availability and higher freight rates. The truck shortage has shifted transportation demand to railroads, which are also facing capacity constraints. Furthermore, we incurred additional freight costs for an increased number of product transfers between our plants and warehouses to support customer service during the implementation of our new enterprise resource planning (“ERP”) system on August 1, 2018, and during disruptions due to Hurricane Michael in the first quarter of fiscal year 2019. Packaging costs per ton were approximately 12% higher, an increase of about $1,700,000 compared to the first six months of the prior fiscal year. Significant amounts of our packaging purchases are subject to contractual price adjustments throughout the year based on underlying commodity prices. Higher costs for both our resin and paper-based packaging reflected changes in their respective commodity prices. Non-fuel manufacturing costs per ton produced were up approximately 7% compared to the same period in the prior fiscal year. An increase in tons produced contributed to higher costs for labor, warehouse rental, product transfers and waste disposal. Repairs expense also increased for mining equipment and preventative maintenance. In addition, during the first quarter of fiscal 2019 some processing interruptions occurred at our plants due to the ERP system implementation and one plant lost electricity for three days after Hurricane Michael. Finally, the cost of natural gas used to operate kilns that dry our clay was approximately 11% higher per manufactured ton in the first six months of fiscal year 2019 compared to the first six months of fiscal year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SG&amp;A expenses were 6% lower for the first six months of fiscal year 2019 compared to the first six months of fiscal year 2018. The discussion of the segments' operating incomes below describes the changes in SG&amp;A expenses that were allocated to the operating segments. The remaining unallocated corporate expenses included a lower estimated annual incentive bonus accrual and lower actuarially determined costs for our pension and postretirement health plans. The incentive bonus accruals were based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 xml:space="preserve">on performance targets established for each fiscal year. Pension and postretirement health plan costs are discussed further in Note 6 of the Notes to unaudited Condensed Consolidated Financial Statements. These lower costs were </w:t>
      </w:r>
      <w:r>
        <w:rPr>
          <w:rFonts w:ascii="Arial" w:cs="Arial" w:eastAsia="Arial" w:hAnsi="Arial"/>
          <w:sz w:val="18"/>
          <w:szCs w:val="18"/>
          <w:color w:val="222222"/>
        </w:rPr>
        <w:t>partially offset by additional expenses of approximately $1,200,000</w:t>
      </w:r>
      <w:r>
        <w:rPr>
          <w:rFonts w:ascii="Arial" w:cs="Arial" w:eastAsia="Arial" w:hAnsi="Arial"/>
          <w:sz w:val="18"/>
          <w:szCs w:val="18"/>
          <w:color w:val="auto"/>
        </w:rPr>
        <w:t xml:space="preserve"> related to the new ERP system implementation</w:t>
      </w:r>
      <w:r>
        <w:rPr>
          <w:rFonts w:ascii="Arial" w:cs="Arial" w:eastAsia="Arial" w:hAnsi="Arial"/>
          <w:sz w:val="18"/>
          <w:szCs w:val="18"/>
          <w:color w:val="222222"/>
        </w:rPr>
        <w: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expense for the first six months of fiscal year 2019 was $456,000, compared to $6,956,000 for the first six months of fiscal year 2018. Tax expense for the first six months of fiscal year 2018 included a one-time adjustment of $5,091,000 for the impact on deferred income tax assets under the Tax Cuts and Jobs Act (the "2017 Tax Act"), which was enacted in December 2017. Excluding this adjustment, the effective tax rate for the first six months of fiscal year 2018 would have been 21%. The 2017 Tax Act also lowered the U.S. federal corporate tax rate, as reflected in our effective tax rate of 12% for the first six months of fiscal year 2019. We used an estimated annual effective tax rate in determining our quarterly provision for income taxes, which is based on expected annual taxable income and the assessment of various tax deductions, including depletion.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for the first six months of fiscal year 2019 was $3,193,000, a 63% increase from net income of $1,954,000 for the first six months of fiscal year 2018. Net income for the first six months of fiscal year 2019 was significantly impacted by higher freight, packaging and non-fuel manufacturing costs, which more than offset the lower SG&amp;A expenses. Net income for the first six months of fiscal year 2018 included the one-time $5,091,000 tax expense adjustment for the impact of the 2017 Tax Act discussed above.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Diluted net income per share was $0.42 for the first six months of fiscal year 2019, compared to $0.26 for the first six months of fiscal year 2018. The tax expense adjustment discussed above effectively reduced diluted net income per share by $0.69 for the first six months of fiscal year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the Business to Business Products Group for the first six months of fiscal year 2019 were $51,784,000, a decrease of $2,658,000, or 5%, from net sales of $54,442,000 for the first six months of fiscal year 2018. Net sales of fluids purification products were down approximately 4% compared to the first six months of the prior year. Price competition due to the strength of the U.S. Dollar resulted in a loss of international sales to local suppliers, particularly in Brazil. New competitors in other foreign markets also negatively impacted sales. This decline was partially offset by higher domestic sales of fluids purification products due to increased customer requirements as a result of the characteristics of recent crops that are processed to create edible oils. Net sales of our animal health and nutrition products decreased approximately 8% compared to the first six months of the prior year. A swine virus outbreak in China in August of 2018 impacted the pork market and weakened sales of our products in Asia, including for our subsidiary in China discussed in “Foreign Operations” below. In contrast, sales of animal health products improved in Latin America to new and existing distributors. Net sales of our co-packaged coarse cat litter were down approximately 8% compared to the first six months of the prior year. Net sales of agricultural and horticultural chemical carrier products decreased approximately 2%. Reduced sales of our traditional carrier granules were partially offset by increased sales of our engineered granules.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Business to Business Products Group were approximately 2% lower for the first six months of fiscal year 2019 compared to the same period of the prior year, including lower net compensation-related costs that resulted from employee turnover.</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Business to Business Products Group’s operating income for the first six months of fiscal year 2019 was $14,304,000, a decrease of $4,331,000, or 23%, from operating income of $18,635,000 for the first six months of fiscal year 2018. The operating income decline was driven by the lower sales, discussed above, combined with higher freight, packaging and non-fuel manufacturing costs. See “Consolidated Results” above for further discussion of these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of the Retail and Wholesale Products Group for the first six months of fiscal year 2019 of $84,239,000, an increase of $3,141,000, or 4%, from net sales of $81,098,000 for the first six months of fiscal year 2018. Total cat litter net sales were 5% higher compared to the first six months of the prior year, driven by increased sales of private label lightweight and traditional scoopable litters. Sales of private label scoopable litters increased to existing customers and sales of private label coarse litter to our largest customer were higher compared to the first six months of the prior year. Our branded scoopable and coarse litter sales were essentially even with the same period in the prior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of industrial and automotive absorbent products decreased approximately 2% compared to the first six months of fiscal year 2018. Six month sales for our subsidiary in the United Kingdom were slightly higher, while sales for our subsidiary in Canada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were slightly lower than the prior year. See “Foreign Operations” below for further discussion about the sales and types of products sold by our foreign subsidiaries.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expenses for the Retail and Wholesale Products Group were 5% lower compared to the first six months of fiscal year 2018. The decrease was driven by about $1,000,000 lower advertising expense. We have refocused much of our advertising to digital promotions and we expect advertising expense for the full year of fiscal 2019 to be lower than in fiscal 2018. Partially offsetting the lower advertising costs were approximately $700,000 increased customer compliance fees for shipping and data communication problems during the implementation of the ERP system.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first six months of fiscal year 2019 was $2,662,000, a decrease of $2,125,000, or 44%, from operating income of $4,787,000 for the first six months of fiscal year 2018. Higher freight, packaging and non-fuel manufacturing costs more than offset the benefits of increased sales and lower SG&amp;A expenses. See “Consolidated Results” above for further discussion of freight, packaging and manufacturing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Foreign operations included our subsidiaries in Canada and the United Kingdom, which are reported in the Retail and Wholesale Products Group, and our subsidiaries in China and Mexico, which are reported in the Business to Business Products Group. Net sales by our foreign subsidiaries during the first six months of fiscal year 2019 were $6,482,000, a 7% increase compared to net sales of $6,047,000 during the first six months of fiscal year 2018. Our subsidiary in Mexico was acquired in the fourth quarter of fiscal year 2018 and provided incremental sales in the first six months of fiscal year 2019. Net sales were up slightly for fluids purification products sold by our United Kingdom subsidiary and for cat litter sold by our Canada subsidiary. Weaker exchange rates for the British Pound and Canadian Dollar moderated the positive impact of these sales increases when translated to the reported U.S. Dollar results. In addition, the outbreak of swine fever in Asia contributed to decline in sales of animal health and nutrition products by our subsidiary in China. Net sales by our foreign subsidiaries represented 5% and 4% of our consolidated net sales during the first six months of fiscal years 2019 and 2018, respectively.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net income of $315,000 for the first six months of fiscal 2019, compared to net income of $635,000 for the first six months of fiscal 2018. The lower reported net income was due primarily to negative changes in foreign currency exchange rates and a reported loss by our subsidiary in Mexico.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January 31, 2019 were $9,643,000, compared to $8,343,000 as of January 31, 2018. The increase was attributed to the addition of our subsidiary in Mexico.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2019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Consolidated net sales for the three months ended January 31, 2019 were $69,880,000, compared to $68,894,000 for the three months ended January 31, 2018. Net sales were up for the Retail and Wholesale Products Group and were down for the Business to Business Products Group.</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Consolidated gross profit for the three months ended January 31, 2019 was $15,404,000, or 22.0% of net sales, compared to $19,657,000, or 28.5% of net sales, for the second quarter of fiscal year 2018. Gross profit was negatively impacted by higher manufacturing costs, including natural gas, as well as freight and packaging costs. Non-fuel manufacturing costs per ton produced were up approximately 9% compared to the second quarter in the prior fiscal year. An increase in tons produced contributed to higher costs for labor, warehouse rental, product transfers and waste disposal. Repairs expense also increased for mining equipment and preventative maintenance. The cost of natural gas used to operate kilns that dry our clay was approximately 25% higher per manufactured ton. Freight costs per ton were up approximately 20%, an increase of almost $2,000,000 over the same quarter of the prior fiscal year. A shortage of drivers combined with the impact of government regulations in the trucking industry (new regulations went into effect during the second quarter of our fiscal year 2018) resulted in less truck availability and higher freight rates. The truck shortage has shifted transportation demand to railroads, which are also facing capacity constraints. Packaging costs per ton were approximately 11% higher, an increase of about $900,000 compared to the second quarter of the prior fiscal year. Significant amounts of our packaging purchases are subject to contractual price adjustments throughout the year based on underlying commodity prices. Higher costs for both our resin and paper-based packaging reflected changes in their respective commodity prices.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t xml:space="preserve">Total SG&amp;A expenses were approximately 13% lower for the second quarter of fiscal year 2019 compared to the second quarter of fiscal year 2018. The discussion below describes the SG&amp;A expenses allocated to the operating segments. The remaining unallocated corporate expenses included a lower estimated annual incentive bonus accrual and lower actuarially determined costs for our pension and postretirement health plans. The incentive bonus accruals were based on performance targets established for each fiscal year. Pension and postretirement health plan costs are discussed further in Note 6 of the Notes to unaudited Condensed Consolidated Financial Statements. These lower costs were </w:t>
      </w:r>
      <w:r>
        <w:rPr>
          <w:rFonts w:ascii="Arial" w:cs="Arial" w:eastAsia="Arial" w:hAnsi="Arial"/>
          <w:sz w:val="17"/>
          <w:szCs w:val="17"/>
          <w:color w:val="222222"/>
        </w:rPr>
        <w:t>partially offset by additional expenses of approximately $250,000</w:t>
      </w:r>
      <w:r>
        <w:rPr>
          <w:rFonts w:ascii="Arial" w:cs="Arial" w:eastAsia="Arial" w:hAnsi="Arial"/>
          <w:sz w:val="17"/>
          <w:szCs w:val="17"/>
          <w:color w:val="auto"/>
        </w:rPr>
        <w:t xml:space="preserve"> related to the new ERP system implementation, as well as costs associated with </w:t>
      </w:r>
      <w:r>
        <w:rPr>
          <w:rFonts w:ascii="Arial" w:cs="Arial" w:eastAsia="Arial" w:hAnsi="Arial"/>
          <w:sz w:val="17"/>
          <w:szCs w:val="17"/>
          <w:color w:val="222222"/>
        </w:rPr>
        <w:t>executive personnel changes.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expense was $506,000 for the second quarter of fiscal year 2019, compared to tax expense of $6,167,000 for the second quarter of fiscal year 2018. Tax expense for the second quarter of fiscal year 2018 included a one-time adjustment of $5,091,000 for the impact on deferred income tax assets under the 2017 Tax Act, which was enacted in December 2017. Excluding this adjustment, the effective tax rate for the second quarter of fiscal year 2018 would have been 21%. The 2017 Tax Act also lowered the U.S. federal corporate tax rate, as reflected in our effective tax rate of 18% for the second quarter of fiscal year 2019. We used an estimated annual effective tax rate in determining our quarterly provision for income taxes, which is based on expected annual taxable income and the assessment of various tax deductions, including depletion.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of $2,287,000 was reported for the second quarter of fiscal year 2019, compared to net income of $1,096,000 for the second quarter of fiscal year 2018. Net income for the second quarter of fiscal year 2019 was significantly impacted by higher non-fuel manufacturing, freight and packaging costs, which more than offset the lower SG&amp;A expenses. Net income for the second quarter of fiscal year 2018 included the one-time $5,091,000 tax expense adjustment for the impact of the 2017 Tax Act discussed above.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net earnings per share of $0.30 was reported for the second quarter of fiscal year 2019, compared to diluted net income per share of $0.15 for the second quarter of fiscal year 2018. The tax expense adjustment discussed above effectively reduced diluted net income per share by $0.69 for the second quarter of fiscal year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second quarter of fiscal year 2019 were $26,458,000, a decrease of $897,000, or 3%, from net sales of $27,355,000 for the second quarter of fiscal year 2018. Net sales of fluids purification products were down approximately 3%. Price competition due to the strength of the U.S. Dollar resulted in a loss of international sales to local suppliers, particularly in Brazil. New competitors in other foreign markets also negatively impacted sales. This decline was partially offset by higher domestic sales of fluids purification products due to increased customer requirements as a result of the characteristics of recent crops that are processed to create edible oils. Net sales of our animal health and nutrition products were approximately 6% lower than the second quarter of the prior year. A swine virus outbreak in China in August of 2018 impacted the pork market and weakened sales of our products in Asia, including for our subsidiary in China discussed in “Foreign Operations” below. In contrast, sales of animal health products in Latin America to new and existing distributors improved. Net sales of agricultural and horticultural products were down approximately 4%. Reduced sales of our traditional carrier granules were partially offset by increased sales of our engineered granules. Net sales of our co-packaged coarse cat litter for the second quarter were essentially even with the second quarter of the prior year.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Business to Business Products Group were approximately 10% lower compared to the second quarter of fiscal year 2018, including lower net compensation-related costs that resulted from employee turnover.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second quarter of fiscal year 2019 was $7,272,000, a decrease of $2,487,000, or 25%, from operating income of $9,759,000 in the second quarter of fiscal year 2018. Lower sales combined with increased non-fuel manufacturing, freight and packaging costs more than offset the lower SG&amp;A expenses.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second quarter of fiscal year 2019 were $43,422,000, an increase of $1,883,000, or 5%, from net sales of $41,539,000 for the second quarter of fiscal year 2018. Total cat litter net sales were 5% higher compared to the second quarter of fiscal year 2018, driven by increased sales of private label lightweight and traditional scoopable litters. Sales of private label scoopable litters increased to existing customers and sales of private label coarse litter to our largest customer were higher compared to the second quarter of the prior year. Both our branded scoopable and coarse litter sales increased slightly compared to the same period in the prior year. Net sales of industrial and automotive absorbent products were down slightly compared to the second quarter of fiscal year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SG&amp;A expenses for the Retail and Wholesale Products Group were approximately 33% lower compared to the second quarter of fiscal year 2018. The decrease was driven by about $1,500,000 lower advertising expense. We have refocused much of our advertising to digital promotions and we expect advertising expense for the full year of fiscal 2019 to be lower than in fiscal 2018. Partially offsetting the lower advertising costs were approximately $200,000 increased customer compliance fees for shipping and data communication problems during the implementation of the ERP system.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second quarter of fiscal year 2019, the Retail and Wholesale Products Group reported operating income of $2,653,000, an increase of $231,000, compared to operating income of $2,422,000 for the second quarter of fiscal year 2018. The increased sales and lower SG&amp;A expenses, as discussed above, more than offset higher non-fuel manufacturing, freight and packaging costs. See “Consolidated Results” above for further discussion of freight, packaging and manufacturing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Foreign operations included our subsidiaries in Canada and the United Kingdom, which are reported in the Retail and Wholesale Products Group, and our subsidiaries in China and Mexico, which are reported in the Business to Business Products Group. Net sales by our foreign subsidiaries during the second quarter of fiscal year 2019 were $3,039,000, a 2% decrease compared to net sales of $3,110,000 in the second quarter of fiscal year 2018. The outbreak of swine fever in Asia drove a decline in sales of animal health and nutrition products by our subsidiary in China. Partially offsetting this decline was incremental sales by our subsidiary in Mexico, which was acquired in the fourth quarter of fiscal year 2018. Net sales were up slightly for fluids purification products sold by our United Kingdom subsidiary and for cat litter sold by our Canada subsidiary. Weaker exchange rates for the British Pound and Canadian Dollar moderated the positive impact of these sales increases when translated to the reported U.S. Dollar results. Our foreign subsidiaries' net sales represented approximately 4% and 5% of consolidated net sales during the second quarters of fiscal years 2019 and 2018, respectively.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net income attributable to Oil-Dri of $79,000 for the second quarter of fiscal year 2019, compared to net income of $436,000 for the second quarter of fiscal year 2018. The lower reported net income was due primarily to the lower sales discussed above, a reported loss by our subsidiary in Mexico and negative changes in foreign currency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business acquisitions. During the first six months of fiscal year 2019, we principally used cash generated from operations to fund these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11,629</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(6,222)</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2019 and 2018 were as follows: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less allowance for doubtful accounts, increased $4,697,000 in the first six months of fiscal year 2019 compared to a decrease of $517,000 in the first six months of fiscal year 2018. The number of days sales outstanding in accounts receivable in fiscal 2019 have remained higher than in the prior fiscal year as we continue to address customer invoicing delays and other issues related to the new ERP system. The variation in accounts receivable balances also reflected differences in the level and timing of collection and sales, particularly higher sales in January 2019, as well as the payment terms provided to various customers.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Inventory increased $5,607,000 in the first six months of fiscal year 2019 compared to a decrease of $75,000 in the first six months of fiscal year 2018. Finished goods, packaging and other raw materials inventories were higher due to anticipated sales requirements in fiscal year 2019. Higher costs also increased the inventory value as of January 31, 2019.</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Prepaid expenses decreased $970,000 in the first six months of fiscal year 2019 compared to an increase of $51,000 in the first six months of fiscal year 2018. Prepaid income taxes decreased in the first six months of fiscal year 2019 primarily due to the lower federal income tax rate under the 2017 Tax Act. Conversely, prepaid insurance premiums and computer software licenses increased in the first six months of both fiscal years 2018 and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payable increased $2,295,000 in the first six months of fiscal year 2019 compared to a decrease of $743,000 in the first six months of fiscal year 2018. Higher costs for freight, packaging and other operating expenses contributed to the increase in accounts payable at the end of the second quarter of fiscal year 2019. Trade and freight payables varied in both periods due to the timing of payments, fluctuations in the cost of goods and services we purchased, production volume levels and vendor payment terms.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Accrued expenses decreased $1,390,000 in the first six months of fiscal year 2019 compared to a decrease of $3,637,000 in the first six months of fiscal year 2018. The payout of the prior fiscal year's discretionary incentive bonus reduced accrued salaries in both fiscal years. In addition, the bonus accrual at the end of the second quarter of fiscal year 2019 was significantly less than as of the same period in the prior fiscal year. Accrued plant expenses also fluctuated due to timing of payments, changes in the cost of goods and services we purchased, production volume levels and vendor payment terms.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investing activities was $455,000 in the first six months of fiscal year 2019 compared to cash used in investing activities of $5,100,000 in the first six months of fiscal year 2018. Purchases and dispositions of investment securities in both periods were impacted by variations in the timing of investment maturities, the operating cash needs of the Company and the availability of investment options. Cash used for capital expenditures was $6,199,000 and $6,850,000 in the first six months of fiscal years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financing activities of $6,505,000 in the first six months of fiscal year 2019 was higher than cash used in financing activities of $6,222,000 in the first six months of fiscal year 2018 due primarily to a higher dividend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$2,123,000 as of January 31, 2019 were slightly higher than the January 31, 2018 balances of $2,000,000. See further discussion in “Foreign Operations” above.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was scheduled to expire on December 4, 2019. The new agreement will expire on January 31, 2024 and provides for a $45,000,000 unsecured revolving credit agreement, including a maximum of $10,000,000 for letters of credit. The remaining terms are substantially unchanged from our previous agreement with BMO Harris, including the provision that we may select a variable interest rate based on either the BMO Harris prime rate or a LIBOR-based rate, plus a margin that varies depending on our debt to earnings ratio, or a fixed rate as agreed between us and BMO Harris. As of January 31, 2019, the variable rates would have been 3.99% for the BMO Harris prime-based rate or 5.75%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January 31, 2019 and 2018 we were in compliance with the covenants. There were no borrowings during the first six months of either fiscal years 2019 or 2018.</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2019, we had remaining authority to repurchase 296,277 shares of Common Stock under a repurchase plan approved by our Board of Directors (the “Board”). In addition, on March 21, 2018, the Board authorized the repurchase of 300,000 shares of Class B Stock; however, there have been no repurchases of Class B Stock. Repurchases may be made on the open market (pursuant to Rule 10b5-1 plans or otherwise) or in negotiated transactions. The timing and number of shares repurchased will be determined by our management.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cash flow from operations, availability under our revolving credit facility, current cash and investment balances and our ability to obtain other financing, if necessary, will provide adequate cash funds for foreseeable working capital needs,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 xml:space="preserve">capital expenditures at existing facilities, deferred compensation payouts, dividend payments and debt service obligations for at least the next 12 months. We plan to continue promoting our lightweight cat litter products; however, we expect advertising expense in fiscal year 2019 to be lower than in fiscal year 2018. </w:t>
      </w:r>
      <w:r>
        <w:rPr>
          <w:rFonts w:ascii="Arial" w:cs="Arial" w:eastAsia="Arial" w:hAnsi="Arial"/>
          <w:sz w:val="18"/>
          <w:szCs w:val="18"/>
          <w:color w:val="222222"/>
        </w:rPr>
        <w:t>We do not believe that these increased cash outflows will dramatically impact our cash position; however our cash requirements are subject to change</w:t>
      </w:r>
      <w:r>
        <w:rPr>
          <w:rFonts w:ascii="Arial" w:cs="Arial" w:eastAsia="Arial" w:hAnsi="Arial"/>
          <w:sz w:val="18"/>
          <w:szCs w:val="18"/>
          <w:color w:val="auto"/>
        </w:rPr>
        <w:t xml:space="preserve"> </w:t>
      </w:r>
      <w:r>
        <w:rPr>
          <w:rFonts w:ascii="Arial" w:cs="Arial" w:eastAsia="Arial" w:hAnsi="Arial"/>
          <w:sz w:val="18"/>
          <w:szCs w:val="18"/>
          <w:color w:val="222222"/>
        </w:rPr>
        <w:t>as business conditions warrant and opportunities arise.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engaged in a multi-year implementation of a new ERP system designed to upgrade our technology and improve our financial and operational information. While the Company believes that this new system and related changes to internal controls will ultimately strengthen its internal control over financial reporting, there are inherent risks in implementing a new ERP system. The Company has appropriately considered these changes in its design of and testing for effectiveness of internal controls over financial reporting and concluded, as part of the evaluation described in the above paragraph, that the implementation of the new ERP in these circumstances has not materially changed the effectiveness of its internal control over financial reporting.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other than those described herein, in our internal control over financial reporting (as defined in Rule 13a-15(f) under the Exchange Act) that occurred during the fiscal quarter ended January 31, 2019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1A, 2,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financial condition, results of operations or cash flows; however, some proceedings, particularly the matters described below, could have a more significant impact than others.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The case was stayed for approximately two years, pending the Inter Partes Review (“IPR”) discussed immediately below; the stay was lifted in March 2017, and fact discovery and expert discovery are now complete in the case. The Court provided the parties with a claim construction decision on September 5, 2018, and has set a March 18, 2019 trial date.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14, 2015, Nestlé filed a petition for the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In November 2017, Nestlé filed a motion in that Court to remand the case to the PTAB for consideration of additional evidence that it claims should have been provided to the PTAB. On June 11, 2018, the Federal Circuit remanded the case back to the Board based on the agreement of the parties to consider an expanded record, as well as for the Board to consider the previously non-instituted grounds set forth in Nestle’s IPR Petition. Briefing concerning these issues has been completed, and the parties are awaiting a final decision in the IPR from the Board.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lawsuits. Although no assurances can be given as to the results of the lawsuits, based on the present status, management does not believe that such results will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120" w:type="dxa"/>
            <w:vAlign w:val="bottom"/>
            <w:gridSpan w:val="16"/>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60" w:type="dxa"/>
            <w:vAlign w:val="bottom"/>
            <w:gridSpan w:val="9"/>
          </w:tcPr>
          <w:p>
            <w:pPr>
              <w:ind w:left="1200"/>
              <w:spacing w:after="0"/>
              <w:rPr>
                <w:sz w:val="20"/>
                <w:szCs w:val="20"/>
                <w:color w:val="auto"/>
              </w:rPr>
            </w:pPr>
            <w:r>
              <w:rPr>
                <w:rFonts w:ascii="Arial" w:cs="Arial" w:eastAsia="Arial" w:hAnsi="Arial"/>
                <w:sz w:val="18"/>
                <w:szCs w:val="18"/>
                <w:color w:val="auto"/>
              </w:rPr>
              <w:t>Description</w:t>
            </w:r>
          </w:p>
        </w:tc>
        <w:tc>
          <w:tcPr>
            <w:tcW w:w="3300" w:type="dxa"/>
            <w:vAlign w:val="bottom"/>
          </w:tcPr>
          <w:p>
            <w:pPr>
              <w:ind w:left="70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466"/>
        </w:trPr>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Letter Agreement, dated as of December 10, 2018, between Oil-Dri Corporation of America</w:t>
              </w:r>
            </w:hyperlink>
          </w:p>
        </w:tc>
        <w:tc>
          <w:tcPr>
            <w:tcW w:w="120" w:type="dxa"/>
            <w:vAlign w:val="bottom"/>
            <w:gridSpan w:val="2"/>
          </w:tcPr>
          <w:p>
            <w:pPr>
              <w:spacing w:after="0"/>
              <w:rPr>
                <w:sz w:val="24"/>
                <w:szCs w:val="24"/>
                <w:color w:val="auto"/>
              </w:rPr>
            </w:pPr>
          </w:p>
        </w:tc>
        <w:tc>
          <w:tcPr>
            <w:tcW w:w="33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32">
              <w:r>
                <w:rPr>
                  <w:rFonts w:ascii="Arial" w:cs="Arial" w:eastAsia="Arial" w:hAnsi="Arial"/>
                  <w:sz w:val="18"/>
                  <w:szCs w:val="18"/>
                  <w:color w:val="0000FF"/>
                  <w:w w:val="92"/>
                </w:rPr>
                <w:t>and Daniel Smith*</w:t>
              </w:r>
            </w:hyperlink>
          </w:p>
        </w:tc>
        <w:tc>
          <w:tcPr>
            <w:tcW w:w="5580" w:type="dxa"/>
            <w:vAlign w:val="bottom"/>
            <w:gridSpan w:val="10"/>
          </w:tcPr>
          <w:p>
            <w:pPr>
              <w:spacing w:after="0"/>
              <w:rPr>
                <w:sz w:val="17"/>
                <w:szCs w:val="17"/>
                <w:color w:val="auto"/>
              </w:rPr>
            </w:pPr>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372"/>
        </w:trPr>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38">
              <w:r>
                <w:rPr>
                  <w:rFonts w:ascii="Arial" w:cs="Arial" w:eastAsia="Arial" w:hAnsi="Arial"/>
                  <w:sz w:val="18"/>
                  <w:szCs w:val="18"/>
                  <w:color w:val="0000FF"/>
                  <w:w w:val="93"/>
                </w:rPr>
                <w:t>Letter Agreement, dated as of December 18, 2018, between Oil-Dri Corporation of America</w:t>
              </w:r>
            </w:hyperlink>
          </w:p>
        </w:tc>
        <w:tc>
          <w:tcPr>
            <w:tcW w:w="120" w:type="dxa"/>
            <w:vAlign w:val="bottom"/>
            <w:gridSpan w:val="2"/>
          </w:tcPr>
          <w:p>
            <w:pPr>
              <w:spacing w:after="0"/>
              <w:rPr>
                <w:sz w:val="24"/>
                <w:szCs w:val="24"/>
                <w:color w:val="auto"/>
              </w:rPr>
            </w:pPr>
          </w:p>
        </w:tc>
        <w:tc>
          <w:tcPr>
            <w:tcW w:w="33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w:anchor="page38">
              <w:r>
                <w:rPr>
                  <w:rFonts w:ascii="Arial" w:cs="Arial" w:eastAsia="Arial" w:hAnsi="Arial"/>
                  <w:sz w:val="18"/>
                  <w:szCs w:val="18"/>
                  <w:color w:val="0000FF"/>
                  <w:w w:val="94"/>
                </w:rPr>
                <w:t>and Mark Lewry.*</w:t>
              </w:r>
            </w:hyperlink>
          </w:p>
        </w:tc>
        <w:tc>
          <w:tcPr>
            <w:tcW w:w="5600" w:type="dxa"/>
            <w:vAlign w:val="bottom"/>
            <w:gridSpan w:val="11"/>
          </w:tcPr>
          <w:p>
            <w:pPr>
              <w:spacing w:after="0"/>
              <w:rPr>
                <w:sz w:val="17"/>
                <w:szCs w:val="17"/>
                <w:color w:val="auto"/>
              </w:rPr>
            </w:pPr>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372"/>
        </w:trPr>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13"/>
          </w:tcPr>
          <w:p>
            <w:pPr>
              <w:spacing w:after="0"/>
              <w:rPr>
                <w:rFonts w:ascii="Arial" w:cs="Arial" w:eastAsia="Arial" w:hAnsi="Arial"/>
                <w:sz w:val="18"/>
                <w:szCs w:val="18"/>
                <w:color w:val="0000FF"/>
                <w:w w:val="94"/>
              </w:rPr>
            </w:pPr>
            <w:hyperlink r:id="rId10">
              <w:r>
                <w:rPr>
                  <w:rFonts w:ascii="Arial" w:cs="Arial" w:eastAsia="Arial" w:hAnsi="Arial"/>
                  <w:sz w:val="18"/>
                  <w:szCs w:val="18"/>
                  <w:color w:val="0000FF"/>
                  <w:w w:val="94"/>
                </w:rPr>
                <w:t>Fifth Amendment, dated as of January 31, 2019 to the Credit Agreement by and among Oil-</w:t>
              </w:r>
            </w:hyperlink>
          </w:p>
        </w:tc>
        <w:tc>
          <w:tcPr>
            <w:tcW w:w="3300" w:type="dxa"/>
            <w:vAlign w:val="bottom"/>
          </w:tcPr>
          <w:p>
            <w:pPr>
              <w:ind w:left="20"/>
              <w:spacing w:after="0"/>
              <w:rPr>
                <w:sz w:val="20"/>
                <w:szCs w:val="20"/>
                <w:color w:val="auto"/>
              </w:rPr>
            </w:pPr>
            <w:r>
              <w:rPr>
                <w:rFonts w:ascii="Arial" w:cs="Arial" w:eastAsia="Arial" w:hAnsi="Arial"/>
                <w:sz w:val="18"/>
                <w:szCs w:val="18"/>
                <w:color w:val="auto"/>
                <w:w w:val="94"/>
              </w:rPr>
              <w:t>Incorporated by reference to Exhibit 10.1 to</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gridSpan w:val="13"/>
          </w:tcPr>
          <w:p>
            <w:pPr>
              <w:spacing w:after="0" w:line="196" w:lineRule="exact"/>
              <w:rPr>
                <w:rFonts w:ascii="Arial" w:cs="Arial" w:eastAsia="Arial" w:hAnsi="Arial"/>
                <w:sz w:val="18"/>
                <w:szCs w:val="18"/>
                <w:color w:val="0000FF"/>
                <w:w w:val="94"/>
              </w:rPr>
            </w:pPr>
            <w:hyperlink r:id="rId10">
              <w:r>
                <w:rPr>
                  <w:rFonts w:ascii="Arial" w:cs="Arial" w:eastAsia="Arial" w:hAnsi="Arial"/>
                  <w:sz w:val="18"/>
                  <w:szCs w:val="18"/>
                  <w:color w:val="0000FF"/>
                  <w:w w:val="94"/>
                </w:rPr>
                <w:t>Dri Corporation of America, the Guarantors, and BMO Harris Bank N.A. dated as of January</w:t>
              </w:r>
            </w:hyperlink>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Oil-Dri's  (file  No.  001-12622)  Current</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27, 2006</w:t>
              </w:r>
            </w:hyperlink>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Report on Form 8-K filed on January 31,</w:t>
            </w: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2019.</w:t>
            </w:r>
          </w:p>
        </w:tc>
      </w:tr>
      <w:tr>
        <w:trPr>
          <w:trHeight w:val="351"/>
        </w:trPr>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tcBorders>
              <w:bottom w:val="single" w:sz="8" w:color="0000FF"/>
            </w:tcBorders>
            <w:gridSpan w:val="10"/>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Annex A to the Fifth Amendment to Credit Agreement: Credit Agreement by and among Oil-</w:t>
              </w:r>
            </w:hyperlink>
          </w:p>
        </w:tc>
        <w:tc>
          <w:tcPr>
            <w:tcW w:w="140" w:type="dxa"/>
            <w:vAlign w:val="bottom"/>
            <w:gridSpan w:val="3"/>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Incorporated by reference to Exhibit 10.2 to</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gridSpan w:val="13"/>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Dri Corporation of America, the Guarantors, and BMO Harris Bank N.A.</w:t>
              </w:r>
            </w:hyperlink>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Oil-Dri's  (file  No.  001-12622)  Current</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126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7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Report on Form 8-K filed on January 31,</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2019.</w:t>
            </w:r>
          </w:p>
        </w:tc>
      </w:tr>
      <w:tr>
        <w:trPr>
          <w:trHeight w:val="351"/>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Statement re: Computation of Earnings per Share.</w:t>
              </w:r>
            </w:hyperlink>
          </w:p>
        </w:tc>
        <w:tc>
          <w:tcPr>
            <w:tcW w:w="3340" w:type="dxa"/>
            <w:vAlign w:val="bottom"/>
            <w:gridSpan w:val="7"/>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Certifications pursuant to Rule 13a–14(a).</w:t>
              </w:r>
            </w:hyperlink>
          </w:p>
        </w:tc>
        <w:tc>
          <w:tcPr>
            <w:tcW w:w="3900" w:type="dxa"/>
            <w:vAlign w:val="bottom"/>
            <w:gridSpan w:val="8"/>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Certifications pursuant to Section 1350 of the Sarbanes-Oxley Act of 2002</w:t>
              </w:r>
            </w:hyperlink>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Mine Safety Disclosures</w:t>
              </w:r>
            </w:hyperlink>
          </w:p>
        </w:tc>
        <w:tc>
          <w:tcPr>
            <w:tcW w:w="3600" w:type="dxa"/>
            <w:vAlign w:val="bottom"/>
            <w:tcBorders>
              <w:top w:val="single" w:sz="8" w:color="0000FF"/>
            </w:tcBorders>
            <w:gridSpan w:val="4"/>
          </w:tcPr>
          <w:p>
            <w:pPr>
              <w:spacing w:after="0"/>
              <w:rPr>
                <w:sz w:val="24"/>
                <w:szCs w:val="24"/>
                <w:color w:val="auto"/>
              </w:rPr>
            </w:pPr>
          </w:p>
        </w:tc>
        <w:tc>
          <w:tcPr>
            <w:tcW w:w="1560" w:type="dxa"/>
            <w:vAlign w:val="bottom"/>
            <w:gridSpan w:val="5"/>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auto"/>
              </w:rPr>
              <w:t>XBRL Taxonomy Instance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2019</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20"/>
          </w:cols>
          <w:pgMar w:left="580" w:top="584" w:right="9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960"/>
        <w:spacing w:after="0"/>
        <w:tabs>
          <w:tab w:leader="none" w:pos="16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32">
        <w:r>
          <w:rPr>
            <w:rFonts w:ascii="Arial" w:cs="Arial" w:eastAsia="Arial" w:hAnsi="Arial"/>
            <w:sz w:val="16"/>
            <w:szCs w:val="16"/>
            <w:u w:val="single" w:color="auto"/>
            <w:color w:val="0000FF"/>
          </w:rPr>
          <w:t>Letter Agreement, dated as of December 10, 2018, between Oil-Dri Corporation of America and Daniel Smith*</w:t>
        </w:r>
      </w:hyperlink>
    </w:p>
    <w:p>
      <w:pPr>
        <w:spacing w:after="0" w:line="185" w:lineRule="exact"/>
        <w:rPr>
          <w:sz w:val="20"/>
          <w:szCs w:val="20"/>
          <w:color w:val="auto"/>
        </w:rPr>
      </w:pPr>
    </w:p>
    <w:p>
      <w:pPr>
        <w:ind w:left="960"/>
        <w:spacing w:after="0"/>
        <w:tabs>
          <w:tab w:leader="none" w:pos="16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w:anchor="page38">
        <w:r>
          <w:rPr>
            <w:rFonts w:ascii="Arial" w:cs="Arial" w:eastAsia="Arial" w:hAnsi="Arial"/>
            <w:sz w:val="16"/>
            <w:szCs w:val="16"/>
            <w:u w:val="single" w:color="auto"/>
            <w:color w:val="0000FF"/>
          </w:rPr>
          <w:t>Letter Agreement, dated as of December 18, 2018, between Oil-Dri Corporation of America and Mark Lewry.*</w:t>
        </w:r>
      </w:hyperlink>
    </w:p>
    <w:p>
      <w:pPr>
        <w:spacing w:after="0" w:line="185" w:lineRule="exact"/>
        <w:rPr>
          <w:sz w:val="20"/>
          <w:szCs w:val="20"/>
          <w:color w:val="auto"/>
        </w:rPr>
      </w:pPr>
    </w:p>
    <w:p>
      <w:pPr>
        <w:ind w:left="1620" w:right="820" w:hanging="665"/>
        <w:spacing w:after="0" w:line="282" w:lineRule="auto"/>
        <w:tabs>
          <w:tab w:leader="none" w:pos="1600" w:val="left"/>
        </w:tabs>
        <w:rPr>
          <w:rFonts w:ascii="Arial" w:cs="Arial" w:eastAsia="Arial" w:hAnsi="Arial"/>
          <w:sz w:val="18"/>
          <w:szCs w:val="18"/>
          <w:color w:val="0000FF"/>
        </w:rPr>
      </w:pPr>
      <w:r>
        <w:rPr>
          <w:rFonts w:ascii="Arial" w:cs="Arial" w:eastAsia="Arial" w:hAnsi="Arial"/>
          <w:sz w:val="18"/>
          <w:szCs w:val="18"/>
          <w:color w:val="auto"/>
        </w:rPr>
        <w:t>10.3</w:t>
      </w:r>
      <w:r>
        <w:rPr>
          <w:sz w:val="20"/>
          <w:szCs w:val="20"/>
          <w:color w:val="auto"/>
        </w:rPr>
        <w:tab/>
      </w:r>
      <w:hyperlink r:id="rId10">
        <w:r>
          <w:rPr>
            <w:rFonts w:ascii="Arial" w:cs="Arial" w:eastAsia="Arial" w:hAnsi="Arial"/>
            <w:sz w:val="18"/>
            <w:szCs w:val="18"/>
            <w:u w:val="single" w:color="auto"/>
            <w:color w:val="0000FF"/>
          </w:rPr>
          <w:t>Fifth Amendment, dated as of January 31, 2019 to the Credit Agreement by and among Oil-Dri Corporation of America,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Guarantors, and BMO Harris Bank N.A. dated as of January 27, 2006</w:t>
        </w:r>
        <w:r>
          <w:rPr>
            <w:rFonts w:ascii="Arial" w:cs="Arial" w:eastAsia="Arial" w:hAnsi="Arial"/>
            <w:sz w:val="25"/>
            <w:szCs w:val="25"/>
            <w:color w:val="000000"/>
            <w:vertAlign w:val="superscript"/>
          </w:rPr>
          <w:t>1</w:t>
        </w:r>
      </w:hyperlink>
    </w:p>
    <w:p>
      <w:pPr>
        <w:spacing w:after="0" w:line="27" w:lineRule="exact"/>
        <w:rPr>
          <w:sz w:val="20"/>
          <w:szCs w:val="20"/>
          <w:color w:val="auto"/>
        </w:rPr>
      </w:pPr>
    </w:p>
    <w:p>
      <w:pPr>
        <w:ind w:left="1620" w:right="700" w:hanging="665"/>
        <w:spacing w:after="0" w:line="282" w:lineRule="auto"/>
        <w:tabs>
          <w:tab w:leader="none" w:pos="1600" w:val="left"/>
        </w:tabs>
        <w:rPr>
          <w:rFonts w:ascii="Arial" w:cs="Arial" w:eastAsia="Arial" w:hAnsi="Arial"/>
          <w:sz w:val="18"/>
          <w:szCs w:val="18"/>
          <w:color w:val="0000FF"/>
        </w:rPr>
      </w:pPr>
      <w:r>
        <w:rPr>
          <w:rFonts w:ascii="Arial" w:cs="Arial" w:eastAsia="Arial" w:hAnsi="Arial"/>
          <w:sz w:val="18"/>
          <w:szCs w:val="18"/>
          <w:color w:val="auto"/>
        </w:rPr>
        <w:t>10.4</w:t>
      </w:r>
      <w:r>
        <w:rPr>
          <w:sz w:val="20"/>
          <w:szCs w:val="20"/>
          <w:color w:val="auto"/>
        </w:rPr>
        <w:tab/>
      </w:r>
      <w:hyperlink r:id="rId11">
        <w:r>
          <w:rPr>
            <w:rFonts w:ascii="Arial" w:cs="Arial" w:eastAsia="Arial" w:hAnsi="Arial"/>
            <w:sz w:val="18"/>
            <w:szCs w:val="18"/>
            <w:u w:val="single" w:color="auto"/>
            <w:color w:val="0000FF"/>
          </w:rPr>
          <w:t>Annex A to the Fifth Amendment to Credit Agreement: Credit Agreement by and among Oil-Dri Corporation of America, the</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Guarantors, and BMO Harris Bank N.A.</w:t>
        </w:r>
        <w:r>
          <w:rPr>
            <w:rFonts w:ascii="Arial" w:cs="Arial" w:eastAsia="Arial" w:hAnsi="Arial"/>
            <w:sz w:val="25"/>
            <w:szCs w:val="25"/>
            <w:color w:val="000000"/>
            <w:vertAlign w:val="superscript"/>
          </w:rPr>
          <w:t>2</w:t>
        </w:r>
      </w:hyperlink>
    </w:p>
    <w:p>
      <w:pPr>
        <w:spacing w:after="0" w:line="27" w:lineRule="exact"/>
        <w:rPr>
          <w:sz w:val="20"/>
          <w:szCs w:val="20"/>
          <w:color w:val="auto"/>
        </w:rPr>
      </w:pPr>
    </w:p>
    <w:p>
      <w:pPr>
        <w:ind w:left="1620" w:hanging="516"/>
        <w:spacing w:after="0"/>
        <w:tabs>
          <w:tab w:leader="none" w:pos="1620" w:val="left"/>
        </w:tabs>
        <w:numPr>
          <w:ilvl w:val="0"/>
          <w:numId w:val="6"/>
        </w:numPr>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Statement re: Computation of Earnings per Share.</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7"/>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Certifications pursuant to Rule 13a–14(a).</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7"/>
        </w:numPr>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Certifications pursuant to Section 1350 of the Sarbanes-Oxley Act of 2002.</w:t>
        </w:r>
      </w:hyperlink>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8"/>
        </w:numPr>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Mine Safety Disclosures</w:t>
        </w:r>
      </w:hyperlink>
    </w:p>
    <w:p>
      <w:pPr>
        <w:spacing w:after="0" w:line="185" w:lineRule="exact"/>
        <w:rPr>
          <w:rFonts w:ascii="Arial" w:cs="Arial" w:eastAsia="Arial" w:hAnsi="Arial"/>
          <w:sz w:val="18"/>
          <w:szCs w:val="18"/>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ind w:left="100" w:hanging="92"/>
        <w:spacing w:after="0" w:line="208" w:lineRule="auto"/>
        <w:tabs>
          <w:tab w:leader="none" w:pos="10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Incorporated by reference to Exhibit 10.1 to Oil-Dri's (file No. 001-12622) Current Report on Form 8-K filed on January 31, 2019.</w:t>
      </w:r>
    </w:p>
    <w:p>
      <w:pPr>
        <w:spacing w:after="0" w:line="2"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Incorporated by reference to Exhibit 10.2 to Oil-Dri's (file No. 001-12622) Current Report on Form 8-K filed on January 31, 2019.</w:t>
      </w:r>
    </w:p>
    <w:p>
      <w:pPr>
        <w:spacing w:after="0" w:line="129"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December 10, 2018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Daniel Smith</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Dan,</w:t>
      </w:r>
    </w:p>
    <w:p>
      <w:pPr>
        <w:spacing w:after="0" w:line="260"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color w:val="auto"/>
        </w:rPr>
        <w:t>The following is an agreement (“Agreement”) between Daniel Smith (hereinafter referred to as “You”) and Oil-Dri Corporation of America (hereinafter referred to as “Oil-Dri” or “the Company”) regarding your separation of employment from Oil-Dri. The purpose of this Agreement is to provide for an orderly departure under terms which are mutually acceptable to both parties and protection for the Company from any and all claims by You against the Company (other than a claim to be paid in the amounts provided in paragraph number two (2) of this Agreement). Therefore, in consideration of the mutual promises set forth in this Agreement, You and Oil-Dri agree to the following terms and conditions:</w:t>
      </w:r>
    </w:p>
    <w:p>
      <w:pPr>
        <w:spacing w:after="0" w:line="1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Your employment with Oil-Dri will terminate on December 10, 2018.</w:t>
      </w:r>
    </w:p>
    <w:p>
      <w:pPr>
        <w:spacing w:after="0" w:line="260" w:lineRule="exact"/>
        <w:rPr>
          <w:rFonts w:ascii="Arial" w:cs="Arial" w:eastAsia="Arial" w:hAnsi="Arial"/>
          <w:sz w:val="22"/>
          <w:szCs w:val="22"/>
          <w:color w:val="auto"/>
        </w:rPr>
      </w:pPr>
    </w:p>
    <w:p>
      <w:pPr>
        <w:ind w:left="660" w:right="840" w:hanging="328"/>
        <w:spacing w:after="0" w:line="25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Although You are not otherwise entitled to receive any severance pay from Oil-Dri, in exchange for your promises contained in this Agreement, Oil-Dri agrees to give You severance compensation as stated below (the “Severance Compensation”).</w:t>
      </w:r>
    </w:p>
    <w:p>
      <w:pPr>
        <w:spacing w:after="0" w:line="226" w:lineRule="exact"/>
        <w:rPr>
          <w:rFonts w:ascii="Arial" w:cs="Arial" w:eastAsia="Arial" w:hAnsi="Arial"/>
          <w:sz w:val="22"/>
          <w:szCs w:val="22"/>
          <w:color w:val="auto"/>
        </w:rPr>
      </w:pPr>
    </w:p>
    <w:p>
      <w:pPr>
        <w:jc w:val="both"/>
        <w:ind w:left="660" w:right="100"/>
        <w:spacing w:after="0" w:line="253" w:lineRule="auto"/>
        <w:rPr>
          <w:rFonts w:ascii="Arial" w:cs="Arial" w:eastAsia="Arial" w:hAnsi="Arial"/>
          <w:sz w:val="22"/>
          <w:szCs w:val="22"/>
          <w:color w:val="auto"/>
        </w:rPr>
      </w:pPr>
      <w:r>
        <w:rPr>
          <w:rFonts w:ascii="Arial" w:cs="Arial" w:eastAsia="Arial" w:hAnsi="Arial"/>
          <w:sz w:val="22"/>
          <w:szCs w:val="22"/>
          <w:color w:val="auto"/>
        </w:rPr>
        <w:t>Oil-Dri will pay You Severance Compensation equal to six (6) months of your current base salary for a total gross payment of $137,500 less required withholding. Onefourth of this Severance Compensation is in consideration for the release of any claims under the Age Discrimination in Employment Act.</w:t>
      </w:r>
    </w:p>
    <w:p>
      <w:pPr>
        <w:spacing w:after="0" w:line="226" w:lineRule="exact"/>
        <w:rPr>
          <w:rFonts w:ascii="Arial" w:cs="Arial" w:eastAsia="Arial" w:hAnsi="Arial"/>
          <w:sz w:val="22"/>
          <w:szCs w:val="22"/>
          <w:color w:val="auto"/>
        </w:rPr>
      </w:pPr>
    </w:p>
    <w:p>
      <w:pPr>
        <w:ind w:left="660" w:right="340"/>
        <w:spacing w:after="0" w:line="263" w:lineRule="auto"/>
        <w:rPr>
          <w:rFonts w:ascii="Arial" w:cs="Arial" w:eastAsia="Arial" w:hAnsi="Arial"/>
          <w:sz w:val="22"/>
          <w:szCs w:val="22"/>
          <w:color w:val="auto"/>
        </w:rPr>
      </w:pPr>
      <w:r>
        <w:rPr>
          <w:rFonts w:ascii="Arial" w:cs="Arial" w:eastAsia="Arial" w:hAnsi="Arial"/>
          <w:sz w:val="22"/>
          <w:szCs w:val="22"/>
          <w:color w:val="auto"/>
        </w:rPr>
        <w:t>These payments will be made semi-monthly on the Company’s normal payroll dates. Such payments will not commence until the eighth day after You sign and initial each page of this Agreement.</w:t>
      </w:r>
    </w:p>
    <w:p>
      <w:pPr>
        <w:spacing w:after="0" w:line="21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0"/>
        </w:numPr>
        <w:rPr>
          <w:rFonts w:ascii="Arial" w:cs="Arial" w:eastAsia="Arial" w:hAnsi="Arial"/>
          <w:sz w:val="21"/>
          <w:szCs w:val="21"/>
          <w:color w:val="auto"/>
        </w:rPr>
      </w:pPr>
      <w:r>
        <w:rPr>
          <w:rFonts w:ascii="Arial" w:cs="Arial" w:eastAsia="Arial" w:hAnsi="Arial"/>
          <w:sz w:val="21"/>
          <w:szCs w:val="21"/>
          <w:color w:val="auto"/>
        </w:rPr>
        <w:t>All wages, vacation pay and other benefits due to You as of your separation date according to the established policies, plans, and procedures of the Company will be paid to You in accordance with the terms of those established policies, plans, and procedures. In addition, any benefit continuation rights or benefit conversion rights existing under the established plans of the Company will be made available to You in accordance with the terms of such established plans. You will receive a separate letter with details concerning your benefits upon separation.</w:t>
      </w:r>
    </w:p>
    <w:p>
      <w:pPr>
        <w:spacing w:after="0" w:line="203"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/s/ DS</w:t>
      </w:r>
    </w:p>
    <w:p>
      <w:pPr>
        <w:sectPr>
          <w:pgSz w:w="11900" w:h="16838" w:orient="portrait"/>
          <w:cols w:equalWidth="0" w:num="1">
            <w:col w:w="11400"/>
          </w:cols>
          <w:pgMar w:left="240" w:top="837" w:right="259" w:bottom="1440" w:gutter="0" w:footer="0" w:header="0"/>
        </w:sectPr>
      </w:pPr>
    </w:p>
    <w:bookmarkStart w:id="32" w:name="page33"/>
    <w:bookmarkEnd w:id="32"/>
    <w:p>
      <w:pPr>
        <w:ind w:left="328" w:right="60" w:hanging="328"/>
        <w:spacing w:after="0" w:line="297" w:lineRule="auto"/>
        <w:tabs>
          <w:tab w:leader="none" w:pos="328" w:val="left"/>
        </w:tabs>
        <w:numPr>
          <w:ilvl w:val="0"/>
          <w:numId w:val="11"/>
        </w:numPr>
        <w:rPr>
          <w:rFonts w:ascii="Arial" w:cs="Arial" w:eastAsia="Arial" w:hAnsi="Arial"/>
          <w:sz w:val="19"/>
          <w:szCs w:val="19"/>
          <w:color w:val="auto"/>
        </w:rPr>
      </w:pPr>
      <w:r>
        <w:rPr>
          <w:rFonts w:ascii="Arial" w:cs="Arial" w:eastAsia="Arial" w:hAnsi="Arial"/>
          <w:sz w:val="19"/>
          <w:szCs w:val="19"/>
          <w:color w:val="auto"/>
        </w:rPr>
        <w:t>You may be eligible for unemployment compensation benefits after the payment of the Severance Compensation. Please contact your local unemployment office for information. In the event you apply for unemployment compensation benefits prior to the full payment of the Severance Compensation, your Severance Compensation will end. If Oil-Dri stops paying the Severance Compensation because of your application for unemployment compensation benefits, that will have no effect upon the release provided in paragraph number five (5) below and the release shall remain in full force and effect.</w:t>
      </w:r>
    </w:p>
    <w:p>
      <w:pPr>
        <w:spacing w:after="0" w:line="187" w:lineRule="exact"/>
        <w:rPr>
          <w:rFonts w:ascii="Arial" w:cs="Arial" w:eastAsia="Arial" w:hAnsi="Arial"/>
          <w:sz w:val="19"/>
          <w:szCs w:val="19"/>
          <w:color w:val="auto"/>
        </w:rPr>
      </w:pPr>
    </w:p>
    <w:p>
      <w:pPr>
        <w:ind w:left="328" w:hanging="328"/>
        <w:spacing w:after="0" w:line="284" w:lineRule="auto"/>
        <w:tabs>
          <w:tab w:leader="none" w:pos="328"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In consideration for receiving the Severance Compensation, You waive and release and promise never to assert any claims or causes of action, whether or not now known, against the Company or any of its acquisitions, predecessors, successors, or past or present subsidiaries, officers, directors, agents, employees, assigns and employee benefit plans (collectively, the “Released Parties”), with respect to any matter, including but not limited to, any matter related to your employment with the Company or the termination of that employment. This means, among other things, that You waive any right to assert any claim or complaint against the Released Parties, including, but not limited to, tort claims; claims of wrongful discharge, emotional distress, defamation, fraud, or breach of contract; claims for attorneys’ fees; any claims of discrimination or harassment based on sex, age, race, color, national origin, ancestry, religious creed, disability, sexual orientation, marital status, present or past history of physical or mental disability or handicap, veteran status or on any other basis, under Title VII of the Civil Rights Act of 1964, the Age Discrimination in Employment Act of 1967, the Older Workers Benefit Protection Act, the Family and Medical Leave Act, the Employee Retirement Income Security Act, the Georgia Fair Employment Practices Act, the Illinois Human Rights Act, and/or all other local state or federal laws, ordinances and regulations relating to employment. </w:t>
      </w:r>
      <w:r>
        <w:rPr>
          <w:rFonts w:ascii="Arial" w:cs="Arial" w:eastAsia="Arial" w:hAnsi="Arial"/>
          <w:sz w:val="19"/>
          <w:szCs w:val="19"/>
          <w:b w:val="1"/>
          <w:bCs w:val="1"/>
          <w:color w:val="auto"/>
        </w:rPr>
        <w:t>This is a general release.</w:t>
      </w:r>
      <w:r>
        <w:rPr>
          <w:rFonts w:ascii="Arial" w:cs="Arial" w:eastAsia="Arial" w:hAnsi="Arial"/>
          <w:sz w:val="19"/>
          <w:szCs w:val="19"/>
          <w:color w:val="auto"/>
        </w:rPr>
        <w:t xml:space="preserve"> You understand and agree that this general release includes, but is not limited to, any claims arising out of or related to your employment with Oil-Dri and your separation from that employment. However, nothing in this Agreement shall constitute a release by You of any claims that cannot by law be waived. This Agreement does not waive rights or claims that may arise after You sign this Agreement, nor does it prohibit You or the Company from seeking enforcement of the terms contained in this Agreement. In addition, this Agreement does not waive any rights You may have to indemnification, contribution or reimbursement for claims against You arising out of or related to the offices or positions You held during Your employment or the services You provided to the Company, whether under the articles of incorporation, bylaws, or other governing documents of the Company, the common law, any applicable statute, any contract or agreement with the Company, or any policies of insurance.</w:t>
      </w:r>
    </w:p>
    <w:p>
      <w:pPr>
        <w:spacing w:after="0" w:line="215" w:lineRule="exact"/>
        <w:rPr>
          <w:rFonts w:ascii="Arial" w:cs="Arial" w:eastAsia="Arial" w:hAnsi="Arial"/>
          <w:sz w:val="19"/>
          <w:szCs w:val="19"/>
          <w:color w:val="auto"/>
        </w:rPr>
      </w:pPr>
    </w:p>
    <w:p>
      <w:pPr>
        <w:ind w:left="328" w:right="180" w:hanging="328"/>
        <w:spacing w:after="0" w:line="253" w:lineRule="auto"/>
        <w:tabs>
          <w:tab w:leader="none" w:pos="328" w:val="left"/>
        </w:tabs>
        <w:numPr>
          <w:ilvl w:val="0"/>
          <w:numId w:val="11"/>
        </w:numPr>
        <w:rPr>
          <w:rFonts w:ascii="Arial" w:cs="Arial" w:eastAsia="Arial" w:hAnsi="Arial"/>
          <w:sz w:val="22"/>
          <w:szCs w:val="22"/>
          <w:color w:val="auto"/>
        </w:rPr>
      </w:pPr>
      <w:r>
        <w:rPr>
          <w:rFonts w:ascii="Arial" w:cs="Arial" w:eastAsia="Arial" w:hAnsi="Arial"/>
          <w:sz w:val="22"/>
          <w:szCs w:val="22"/>
          <w:color w:val="auto"/>
        </w:rPr>
        <w:t>You understand and agree that, while this Agreement does not affect your rights to file a charge with or to participate as a witness in an investigation or proceeding conducted by the Equal Employment Opportunity Commission (the “EEOC”) or any similar state</w:t>
      </w:r>
    </w:p>
    <w:p>
      <w:pPr>
        <w:spacing w:after="0" w:line="213" w:lineRule="exact"/>
        <w:rPr>
          <w:sz w:val="20"/>
          <w:szCs w:val="20"/>
          <w:color w:val="auto"/>
        </w:rPr>
      </w:pPr>
    </w:p>
    <w:p>
      <w:pPr>
        <w:ind w:left="6808"/>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/s/ DS</w:t>
      </w:r>
    </w:p>
    <w:p>
      <w:pPr>
        <w:sectPr>
          <w:pgSz w:w="11900" w:h="16838" w:orient="portrait"/>
          <w:cols w:equalWidth="0" w:num="1">
            <w:col w:w="11068"/>
          </w:cols>
          <w:pgMar w:left="572" w:top="1104" w:right="259" w:bottom="1440" w:gutter="0" w:footer="0" w:header="0"/>
        </w:sectPr>
      </w:pPr>
    </w:p>
    <w:bookmarkStart w:id="33" w:name="page34"/>
    <w:bookmarkEnd w:id="33"/>
    <w:p>
      <w:pPr>
        <w:ind w:left="328" w:right="140"/>
        <w:spacing w:after="0" w:line="250" w:lineRule="auto"/>
        <w:rPr>
          <w:sz w:val="20"/>
          <w:szCs w:val="20"/>
          <w:color w:val="auto"/>
        </w:rPr>
      </w:pPr>
      <w:r>
        <w:rPr>
          <w:rFonts w:ascii="Arial" w:cs="Arial" w:eastAsia="Arial" w:hAnsi="Arial"/>
          <w:sz w:val="22"/>
          <w:szCs w:val="22"/>
          <w:color w:val="auto"/>
        </w:rPr>
        <w:t>agency, by accepting the terms of this Agreement and the compensation provided as a result, You give up your right to receive any relief whatsoever, including but not limited to financial benefit or monetary recovery, from any lawsuit or settlement related to such rights and claims as You waived in paragraph number five (5) above, whether the lawsuit is filed or the settlement reached by the EEOC or anyone else.</w:t>
      </w:r>
    </w:p>
    <w:p>
      <w:pPr>
        <w:spacing w:after="0" w:line="229"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22"/>
          <w:szCs w:val="22"/>
          <w:color w:val="auto"/>
        </w:rPr>
        <w:t>By signing this Agreement, You are verifying to the Company that You:</w:t>
      </w:r>
    </w:p>
    <w:p>
      <w:pPr>
        <w:spacing w:after="0" w:line="21" w:lineRule="exact"/>
        <w:rPr>
          <w:rFonts w:ascii="Arial" w:cs="Arial" w:eastAsia="Arial" w:hAnsi="Arial"/>
          <w:sz w:val="22"/>
          <w:szCs w:val="22"/>
          <w:color w:val="auto"/>
        </w:rPr>
      </w:pPr>
    </w:p>
    <w:p>
      <w:pPr>
        <w:ind w:left="968" w:hanging="320"/>
        <w:spacing w:after="0" w:line="253" w:lineRule="exact"/>
        <w:tabs>
          <w:tab w:leader="none" w:pos="968" w:val="left"/>
        </w:tabs>
        <w:numPr>
          <w:ilvl w:val="1"/>
          <w:numId w:val="12"/>
        </w:numPr>
        <w:rPr>
          <w:rFonts w:ascii="Arial" w:cs="Arial" w:eastAsia="Arial" w:hAnsi="Arial"/>
          <w:sz w:val="22"/>
          <w:szCs w:val="22"/>
          <w:color w:val="auto"/>
        </w:rPr>
      </w:pPr>
      <w:r>
        <w:rPr>
          <w:rFonts w:ascii="Arial" w:cs="Arial" w:eastAsia="Arial" w:hAnsi="Arial"/>
          <w:sz w:val="22"/>
          <w:szCs w:val="22"/>
          <w:color w:val="auto"/>
        </w:rPr>
        <w:t>have not suffered a work-related injury that You have not properly disclosed to Oil</w:t>
      </w:r>
      <w:r>
        <w:rPr>
          <w:rFonts w:ascii="MS PGothic" w:cs="MS PGothic" w:eastAsia="MS PGothic" w:hAnsi="MS PGothic"/>
          <w:sz w:val="22"/>
          <w:szCs w:val="22"/>
          <w:color w:val="auto"/>
        </w:rPr>
        <w:t>‑</w:t>
      </w:r>
      <w:r>
        <w:rPr>
          <w:rFonts w:ascii="Arial" w:cs="Arial" w:eastAsia="Arial" w:hAnsi="Arial"/>
          <w:sz w:val="22"/>
          <w:szCs w:val="22"/>
          <w:color w:val="auto"/>
        </w:rPr>
        <w:t>Dri; and</w:t>
      </w:r>
    </w:p>
    <w:p>
      <w:pPr>
        <w:spacing w:after="0" w:line="3" w:lineRule="exact"/>
        <w:rPr>
          <w:rFonts w:ascii="Arial" w:cs="Arial" w:eastAsia="Arial" w:hAnsi="Arial"/>
          <w:sz w:val="22"/>
          <w:szCs w:val="22"/>
          <w:color w:val="auto"/>
        </w:rPr>
      </w:pPr>
    </w:p>
    <w:p>
      <w:pPr>
        <w:ind w:left="968" w:right="180" w:hanging="320"/>
        <w:spacing w:after="0" w:line="243" w:lineRule="auto"/>
        <w:tabs>
          <w:tab w:leader="none" w:pos="968" w:val="left"/>
        </w:tabs>
        <w:numPr>
          <w:ilvl w:val="1"/>
          <w:numId w:val="12"/>
        </w:numPr>
        <w:rPr>
          <w:rFonts w:ascii="Arial" w:cs="Arial" w:eastAsia="Arial" w:hAnsi="Arial"/>
          <w:sz w:val="22"/>
          <w:szCs w:val="22"/>
          <w:color w:val="auto"/>
        </w:rPr>
      </w:pPr>
      <w:r>
        <w:rPr>
          <w:rFonts w:ascii="Arial" w:cs="Arial" w:eastAsia="Arial" w:hAnsi="Arial"/>
          <w:sz w:val="22"/>
          <w:szCs w:val="22"/>
          <w:color w:val="auto"/>
        </w:rPr>
        <w:t>have been paid in full all wages due and owing to You for any and all work which You performed for Oil-Dri through the pay period of the pay date immediately preceding the date of your signature (Oil-Dri agrees that if You performed work for Oil-Dri after that pay period, payment will be made to You according to the Company’s established payroll practices); and</w:t>
      </w:r>
    </w:p>
    <w:p>
      <w:pPr>
        <w:spacing w:after="0" w:line="1" w:lineRule="exact"/>
        <w:rPr>
          <w:rFonts w:ascii="Arial" w:cs="Arial" w:eastAsia="Arial" w:hAnsi="Arial"/>
          <w:sz w:val="22"/>
          <w:szCs w:val="22"/>
          <w:color w:val="auto"/>
        </w:rPr>
      </w:pPr>
    </w:p>
    <w:p>
      <w:pPr>
        <w:jc w:val="both"/>
        <w:ind w:left="968" w:hanging="320"/>
        <w:spacing w:after="0" w:line="245" w:lineRule="auto"/>
        <w:tabs>
          <w:tab w:leader="none" w:pos="968" w:val="left"/>
        </w:tabs>
        <w:numPr>
          <w:ilvl w:val="1"/>
          <w:numId w:val="12"/>
        </w:numPr>
        <w:rPr>
          <w:rFonts w:ascii="Arial" w:cs="Arial" w:eastAsia="Arial" w:hAnsi="Arial"/>
          <w:sz w:val="22"/>
          <w:szCs w:val="22"/>
          <w:color w:val="auto"/>
        </w:rPr>
      </w:pPr>
      <w:r>
        <w:rPr>
          <w:rFonts w:ascii="Arial" w:cs="Arial" w:eastAsia="Arial" w:hAnsi="Arial"/>
          <w:sz w:val="22"/>
          <w:szCs w:val="22"/>
          <w:color w:val="auto"/>
        </w:rPr>
        <w:t>understand that your termination and the signing of this Agreement does not limit or release You from the obligations contained in any other Agreements with Oil- Dri, including, but not limited to, any Non-Disclosure Agreements and Non-Competition Agreements.</w:t>
      </w:r>
    </w:p>
    <w:p>
      <w:pPr>
        <w:spacing w:after="0" w:line="233" w:lineRule="exact"/>
        <w:rPr>
          <w:rFonts w:ascii="Arial" w:cs="Arial" w:eastAsia="Arial" w:hAnsi="Arial"/>
          <w:sz w:val="22"/>
          <w:szCs w:val="22"/>
          <w:color w:val="auto"/>
        </w:rPr>
      </w:pPr>
    </w:p>
    <w:p>
      <w:pPr>
        <w:ind w:left="328" w:right="20" w:hanging="328"/>
        <w:spacing w:after="0" w:line="265" w:lineRule="auto"/>
        <w:tabs>
          <w:tab w:leader="none" w:pos="328" w:val="left"/>
        </w:tabs>
        <w:numPr>
          <w:ilvl w:val="0"/>
          <w:numId w:val="12"/>
        </w:numPr>
        <w:rPr>
          <w:rFonts w:ascii="Arial" w:cs="Arial" w:eastAsia="Arial" w:hAnsi="Arial"/>
          <w:sz w:val="21"/>
          <w:szCs w:val="21"/>
          <w:color w:val="auto"/>
        </w:rPr>
      </w:pPr>
      <w:r>
        <w:rPr>
          <w:rFonts w:ascii="Arial" w:cs="Arial" w:eastAsia="Arial" w:hAnsi="Arial"/>
          <w:sz w:val="21"/>
          <w:szCs w:val="21"/>
          <w:color w:val="auto"/>
        </w:rPr>
        <w:t>You will return to Mary Beth Sullivan all door and file keys, radio, beeper, equipment, tools, computer access codes, disks and instructional manuals, reports, files, memoranda, records, software, credit cards, and other physical or personal property which You received, prepared or helped prepare in connection with your employment with the Company. You agree that You will not keep any copies or excerpts of any of the above items.</w:t>
      </w:r>
    </w:p>
    <w:p>
      <w:pPr>
        <w:spacing w:after="0" w:line="216" w:lineRule="exact"/>
        <w:rPr>
          <w:rFonts w:ascii="Arial" w:cs="Arial" w:eastAsia="Arial" w:hAnsi="Arial"/>
          <w:sz w:val="21"/>
          <w:szCs w:val="21"/>
          <w:color w:val="auto"/>
        </w:rPr>
      </w:pPr>
    </w:p>
    <w:p>
      <w:pPr>
        <w:jc w:val="both"/>
        <w:ind w:left="328" w:right="400" w:hanging="328"/>
        <w:spacing w:after="0" w:line="263" w:lineRule="exact"/>
        <w:tabs>
          <w:tab w:leader="none" w:pos="328"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recognition of the Severance Compensation, You agree to promptly respond to any questions from Dan Jaffee, or any person designated by Dan Jaffee, related to your work at Oil</w:t>
      </w:r>
      <w:r>
        <w:rPr>
          <w:rFonts w:ascii="MS PGothic" w:cs="MS PGothic" w:eastAsia="MS PGothic" w:hAnsi="MS PGothic"/>
          <w:sz w:val="22"/>
          <w:szCs w:val="22"/>
          <w:color w:val="auto"/>
        </w:rPr>
        <w:t>‑</w:t>
      </w:r>
      <w:r>
        <w:rPr>
          <w:rFonts w:ascii="Arial" w:cs="Arial" w:eastAsia="Arial" w:hAnsi="Arial"/>
          <w:sz w:val="22"/>
          <w:szCs w:val="22"/>
          <w:color w:val="auto"/>
        </w:rPr>
        <w:t>Dri until June 15, 2019. For this purpose, You will provide Dan Jaffee with your current phone numbers and e</w:t>
      </w:r>
      <w:r>
        <w:rPr>
          <w:rFonts w:ascii="MS PGothic" w:cs="MS PGothic" w:eastAsia="MS PGothic" w:hAnsi="MS PGothic"/>
          <w:sz w:val="22"/>
          <w:szCs w:val="22"/>
          <w:color w:val="auto"/>
        </w:rPr>
        <w:t>‑</w:t>
      </w:r>
      <w:r>
        <w:rPr>
          <w:rFonts w:ascii="Arial" w:cs="Arial" w:eastAsia="Arial" w:hAnsi="Arial"/>
          <w:sz w:val="22"/>
          <w:szCs w:val="22"/>
          <w:color w:val="auto"/>
        </w:rPr>
        <w:t>mail address, if any.</w:t>
      </w:r>
    </w:p>
    <w:p>
      <w:pPr>
        <w:spacing w:after="0" w:line="239" w:lineRule="exact"/>
        <w:rPr>
          <w:rFonts w:ascii="Arial" w:cs="Arial" w:eastAsia="Arial" w:hAnsi="Arial"/>
          <w:sz w:val="22"/>
          <w:szCs w:val="22"/>
          <w:color w:val="auto"/>
        </w:rPr>
      </w:pPr>
    </w:p>
    <w:p>
      <w:pPr>
        <w:ind w:left="328" w:right="80" w:hanging="328"/>
        <w:spacing w:after="0" w:line="265" w:lineRule="exact"/>
        <w:tabs>
          <w:tab w:leader="none" w:pos="328" w:val="left"/>
        </w:tabs>
        <w:numPr>
          <w:ilvl w:val="0"/>
          <w:numId w:val="12"/>
        </w:numPr>
        <w:rPr>
          <w:rFonts w:ascii="Arial" w:cs="Arial" w:eastAsia="Arial" w:hAnsi="Arial"/>
          <w:sz w:val="22"/>
          <w:szCs w:val="22"/>
          <w:color w:val="auto"/>
        </w:rPr>
      </w:pPr>
      <w:r>
        <w:rPr>
          <w:rFonts w:ascii="Arial" w:cs="Arial" w:eastAsia="Arial" w:hAnsi="Arial"/>
          <w:sz w:val="22"/>
          <w:szCs w:val="22"/>
          <w:color w:val="auto"/>
        </w:rPr>
        <w:t>You waive and surrender any right You may have, now or hereafter, to employment with Oil</w:t>
      </w:r>
      <w:r>
        <w:rPr>
          <w:rFonts w:ascii="MS PGothic" w:cs="MS PGothic" w:eastAsia="MS PGothic" w:hAnsi="MS PGothic"/>
          <w:sz w:val="22"/>
          <w:szCs w:val="22"/>
          <w:color w:val="auto"/>
        </w:rPr>
        <w:t>‑</w:t>
      </w:r>
      <w:r>
        <w:rPr>
          <w:rFonts w:ascii="Arial" w:cs="Arial" w:eastAsia="Arial" w:hAnsi="Arial"/>
          <w:sz w:val="22"/>
          <w:szCs w:val="22"/>
          <w:color w:val="auto"/>
        </w:rPr>
        <w:t>Dri. In reliance on this waiver, the Company may disregard any employment application submitted by You.</w:t>
      </w:r>
    </w:p>
    <w:p>
      <w:pPr>
        <w:spacing w:after="0" w:line="240" w:lineRule="exact"/>
        <w:rPr>
          <w:rFonts w:ascii="Arial" w:cs="Arial" w:eastAsia="Arial" w:hAnsi="Arial"/>
          <w:sz w:val="22"/>
          <w:szCs w:val="22"/>
          <w:color w:val="auto"/>
        </w:rPr>
      </w:pPr>
    </w:p>
    <w:p>
      <w:pPr>
        <w:ind w:left="328" w:right="80" w:hanging="328"/>
        <w:spacing w:after="0" w:line="297" w:lineRule="auto"/>
        <w:tabs>
          <w:tab w:leader="none" w:pos="328" w:val="left"/>
        </w:tabs>
        <w:numPr>
          <w:ilvl w:val="0"/>
          <w:numId w:val="12"/>
        </w:numPr>
        <w:rPr>
          <w:rFonts w:ascii="Arial" w:cs="Arial" w:eastAsia="Arial" w:hAnsi="Arial"/>
          <w:sz w:val="19"/>
          <w:szCs w:val="19"/>
          <w:color w:val="auto"/>
        </w:rPr>
      </w:pPr>
      <w:r>
        <w:rPr>
          <w:rFonts w:ascii="Arial" w:cs="Arial" w:eastAsia="Arial" w:hAnsi="Arial"/>
          <w:sz w:val="19"/>
          <w:szCs w:val="19"/>
          <w:color w:val="auto"/>
        </w:rPr>
        <w:t>You agree to refrain from using in any manner and to keep confidential any and all information and data concerning the business and affairs of Oil-Dri or its affiliates which You have received as a result of the employment relationship of the parties, except to the extent that You can demonstrate that the information or data (i) is generally available to the public through no act or failure to act of You, (ii) was already known to You on a non-confidential basis on the date of receipt, (iii) was disclosed to You on a non-confidential basis by a third party not having a confidential relationship with the</w:t>
      </w:r>
    </w:p>
    <w:p>
      <w:pPr>
        <w:spacing w:after="0" w:line="200" w:lineRule="exact"/>
        <w:rPr>
          <w:sz w:val="20"/>
          <w:szCs w:val="20"/>
          <w:color w:val="auto"/>
        </w:rPr>
      </w:pPr>
    </w:p>
    <w:p>
      <w:pPr>
        <w:spacing w:after="0" w:line="231" w:lineRule="exact"/>
        <w:rPr>
          <w:sz w:val="20"/>
          <w:szCs w:val="20"/>
          <w:color w:val="auto"/>
        </w:rPr>
      </w:pPr>
    </w:p>
    <w:p>
      <w:pPr>
        <w:ind w:left="6808"/>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/s/ DS</w:t>
      </w:r>
    </w:p>
    <w:p>
      <w:pPr>
        <w:sectPr>
          <w:pgSz w:w="11900" w:h="16838" w:orient="portrait"/>
          <w:cols w:equalWidth="0" w:num="1">
            <w:col w:w="11088"/>
          </w:cols>
          <w:pgMar w:left="572" w:top="591" w:right="239" w:bottom="1440" w:gutter="0" w:footer="0" w:header="0"/>
        </w:sectPr>
      </w:pPr>
    </w:p>
    <w:bookmarkStart w:id="34" w:name="page35"/>
    <w:bookmarkEnd w:id="34"/>
    <w:p>
      <w:pPr>
        <w:ind w:left="328" w:right="20"/>
        <w:spacing w:after="0" w:line="297" w:lineRule="auto"/>
        <w:rPr>
          <w:sz w:val="20"/>
          <w:szCs w:val="20"/>
          <w:color w:val="auto"/>
        </w:rPr>
      </w:pPr>
      <w:r>
        <w:rPr>
          <w:rFonts w:ascii="Arial" w:cs="Arial" w:eastAsia="Arial" w:hAnsi="Arial"/>
          <w:sz w:val="19"/>
          <w:szCs w:val="19"/>
          <w:color w:val="auto"/>
        </w:rPr>
        <w:t>Company with respect to such information, or (iv) has been independently acquired or developed without violating any of your obligations under this provision. Please be reminded that as a Section 16 Reporting Person, you remain subject to rules prohibiting trading of Oil-Dri stock based on insider information and the short swing profit rule. The short-swing profit rule requires any insider to return to the Company the difference between the sales purchase prices (any “profits” made by buying and selling - or selling and buying) of Oil-Dri stock within a six-month period.</w:t>
      </w:r>
    </w:p>
    <w:p>
      <w:pPr>
        <w:spacing w:after="0" w:line="188" w:lineRule="exact"/>
        <w:rPr>
          <w:sz w:val="20"/>
          <w:szCs w:val="20"/>
          <w:color w:val="auto"/>
        </w:rPr>
      </w:pPr>
    </w:p>
    <w:p>
      <w:pPr>
        <w:ind w:left="328" w:right="200" w:hanging="328"/>
        <w:spacing w:after="0" w:line="250" w:lineRule="auto"/>
        <w:tabs>
          <w:tab w:leader="none" w:pos="3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You agree that You will not disclose to others the terms of this Agreement, except that You may disclose such information to your attorney, tax preparer and immediate family. If You properly disclose the terms of the Agreement to anyone, You agree that You shall inform them that the Agreement is strictly confidential, and instruct them not to disclose it to anyone else.</w:t>
      </w:r>
    </w:p>
    <w:p>
      <w:pPr>
        <w:spacing w:after="0" w:line="228" w:lineRule="exact"/>
        <w:rPr>
          <w:rFonts w:ascii="Arial" w:cs="Arial" w:eastAsia="Arial" w:hAnsi="Arial"/>
          <w:sz w:val="22"/>
          <w:szCs w:val="22"/>
          <w:color w:val="auto"/>
        </w:rPr>
      </w:pPr>
    </w:p>
    <w:p>
      <w:pPr>
        <w:ind w:left="328" w:hanging="328"/>
        <w:spacing w:after="0" w:line="247" w:lineRule="auto"/>
        <w:tabs>
          <w:tab w:leader="none" w:pos="3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You will direct all reference inquiries to Mary Beth Sullivan, Vice President, Human Resources, who will respond only with the following information: dates of employment, position(s) held, and confirmation of last salary. To the extent that You direct references to other persons, the Company is not liable for any statements made by such non-designated individuals. You agree that the Company has no liability for any statements made regarding You by persons not employed by the Company at the time such statements are made. Daniel S. Jaffee and Laura G. Scheland have agreed to serve as references for You.</w:t>
      </w:r>
    </w:p>
    <w:p>
      <w:pPr>
        <w:spacing w:after="0" w:line="234" w:lineRule="exact"/>
        <w:rPr>
          <w:rFonts w:ascii="Arial" w:cs="Arial" w:eastAsia="Arial" w:hAnsi="Arial"/>
          <w:sz w:val="22"/>
          <w:szCs w:val="22"/>
          <w:color w:val="auto"/>
        </w:rPr>
      </w:pPr>
    </w:p>
    <w:p>
      <w:pPr>
        <w:ind w:left="328" w:right="520" w:hanging="328"/>
        <w:spacing w:after="0" w:line="312" w:lineRule="auto"/>
        <w:tabs>
          <w:tab w:leader="none" w:pos="32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Company and You each agree not to do or say anything which criticizes or disparages the other party or his or its management or practices, including any statement or action which disrupts or impairs the Company's normal, ongoing business operations, or which harms the party's reputation with employees, customers, suppliers or the public.</w:t>
      </w:r>
    </w:p>
    <w:p>
      <w:pPr>
        <w:spacing w:after="0" w:line="174" w:lineRule="exact"/>
        <w:rPr>
          <w:rFonts w:ascii="Arial" w:cs="Arial" w:eastAsia="Arial" w:hAnsi="Arial"/>
          <w:sz w:val="19"/>
          <w:szCs w:val="19"/>
          <w:color w:val="auto"/>
        </w:rPr>
      </w:pPr>
    </w:p>
    <w:p>
      <w:pPr>
        <w:ind w:left="328" w:right="1160" w:hanging="328"/>
        <w:spacing w:after="0" w:line="263" w:lineRule="auto"/>
        <w:tabs>
          <w:tab w:leader="none" w:pos="3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You understand and agree that if You breach any part of this Agreement, Oil-Dri’s obligation for the Severance Compensation ceases and Oil-Dri may recoup all such payments already made.</w:t>
      </w:r>
    </w:p>
    <w:p>
      <w:pPr>
        <w:spacing w:after="0" w:line="215" w:lineRule="exact"/>
        <w:rPr>
          <w:rFonts w:ascii="Arial" w:cs="Arial" w:eastAsia="Arial" w:hAnsi="Arial"/>
          <w:sz w:val="22"/>
          <w:szCs w:val="22"/>
          <w:color w:val="auto"/>
        </w:rPr>
      </w:pPr>
    </w:p>
    <w:p>
      <w:pPr>
        <w:ind w:left="328" w:right="20" w:hanging="328"/>
        <w:spacing w:after="0" w:line="246" w:lineRule="auto"/>
        <w:tabs>
          <w:tab w:leader="none" w:pos="3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You and Oil-Dri agree that this Agreement constitutes the entire understanding of the parties concerning the cessation of the employment relationship and sets forth all compensation to be paid by the Company to You subsequent to cessation of the employment relationship. This Agreement cancels and supersedes all previous agreements and understandings, oral or written, between the parties with respect to the subject matter hereof and may be modified only in a written document signed by You and a duly authorized officer of the Company. This Agreement does not affect any Non-Disclosure Agreements and Non-Competition Agreements between You and Oil-Dri, copies of which are being provided to you for your reference.</w:t>
      </w:r>
    </w:p>
    <w:p>
      <w:pPr>
        <w:spacing w:after="0" w:line="224" w:lineRule="exact"/>
        <w:rPr>
          <w:sz w:val="20"/>
          <w:szCs w:val="20"/>
          <w:color w:val="auto"/>
        </w:rPr>
      </w:pPr>
    </w:p>
    <w:p>
      <w:pPr>
        <w:ind w:left="6808"/>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/s/ DS</w:t>
      </w:r>
    </w:p>
    <w:p>
      <w:pPr>
        <w:sectPr>
          <w:pgSz w:w="11900" w:h="16838" w:orient="portrait"/>
          <w:cols w:equalWidth="0" w:num="1">
            <w:col w:w="11068"/>
          </w:cols>
          <w:pgMar w:left="572" w:top="591" w:right="259" w:bottom="1440" w:gutter="0" w:footer="0" w:header="0"/>
        </w:sectPr>
      </w:pPr>
    </w:p>
    <w:bookmarkStart w:id="35" w:name="page36"/>
    <w:bookmarkEnd w:id="35"/>
    <w:p>
      <w:pPr>
        <w:ind w:left="660" w:hanging="328"/>
        <w:spacing w:after="0" w:line="26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Nothing in this Agreement shall be treated as an admission by You or the Company of any liability, wrongdoing or violation of any law.</w:t>
      </w:r>
    </w:p>
    <w:p>
      <w:pPr>
        <w:spacing w:after="0" w:line="215" w:lineRule="exact"/>
        <w:rPr>
          <w:rFonts w:ascii="Arial" w:cs="Arial" w:eastAsia="Arial" w:hAnsi="Arial"/>
          <w:sz w:val="22"/>
          <w:szCs w:val="22"/>
          <w:color w:val="auto"/>
        </w:rPr>
      </w:pPr>
    </w:p>
    <w:p>
      <w:pPr>
        <w:ind w:left="660" w:right="160" w:hanging="328"/>
        <w:spacing w:after="0" w:line="248"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all respects under the laws of the State of Illinois without reference to its conflicts of laws, rules or principles. If a court finds any part of this Agreement to be invalid or unenforceable, then that provision or part shall be modified so as to render it valid and enforceable, or, if necessary, shall be deemed removed from this Agreement. In any event, the rest of the Agreement shall remain in full force and effect and shall be enforced to the maximum extent permitted by law.</w:t>
      </w:r>
    </w:p>
    <w:p>
      <w:pPr>
        <w:spacing w:after="0" w:line="232" w:lineRule="exact"/>
        <w:rPr>
          <w:rFonts w:ascii="Arial" w:cs="Arial" w:eastAsia="Arial" w:hAnsi="Arial"/>
          <w:sz w:val="22"/>
          <w:szCs w:val="22"/>
          <w:color w:val="auto"/>
        </w:rPr>
      </w:pPr>
    </w:p>
    <w:p>
      <w:pPr>
        <w:ind w:left="660" w:right="20" w:hanging="328"/>
        <w:spacing w:after="0" w:line="288"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You have the right to consult with an attorney of your choice before signing this Agreement and Oil-Dri encourages You to do so. You understand that You have up to twenty-one (21) days after receiving this Agreement to review it and to discuss it with an attorney, and that You have seven (7) days after You have signed this Agreement during which You may revoke it.</w:t>
      </w:r>
    </w:p>
    <w:p>
      <w:pPr>
        <w:spacing w:after="0" w:line="1" w:lineRule="exact"/>
        <w:rPr>
          <w:rFonts w:ascii="Arial" w:cs="Arial" w:eastAsia="Arial" w:hAnsi="Arial"/>
          <w:sz w:val="19"/>
          <w:szCs w:val="19"/>
          <w:color w:val="auto"/>
        </w:rPr>
      </w:pPr>
    </w:p>
    <w:p>
      <w:pPr>
        <w:ind w:left="660" w:right="360"/>
        <w:spacing w:after="0" w:line="281" w:lineRule="auto"/>
        <w:rPr>
          <w:rFonts w:ascii="Arial" w:cs="Arial" w:eastAsia="Arial" w:hAnsi="Arial"/>
          <w:sz w:val="19"/>
          <w:szCs w:val="19"/>
          <w:color w:val="auto"/>
        </w:rPr>
      </w:pPr>
      <w:r>
        <w:rPr>
          <w:rFonts w:ascii="Arial" w:cs="Arial" w:eastAsia="Arial" w:hAnsi="Arial"/>
          <w:sz w:val="19"/>
          <w:szCs w:val="19"/>
          <w:color w:val="auto"/>
        </w:rPr>
        <w:t xml:space="preserve">You understand that if You do not return to the Company a signed and dated copy of this Agreement by the close of business on the 21st calendar day after your termination of employment, the provisions of this Agreement, including the severance compensation provisions, will be void and the Company will have no further obligations thereunder. </w:t>
      </w:r>
      <w:r>
        <w:rPr>
          <w:rFonts w:ascii="Arial" w:cs="Arial" w:eastAsia="Arial" w:hAnsi="Arial"/>
          <w:sz w:val="19"/>
          <w:szCs w:val="19"/>
          <w:b w:val="1"/>
          <w:bCs w:val="1"/>
          <w:color w:val="auto"/>
        </w:rPr>
        <w:t>This</w:t>
      </w:r>
    </w:p>
    <w:p>
      <w:pPr>
        <w:spacing w:after="0" w:line="2" w:lineRule="exact"/>
        <w:rPr>
          <w:rFonts w:ascii="Arial" w:cs="Arial" w:eastAsia="Arial" w:hAnsi="Arial"/>
          <w:sz w:val="19"/>
          <w:szCs w:val="19"/>
          <w:color w:val="auto"/>
        </w:rPr>
      </w:pPr>
    </w:p>
    <w:p>
      <w:pPr>
        <w:ind w:left="660" w:right="280"/>
        <w:spacing w:after="0" w:line="302" w:lineRule="auto"/>
        <w:rPr>
          <w:rFonts w:ascii="Arial" w:cs="Arial" w:eastAsia="Arial" w:hAnsi="Arial"/>
          <w:sz w:val="19"/>
          <w:szCs w:val="19"/>
          <w:color w:val="auto"/>
        </w:rPr>
      </w:pPr>
      <w:r>
        <w:rPr>
          <w:rFonts w:ascii="Arial" w:cs="Arial" w:eastAsia="Arial" w:hAnsi="Arial"/>
          <w:sz w:val="19"/>
          <w:szCs w:val="19"/>
          <w:b w:val="1"/>
          <w:bCs w:val="1"/>
          <w:color w:val="auto"/>
        </w:rPr>
        <w:t xml:space="preserve">Agreement must be signed, initialed on each page and returned to Mary Beth Sullivan, Vice President, Human Resources, at the address shown below without any alteration. </w:t>
      </w:r>
      <w:r>
        <w:rPr>
          <w:rFonts w:ascii="Arial" w:cs="Arial" w:eastAsia="Arial" w:hAnsi="Arial"/>
          <w:sz w:val="19"/>
          <w:szCs w:val="19"/>
          <w:color w:val="auto"/>
        </w:rPr>
        <w:t>Enclosed is a self-addressed postage-prepaid envelope</w:t>
      </w:r>
      <w:r>
        <w:rPr>
          <w:rFonts w:ascii="Arial" w:cs="Arial" w:eastAsia="Arial" w:hAnsi="Arial"/>
          <w:sz w:val="19"/>
          <w:szCs w:val="19"/>
          <w:b w:val="1"/>
          <w:bCs w:val="1"/>
          <w:color w:val="auto"/>
        </w:rPr>
        <w:t xml:space="preserve"> </w:t>
      </w:r>
      <w:r>
        <w:rPr>
          <w:rFonts w:ascii="Arial" w:cs="Arial" w:eastAsia="Arial" w:hAnsi="Arial"/>
          <w:sz w:val="19"/>
          <w:szCs w:val="19"/>
          <w:color w:val="auto"/>
        </w:rPr>
        <w:t>for your convenience. Any modification or alteration of any terms of this Agreement voids the Agreement in its entirety.</w:t>
      </w:r>
    </w:p>
    <w:p>
      <w:pPr>
        <w:spacing w:after="0" w:line="184"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If You wish to revoke this Agreement within the seven-day period, You may do so by delivering a letter of revocation to: Mary Beth Sullivan, Vice President, Human Resources, at the address shown below. Because of this revocation period, You understand that this Agreement shall not become effective or enforceable until the eighth day after the date You sign this Agreement. After that, it becomes binding and irrevocable.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indicate your agreement with the terms stated above by signing below.</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OIL-DRI CORPORATION OF AMERICA</w:t>
      </w:r>
    </w:p>
    <w:p>
      <w:pPr>
        <w:spacing w:after="0" w:line="200" w:lineRule="exact"/>
        <w:rPr>
          <w:sz w:val="20"/>
          <w:szCs w:val="20"/>
          <w:color w:val="auto"/>
        </w:rPr>
      </w:pPr>
    </w:p>
    <w:p>
      <w:pPr>
        <w:spacing w:after="0" w:line="317"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Mary Beth Sullivan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Mary Beth Sullivan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Vice President, Human Resources</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Oil-Dri Corporation of America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410 N. Michigan Avenue</w:t>
      </w:r>
    </w:p>
    <w:p>
      <w:pPr>
        <w:spacing w:after="0" w:line="200" w:lineRule="exact"/>
        <w:rPr>
          <w:sz w:val="20"/>
          <w:szCs w:val="20"/>
          <w:color w:val="auto"/>
        </w:rPr>
      </w:pPr>
    </w:p>
    <w:p>
      <w:pPr>
        <w:spacing w:after="0" w:line="285"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/s/ DS</w:t>
      </w:r>
    </w:p>
    <w:p>
      <w:pPr>
        <w:sectPr>
          <w:pgSz w:w="11900" w:h="16838" w:orient="portrait"/>
          <w:cols w:equalWidth="0" w:num="1">
            <w:col w:w="11400"/>
          </w:cols>
          <w:pgMar w:left="240" w:top="847" w:right="259" w:bottom="1440" w:gutter="0" w:footer="0" w:header="0"/>
        </w:sectPr>
      </w:pPr>
    </w:p>
    <w:bookmarkStart w:id="36" w:name="page37"/>
    <w:bookmarkEnd w:id="36"/>
    <w:p>
      <w:pPr>
        <w:ind w:left="3900"/>
        <w:spacing w:after="0"/>
        <w:rPr>
          <w:sz w:val="20"/>
          <w:szCs w:val="20"/>
          <w:color w:val="auto"/>
        </w:rPr>
      </w:pPr>
      <w:r>
        <w:rPr>
          <w:rFonts w:ascii="Arial" w:cs="Arial" w:eastAsia="Arial" w:hAnsi="Arial"/>
          <w:sz w:val="22"/>
          <w:szCs w:val="22"/>
          <w:color w:val="auto"/>
        </w:rPr>
        <w:t>Suite 400</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Chicago, Illinois 60611</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agree with the terms of this Agreement and deem it to be fair and equitable, as signified by my signature below. Furthermore, I acknowledge that I have read and understand this Agreement and that I sign this release of all claims, known or unknown, voluntarily, with full appreciation that at no time in the future may I pursue any of the rights I have waived in this Agreement.</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Arial" w:cs="Arial" w:eastAsia="Arial" w:hAnsi="Arial"/>
                <w:sz w:val="22"/>
                <w:szCs w:val="22"/>
                <w:color w:val="auto"/>
                <w:w w:val="90"/>
              </w:rPr>
              <w:t>/s/ Daniel Smith</w:t>
            </w:r>
          </w:p>
        </w:tc>
        <w:tc>
          <w:tcPr>
            <w:tcW w:w="560" w:type="dxa"/>
            <w:vAlign w:val="bottom"/>
          </w:tcPr>
          <w:p>
            <w:pPr>
              <w:spacing w:after="0"/>
              <w:rPr>
                <w:sz w:val="21"/>
                <w:szCs w:val="21"/>
                <w:color w:val="auto"/>
              </w:rPr>
            </w:pPr>
          </w:p>
        </w:tc>
        <w:tc>
          <w:tcPr>
            <w:tcW w:w="1860" w:type="dxa"/>
            <w:vAlign w:val="bottom"/>
            <w:gridSpan w:val="2"/>
          </w:tcPr>
          <w:p>
            <w:pPr>
              <w:ind w:left="560"/>
              <w:spacing w:after="0"/>
              <w:rPr>
                <w:sz w:val="20"/>
                <w:szCs w:val="20"/>
                <w:color w:val="auto"/>
              </w:rPr>
            </w:pPr>
            <w:r>
              <w:rPr>
                <w:rFonts w:ascii="Arial" w:cs="Arial" w:eastAsia="Arial" w:hAnsi="Arial"/>
                <w:sz w:val="22"/>
                <w:szCs w:val="22"/>
                <w:color w:val="auto"/>
                <w:w w:val="88"/>
              </w:rPr>
              <w:t>Date: 12/20/18</w:t>
            </w:r>
          </w:p>
        </w:tc>
      </w:tr>
      <w:tr>
        <w:trPr>
          <w:trHeight w:val="287"/>
        </w:trPr>
        <w:tc>
          <w:tcPr>
            <w:tcW w:w="14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Daniel Smith</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82"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/s/ DS</w:t>
      </w:r>
    </w:p>
    <w:p>
      <w:pPr>
        <w:sectPr>
          <w:pgSz w:w="11900" w:h="16838" w:orient="portrait"/>
          <w:cols w:equalWidth="0" w:num="1">
            <w:col w:w="11420"/>
          </w:cols>
          <w:pgMar w:left="240" w:top="59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December 18, 2018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Mark Lewry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Mark,</w:t>
      </w:r>
    </w:p>
    <w:p>
      <w:pPr>
        <w:spacing w:after="0" w:line="260" w:lineRule="exact"/>
        <w:rPr>
          <w:sz w:val="20"/>
          <w:szCs w:val="20"/>
          <w:color w:val="auto"/>
        </w:rPr>
      </w:pPr>
    </w:p>
    <w:p>
      <w:pPr>
        <w:ind w:right="180"/>
        <w:spacing w:after="0" w:line="294" w:lineRule="auto"/>
        <w:rPr>
          <w:sz w:val="20"/>
          <w:szCs w:val="20"/>
          <w:color w:val="auto"/>
        </w:rPr>
      </w:pPr>
      <w:r>
        <w:rPr>
          <w:rFonts w:ascii="Arial" w:cs="Arial" w:eastAsia="Arial" w:hAnsi="Arial"/>
          <w:sz w:val="19"/>
          <w:szCs w:val="19"/>
          <w:color w:val="auto"/>
        </w:rPr>
        <w:t>The following is an agreement (“Agreement”) between Mark Lewry (hereinafter referred to as “You”) and Oil-Dri Corporation of America (hereinafter referred to as “Oil-Dri” or “the Company”) regarding your separation of employment from Oil-Dri. The purpose of this Agreement is to provide for an orderly departure under terms which are mutually acceptable to both parties and protection for the Company from any and all claims by You against the Company (other than a claim to be paid in the amounts provided in paragraph number two (2) of this Agreement). Therefore, in consideration of the mutual promises set forth in this Agreement, You and Oil-Dri agree to the following terms and conditions:</w:t>
      </w:r>
    </w:p>
    <w:p>
      <w:pPr>
        <w:spacing w:after="0" w:line="1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Your employment with Oil-Dri will terminate on December 18, 2018.</w:t>
      </w:r>
    </w:p>
    <w:p>
      <w:pPr>
        <w:spacing w:after="0" w:line="260" w:lineRule="exact"/>
        <w:rPr>
          <w:rFonts w:ascii="Arial" w:cs="Arial" w:eastAsia="Arial" w:hAnsi="Arial"/>
          <w:sz w:val="22"/>
          <w:szCs w:val="22"/>
          <w:color w:val="auto"/>
        </w:rPr>
      </w:pPr>
    </w:p>
    <w:p>
      <w:pPr>
        <w:ind w:left="660" w:right="840" w:hanging="328"/>
        <w:spacing w:after="0" w:line="25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Although You are not otherwise entitled to receive any severance pay from Oil-Dri, in exchange for your promises contained in this Agreement, Oil-Dri agrees to give You severance compensation as stated below (the “Severance Compensation”).</w:t>
      </w:r>
    </w:p>
    <w:p>
      <w:pPr>
        <w:spacing w:after="0" w:line="334" w:lineRule="exact"/>
        <w:rPr>
          <w:rFonts w:ascii="Arial" w:cs="Arial" w:eastAsia="Arial" w:hAnsi="Arial"/>
          <w:sz w:val="22"/>
          <w:szCs w:val="22"/>
          <w:color w:val="auto"/>
        </w:rPr>
      </w:pPr>
    </w:p>
    <w:p>
      <w:pPr>
        <w:ind w:left="660" w:right="20"/>
        <w:spacing w:after="0" w:line="263" w:lineRule="exact"/>
        <w:rPr>
          <w:rFonts w:ascii="Arial" w:cs="Arial" w:eastAsia="Arial" w:hAnsi="Arial"/>
          <w:sz w:val="22"/>
          <w:szCs w:val="22"/>
          <w:color w:val="auto"/>
        </w:rPr>
      </w:pPr>
      <w:r>
        <w:rPr>
          <w:rFonts w:ascii="Arial" w:cs="Arial" w:eastAsia="Arial" w:hAnsi="Arial"/>
          <w:sz w:val="22"/>
          <w:szCs w:val="22"/>
          <w:color w:val="auto"/>
        </w:rPr>
        <w:t>Oil-Dri will pay You Severance Compensation equal to six (6) months of your current base salary for a total gross payment of $151,500 less required withholding. One</w:t>
      </w:r>
      <w:r>
        <w:rPr>
          <w:rFonts w:ascii="MS PGothic" w:cs="MS PGothic" w:eastAsia="MS PGothic" w:hAnsi="MS PGothic"/>
          <w:sz w:val="22"/>
          <w:szCs w:val="22"/>
          <w:color w:val="auto"/>
        </w:rPr>
        <w:t>‑</w:t>
      </w:r>
      <w:r>
        <w:rPr>
          <w:rFonts w:ascii="Arial" w:cs="Arial" w:eastAsia="Arial" w:hAnsi="Arial"/>
          <w:sz w:val="22"/>
          <w:szCs w:val="22"/>
          <w:color w:val="auto"/>
        </w:rPr>
        <w:t>fourth of this Severance Compensation is in consideration for the release of any claims under the Age Discrimination in Employment Act.</w:t>
      </w:r>
    </w:p>
    <w:p>
      <w:pPr>
        <w:spacing w:after="0" w:line="90" w:lineRule="exact"/>
        <w:rPr>
          <w:rFonts w:ascii="Arial" w:cs="Arial" w:eastAsia="Arial" w:hAnsi="Arial"/>
          <w:sz w:val="22"/>
          <w:szCs w:val="22"/>
          <w:color w:val="auto"/>
        </w:rPr>
      </w:pPr>
    </w:p>
    <w:p>
      <w:pPr>
        <w:ind w:left="660" w:right="340"/>
        <w:spacing w:after="0" w:line="263" w:lineRule="auto"/>
        <w:rPr>
          <w:rFonts w:ascii="Arial" w:cs="Arial" w:eastAsia="Arial" w:hAnsi="Arial"/>
          <w:sz w:val="22"/>
          <w:szCs w:val="22"/>
          <w:color w:val="auto"/>
        </w:rPr>
      </w:pPr>
      <w:r>
        <w:rPr>
          <w:rFonts w:ascii="Arial" w:cs="Arial" w:eastAsia="Arial" w:hAnsi="Arial"/>
          <w:sz w:val="22"/>
          <w:szCs w:val="22"/>
          <w:color w:val="auto"/>
        </w:rPr>
        <w:t>These payments will be made semi-monthly on the Company’s normal payroll dates. Such payments will not commence until the eighth day after You sign and initial each page of this Agreement.</w:t>
      </w:r>
    </w:p>
    <w:p>
      <w:pPr>
        <w:spacing w:after="0" w:line="21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All wages, vacation pay and other benefits due to You as of your separation date according to the established policies, plans, and procedures of the Company will be paid to You in accordance with the terms of those established policies, plans, and procedures. In addition, any benefit continuation rights or benefit conversion rights existing under the established plans of the Company will be made available to You in accordance with the terms of such established plans. You will receive a separate letter with details concerning your benefits upon separation.</w:t>
      </w:r>
    </w:p>
    <w:p>
      <w:pPr>
        <w:spacing w:after="0" w:line="216" w:lineRule="exact"/>
        <w:rPr>
          <w:rFonts w:ascii="Arial" w:cs="Arial" w:eastAsia="Arial" w:hAnsi="Arial"/>
          <w:sz w:val="21"/>
          <w:szCs w:val="21"/>
          <w:color w:val="auto"/>
        </w:rPr>
      </w:pPr>
    </w:p>
    <w:p>
      <w:pPr>
        <w:ind w:left="660" w:right="340" w:hanging="328"/>
        <w:spacing w:after="0" w:line="251"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You may be eligible for unemployment compensation benefits after the payment of the Severance Compensation. Please contact your local unemployment office for</w:t>
      </w:r>
    </w:p>
    <w:p>
      <w:pPr>
        <w:spacing w:after="0" w:line="2" w:lineRule="exact"/>
        <w:rPr>
          <w:rFonts w:ascii="Arial" w:cs="Arial" w:eastAsia="Arial" w:hAnsi="Arial"/>
          <w:sz w:val="22"/>
          <w:szCs w:val="22"/>
          <w:color w:val="auto"/>
        </w:rPr>
      </w:pPr>
    </w:p>
    <w:p>
      <w:pPr>
        <w:ind w:left="660" w:right="380"/>
        <w:spacing w:after="0" w:line="246" w:lineRule="auto"/>
        <w:rPr>
          <w:rFonts w:ascii="Arial" w:cs="Arial" w:eastAsia="Arial" w:hAnsi="Arial"/>
          <w:sz w:val="22"/>
          <w:szCs w:val="22"/>
          <w:color w:val="auto"/>
        </w:rPr>
      </w:pPr>
      <w:r>
        <w:rPr>
          <w:rFonts w:ascii="Arial" w:cs="Arial" w:eastAsia="Arial" w:hAnsi="Arial"/>
          <w:sz w:val="22"/>
          <w:szCs w:val="22"/>
          <w:color w:val="auto"/>
        </w:rPr>
        <w:t>information. In the event you apply for unemployment compensation benefits prior to the full payment of the Severance Compensation, your Severance Compensation will end. If</w:t>
      </w:r>
    </w:p>
    <w:p>
      <w:pPr>
        <w:spacing w:after="0" w:line="220"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ML</w:t>
      </w:r>
    </w:p>
    <w:p>
      <w:pPr>
        <w:sectPr>
          <w:pgSz w:w="11900" w:h="16838" w:orient="portrait"/>
          <w:cols w:equalWidth="0" w:num="1">
            <w:col w:w="11400"/>
          </w:cols>
          <w:pgMar w:left="240" w:top="621" w:right="259" w:bottom="1440" w:gutter="0" w:footer="0" w:header="0"/>
        </w:sectPr>
      </w:pPr>
    </w:p>
    <w:bookmarkStart w:id="38" w:name="page39"/>
    <w:bookmarkEnd w:id="38"/>
    <w:p>
      <w:pPr>
        <w:jc w:val="both"/>
        <w:ind w:left="328" w:right="260"/>
        <w:spacing w:after="0" w:line="253" w:lineRule="auto"/>
        <w:rPr>
          <w:sz w:val="20"/>
          <w:szCs w:val="20"/>
          <w:color w:val="auto"/>
        </w:rPr>
      </w:pPr>
      <w:r>
        <w:rPr>
          <w:rFonts w:ascii="Arial" w:cs="Arial" w:eastAsia="Arial" w:hAnsi="Arial"/>
          <w:sz w:val="22"/>
          <w:szCs w:val="22"/>
          <w:color w:val="auto"/>
        </w:rPr>
        <w:t>Oil-Dri stops paying the Severance Compensation because of your application for unemployment compensation benefits, that will have no effect upon the release provided in paragraph number five (5) below and the release shall remain in full force and effect.</w:t>
      </w:r>
    </w:p>
    <w:p>
      <w:pPr>
        <w:spacing w:after="0" w:line="226" w:lineRule="exact"/>
        <w:rPr>
          <w:sz w:val="20"/>
          <w:szCs w:val="20"/>
          <w:color w:val="auto"/>
        </w:rPr>
      </w:pPr>
    </w:p>
    <w:p>
      <w:pPr>
        <w:ind w:left="328" w:hanging="328"/>
        <w:spacing w:after="0" w:line="285" w:lineRule="auto"/>
        <w:tabs>
          <w:tab w:leader="none" w:pos="3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In consideration for receiving the Severance Compensation, You waive and release and promise never to assert any claims or causes of action, whether or not now known, against the Company or any of its acquisitions, predecessors, successors, or past or present subsidiaries, officers, directors, agents, employees, assigns and employee benefit plans (collectively, the “Released Parties”), with respect to any matter, including but not limited to, any matter related to your employment with the Company or the termination of that employment. This means, among other things, that You waive any right to assert any claim or complaint against the Released Parties, including, but not limited to, tort claims; claims of wrongful discharge, emotional distress, defamation, fraud, or breach of contract; claims for attorneys’ fees; any claims of discrimination or harassment based on sex, age, race, color, national origin, ancestry, religious creed, disability, sexual orientation, marital status, present or past history of physical or mental disability or handicap, veteran status or on any other basis, under Title VII of the Civil Rights Act of 1964, the Age Discrimination in Employment Act of 1967, the Older Workers Benefit Protection Act, the Family and Medical Leave Act, the Employee Retirement Income Security Act, the Georgia Fair Employment Practices Act, the Illinois Human Rights Act, and/or all other local state or federal laws, ordinances and regulations relating to employment. </w:t>
      </w:r>
      <w:r>
        <w:rPr>
          <w:rFonts w:ascii="Arial" w:cs="Arial" w:eastAsia="Arial" w:hAnsi="Arial"/>
          <w:sz w:val="19"/>
          <w:szCs w:val="19"/>
          <w:b w:val="1"/>
          <w:bCs w:val="1"/>
          <w:color w:val="auto"/>
        </w:rPr>
        <w:t>This is a general release.</w:t>
      </w:r>
      <w:r>
        <w:rPr>
          <w:rFonts w:ascii="Arial" w:cs="Arial" w:eastAsia="Arial" w:hAnsi="Arial"/>
          <w:sz w:val="19"/>
          <w:szCs w:val="19"/>
          <w:color w:val="auto"/>
        </w:rPr>
        <w:t xml:space="preserve"> You understand and agree that this general release includes, but is not limited to, any claims arising out of or related to your employment with Oil-Dri and your separation from that employment. However, nothing in this Agreement shall constitute a release by You of any claims that cannot by law be waived. This Agreement does not waive rights or claims that may arise after You sign this Agreement, nor does it prohibit You or the Company from seeking enforcement of the terms contained in this Agreement.</w:t>
      </w:r>
    </w:p>
    <w:p>
      <w:pPr>
        <w:spacing w:after="0" w:line="208" w:lineRule="exact"/>
        <w:rPr>
          <w:rFonts w:ascii="Arial" w:cs="Arial" w:eastAsia="Arial" w:hAnsi="Arial"/>
          <w:sz w:val="19"/>
          <w:szCs w:val="19"/>
          <w:color w:val="auto"/>
        </w:rPr>
      </w:pPr>
    </w:p>
    <w:p>
      <w:pPr>
        <w:ind w:left="328" w:right="180" w:hanging="328"/>
        <w:spacing w:after="0" w:line="294" w:lineRule="auto"/>
        <w:tabs>
          <w:tab w:leader="none" w:pos="3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You understand and agree that, while this Agreement does not affect your rights to file a charge with or to participate as a witness in an investigation or proceeding conducted by the Equal Employment Opportunity Commission (the “EEOC”) or any similar state agency, by accepting the terms of this Agreement and the compensation provided as a result, You give up your right to receive any relief whatsoever, including but not limited to financial benefit or monetary recovery, from any lawsuit or settlement related to such rights and claims as You waived in paragraph number five (5) above, whether the lawsuit is filed or the settlement reached by the EEOC or anyone else.</w:t>
      </w:r>
    </w:p>
    <w:p>
      <w:pPr>
        <w:spacing w:after="0" w:line="190" w:lineRule="exact"/>
        <w:rPr>
          <w:rFonts w:ascii="Arial" w:cs="Arial" w:eastAsia="Arial" w:hAnsi="Arial"/>
          <w:sz w:val="19"/>
          <w:szCs w:val="19"/>
          <w:color w:val="auto"/>
        </w:rPr>
      </w:pPr>
    </w:p>
    <w:p>
      <w:pPr>
        <w:ind w:left="328" w:hanging="328"/>
        <w:spacing w:after="0"/>
        <w:tabs>
          <w:tab w:leader="none" w:pos="3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By signing this Agreement, You are verifying to the Company that You:</w:t>
      </w:r>
    </w:p>
    <w:p>
      <w:pPr>
        <w:spacing w:after="0" w:line="21" w:lineRule="exact"/>
        <w:rPr>
          <w:rFonts w:ascii="Arial" w:cs="Arial" w:eastAsia="Arial" w:hAnsi="Arial"/>
          <w:sz w:val="22"/>
          <w:szCs w:val="22"/>
          <w:color w:val="auto"/>
        </w:rPr>
      </w:pPr>
    </w:p>
    <w:p>
      <w:pPr>
        <w:ind w:left="648"/>
        <w:spacing w:after="0" w:line="253" w:lineRule="exact"/>
        <w:rPr>
          <w:rFonts w:ascii="Arial" w:cs="Arial" w:eastAsia="Arial" w:hAnsi="Arial"/>
          <w:sz w:val="22"/>
          <w:szCs w:val="22"/>
          <w:color w:val="auto"/>
        </w:rPr>
      </w:pPr>
      <w:r>
        <w:rPr>
          <w:rFonts w:ascii="Arial" w:cs="Arial" w:eastAsia="Arial" w:hAnsi="Arial"/>
          <w:sz w:val="22"/>
          <w:szCs w:val="22"/>
          <w:color w:val="auto"/>
        </w:rPr>
        <w:t>a.  have not suffered a work-related injury that You have not properly disclosed to Oil</w:t>
      </w:r>
      <w:r>
        <w:rPr>
          <w:rFonts w:ascii="MS PGothic" w:cs="MS PGothic" w:eastAsia="MS PGothic" w:hAnsi="MS PGothic"/>
          <w:sz w:val="22"/>
          <w:szCs w:val="22"/>
          <w:color w:val="auto"/>
        </w:rPr>
        <w:t>‑</w:t>
      </w:r>
      <w:r>
        <w:rPr>
          <w:rFonts w:ascii="Arial" w:cs="Arial" w:eastAsia="Arial" w:hAnsi="Arial"/>
          <w:sz w:val="22"/>
          <w:szCs w:val="22"/>
          <w:color w:val="auto"/>
        </w:rPr>
        <w:t>Dri; and</w:t>
      </w:r>
    </w:p>
    <w:p>
      <w:pPr>
        <w:spacing w:after="0" w:line="229" w:lineRule="exact"/>
        <w:rPr>
          <w:sz w:val="20"/>
          <w:szCs w:val="20"/>
          <w:color w:val="auto"/>
        </w:rPr>
      </w:pPr>
    </w:p>
    <w:p>
      <w:pPr>
        <w:ind w:left="6168"/>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ML</w:t>
      </w:r>
    </w:p>
    <w:p>
      <w:pPr>
        <w:sectPr>
          <w:pgSz w:w="11900" w:h="16838" w:orient="portrait"/>
          <w:cols w:equalWidth="0" w:num="1">
            <w:col w:w="11068"/>
          </w:cols>
          <w:pgMar w:left="572" w:top="631" w:right="259" w:bottom="1440" w:gutter="0" w:footer="0" w:header="0"/>
        </w:sectPr>
      </w:pPr>
    </w:p>
    <w:bookmarkStart w:id="39" w:name="page40"/>
    <w:bookmarkEnd w:id="39"/>
    <w:p>
      <w:pPr>
        <w:ind w:left="968" w:right="180" w:hanging="320"/>
        <w:spacing w:after="0" w:line="247" w:lineRule="auto"/>
        <w:tabs>
          <w:tab w:leader="none" w:pos="968" w:val="left"/>
        </w:tabs>
        <w:numPr>
          <w:ilvl w:val="1"/>
          <w:numId w:val="17"/>
        </w:numPr>
        <w:rPr>
          <w:rFonts w:ascii="Arial" w:cs="Arial" w:eastAsia="Arial" w:hAnsi="Arial"/>
          <w:sz w:val="22"/>
          <w:szCs w:val="22"/>
          <w:color w:val="auto"/>
        </w:rPr>
      </w:pPr>
      <w:r>
        <w:rPr>
          <w:rFonts w:ascii="Arial" w:cs="Arial" w:eastAsia="Arial" w:hAnsi="Arial"/>
          <w:sz w:val="22"/>
          <w:szCs w:val="22"/>
          <w:color w:val="auto"/>
        </w:rPr>
        <w:t>have been paid in full all wages due and owing to You for any and all work which You performed for Oil-Dri through the pay period of the pay date immediately preceding the date of your signature (Oil-Dri agrees that if You performed work for Oil-Dri after that pay period, payment will be made to You according to the Company’s established payroll practices); and</w:t>
      </w:r>
    </w:p>
    <w:p>
      <w:pPr>
        <w:spacing w:after="0" w:line="2" w:lineRule="exact"/>
        <w:rPr>
          <w:rFonts w:ascii="Arial" w:cs="Arial" w:eastAsia="Arial" w:hAnsi="Arial"/>
          <w:sz w:val="22"/>
          <w:szCs w:val="22"/>
          <w:color w:val="auto"/>
        </w:rPr>
      </w:pPr>
    </w:p>
    <w:p>
      <w:pPr>
        <w:jc w:val="both"/>
        <w:ind w:left="968" w:hanging="320"/>
        <w:spacing w:after="0" w:line="245" w:lineRule="auto"/>
        <w:tabs>
          <w:tab w:leader="none" w:pos="968" w:val="left"/>
        </w:tabs>
        <w:numPr>
          <w:ilvl w:val="1"/>
          <w:numId w:val="17"/>
        </w:numPr>
        <w:rPr>
          <w:rFonts w:ascii="Arial" w:cs="Arial" w:eastAsia="Arial" w:hAnsi="Arial"/>
          <w:sz w:val="22"/>
          <w:szCs w:val="22"/>
          <w:color w:val="auto"/>
        </w:rPr>
      </w:pPr>
      <w:r>
        <w:rPr>
          <w:rFonts w:ascii="Arial" w:cs="Arial" w:eastAsia="Arial" w:hAnsi="Arial"/>
          <w:sz w:val="22"/>
          <w:szCs w:val="22"/>
          <w:color w:val="auto"/>
        </w:rPr>
        <w:t>understand that your termination and the signing of this Agreement does not limit or release You from the obligations contained in any other Agreements with Oil- Dri, including, but not limited to, any Non-Disclosure Agreements and Non-Competition Agreements.</w:t>
      </w:r>
    </w:p>
    <w:p>
      <w:pPr>
        <w:spacing w:after="0" w:line="233" w:lineRule="exact"/>
        <w:rPr>
          <w:rFonts w:ascii="Arial" w:cs="Arial" w:eastAsia="Arial" w:hAnsi="Arial"/>
          <w:sz w:val="22"/>
          <w:szCs w:val="22"/>
          <w:color w:val="auto"/>
        </w:rPr>
      </w:pPr>
    </w:p>
    <w:p>
      <w:pPr>
        <w:ind w:left="328" w:right="20" w:hanging="328"/>
        <w:spacing w:after="0" w:line="265" w:lineRule="auto"/>
        <w:tabs>
          <w:tab w:leader="none" w:pos="328" w:val="left"/>
        </w:tabs>
        <w:numPr>
          <w:ilvl w:val="0"/>
          <w:numId w:val="18"/>
        </w:numPr>
        <w:rPr>
          <w:rFonts w:ascii="Arial" w:cs="Arial" w:eastAsia="Arial" w:hAnsi="Arial"/>
          <w:sz w:val="21"/>
          <w:szCs w:val="21"/>
          <w:color w:val="auto"/>
        </w:rPr>
      </w:pPr>
      <w:r>
        <w:rPr>
          <w:rFonts w:ascii="Arial" w:cs="Arial" w:eastAsia="Arial" w:hAnsi="Arial"/>
          <w:sz w:val="21"/>
          <w:szCs w:val="21"/>
          <w:color w:val="auto"/>
        </w:rPr>
        <w:t>You will return to Mary Beth Sullivan all door and file keys, radio, beeper, equipment, tools, computer access codes, disks and instructional manuals, reports, files, memoranda, records, software, credit cards, and other physical or personal property which You received, prepared or helped prepare in connection with your employment with the Company. You agree that You will not keep any copies or excerpts of any of the above items.</w:t>
      </w:r>
    </w:p>
    <w:p>
      <w:pPr>
        <w:spacing w:after="0" w:line="216" w:lineRule="exact"/>
        <w:rPr>
          <w:rFonts w:ascii="Arial" w:cs="Arial" w:eastAsia="Arial" w:hAnsi="Arial"/>
          <w:sz w:val="21"/>
          <w:szCs w:val="21"/>
          <w:color w:val="auto"/>
        </w:rPr>
      </w:pPr>
    </w:p>
    <w:p>
      <w:pPr>
        <w:jc w:val="both"/>
        <w:ind w:left="328" w:right="400" w:hanging="328"/>
        <w:spacing w:after="0" w:line="263" w:lineRule="exact"/>
        <w:tabs>
          <w:tab w:leader="none" w:pos="328"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 recognition of the Severance Compensation, You agree to promptly respond to any questions from Dan Jaffee, or any person designated by Dan Jaffee, related to your work at Oil</w:t>
      </w:r>
      <w:r>
        <w:rPr>
          <w:rFonts w:ascii="MS PGothic" w:cs="MS PGothic" w:eastAsia="MS PGothic" w:hAnsi="MS PGothic"/>
          <w:sz w:val="22"/>
          <w:szCs w:val="22"/>
          <w:color w:val="auto"/>
        </w:rPr>
        <w:t>‑</w:t>
      </w:r>
      <w:r>
        <w:rPr>
          <w:rFonts w:ascii="Arial" w:cs="Arial" w:eastAsia="Arial" w:hAnsi="Arial"/>
          <w:sz w:val="22"/>
          <w:szCs w:val="22"/>
          <w:color w:val="auto"/>
        </w:rPr>
        <w:t>Dri until June 18, 2019. For this purpose, You will provide Dan Jaffee with your current phone numbers and e</w:t>
      </w:r>
      <w:r>
        <w:rPr>
          <w:rFonts w:ascii="MS PGothic" w:cs="MS PGothic" w:eastAsia="MS PGothic" w:hAnsi="MS PGothic"/>
          <w:sz w:val="22"/>
          <w:szCs w:val="22"/>
          <w:color w:val="auto"/>
        </w:rPr>
        <w:t>‑</w:t>
      </w:r>
      <w:r>
        <w:rPr>
          <w:rFonts w:ascii="Arial" w:cs="Arial" w:eastAsia="Arial" w:hAnsi="Arial"/>
          <w:sz w:val="22"/>
          <w:szCs w:val="22"/>
          <w:color w:val="auto"/>
        </w:rPr>
        <w:t>mail address, if any.</w:t>
      </w:r>
    </w:p>
    <w:p>
      <w:pPr>
        <w:spacing w:after="0" w:line="239" w:lineRule="exact"/>
        <w:rPr>
          <w:rFonts w:ascii="Arial" w:cs="Arial" w:eastAsia="Arial" w:hAnsi="Arial"/>
          <w:sz w:val="22"/>
          <w:szCs w:val="22"/>
          <w:color w:val="auto"/>
        </w:rPr>
      </w:pPr>
    </w:p>
    <w:p>
      <w:pPr>
        <w:ind w:left="328" w:right="80" w:hanging="328"/>
        <w:spacing w:after="0" w:line="265" w:lineRule="exact"/>
        <w:tabs>
          <w:tab w:leader="none" w:pos="328" w:val="left"/>
        </w:tabs>
        <w:numPr>
          <w:ilvl w:val="0"/>
          <w:numId w:val="18"/>
        </w:numPr>
        <w:rPr>
          <w:rFonts w:ascii="Arial" w:cs="Arial" w:eastAsia="Arial" w:hAnsi="Arial"/>
          <w:sz w:val="22"/>
          <w:szCs w:val="22"/>
          <w:color w:val="auto"/>
        </w:rPr>
      </w:pPr>
      <w:r>
        <w:rPr>
          <w:rFonts w:ascii="Arial" w:cs="Arial" w:eastAsia="Arial" w:hAnsi="Arial"/>
          <w:sz w:val="22"/>
          <w:szCs w:val="22"/>
          <w:color w:val="auto"/>
        </w:rPr>
        <w:t>You waive and surrender any right You may have, now or hereafter, to employment with Oil</w:t>
      </w:r>
      <w:r>
        <w:rPr>
          <w:rFonts w:ascii="MS PGothic" w:cs="MS PGothic" w:eastAsia="MS PGothic" w:hAnsi="MS PGothic"/>
          <w:sz w:val="22"/>
          <w:szCs w:val="22"/>
          <w:color w:val="auto"/>
        </w:rPr>
        <w:t>‑</w:t>
      </w:r>
      <w:r>
        <w:rPr>
          <w:rFonts w:ascii="Arial" w:cs="Arial" w:eastAsia="Arial" w:hAnsi="Arial"/>
          <w:sz w:val="22"/>
          <w:szCs w:val="22"/>
          <w:color w:val="auto"/>
        </w:rPr>
        <w:t>Dri. In reliance on this waiver, the Company may disregard any employment application submitted by You.</w:t>
      </w:r>
    </w:p>
    <w:p>
      <w:pPr>
        <w:spacing w:after="0" w:line="240" w:lineRule="exact"/>
        <w:rPr>
          <w:rFonts w:ascii="Arial" w:cs="Arial" w:eastAsia="Arial" w:hAnsi="Arial"/>
          <w:sz w:val="22"/>
          <w:szCs w:val="22"/>
          <w:color w:val="auto"/>
        </w:rPr>
      </w:pPr>
    </w:p>
    <w:p>
      <w:pPr>
        <w:ind w:left="328" w:right="60" w:hanging="328"/>
        <w:spacing w:after="0" w:line="288" w:lineRule="auto"/>
        <w:tabs>
          <w:tab w:leader="none" w:pos="328" w:val="left"/>
        </w:tabs>
        <w:numPr>
          <w:ilvl w:val="0"/>
          <w:numId w:val="18"/>
        </w:numPr>
        <w:rPr>
          <w:rFonts w:ascii="Arial" w:cs="Arial" w:eastAsia="Arial" w:hAnsi="Arial"/>
          <w:sz w:val="19"/>
          <w:szCs w:val="19"/>
          <w:color w:val="auto"/>
        </w:rPr>
      </w:pPr>
      <w:r>
        <w:rPr>
          <w:rFonts w:ascii="Arial" w:cs="Arial" w:eastAsia="Arial" w:hAnsi="Arial"/>
          <w:sz w:val="19"/>
          <w:szCs w:val="19"/>
          <w:color w:val="auto"/>
        </w:rPr>
        <w:t>You agree to refrain from using in any manner and to keep confidential any and all information and data concerning the business and affairs of Oil-Dri or its affiliates which You have received as a result of the employment relationship of the parties, except to the extent that You can demonstrate that the information or data (i) is generally available to the public through no act or failure to act of You, (ii) was already known to You on a non-confidential basis on the date of receipt, (iii) was disclosed to You on a non-confidential basis by a third party not having a confidential relationship with the Company with respect to such information, or (iv) has been independently acquired or developed without violating any of your obligations under this provision. Please be reminded that as a Section 16 Reporting Person, you remain subject to rules prohibiting trading of Oil-Dri stock based on insider information and the short swing profit rule. The short-swing profit rule requires any insider to return to the Company the difference between the sales purchase prices (any “profits” made by buying and selling - or selling and buying) of Oil-Dri stock within a six-month period.</w:t>
      </w:r>
    </w:p>
    <w:p>
      <w:pPr>
        <w:spacing w:after="0" w:line="200" w:lineRule="exact"/>
        <w:rPr>
          <w:rFonts w:ascii="Arial" w:cs="Arial" w:eastAsia="Arial" w:hAnsi="Arial"/>
          <w:sz w:val="19"/>
          <w:szCs w:val="19"/>
          <w:color w:val="auto"/>
        </w:rPr>
      </w:pPr>
    </w:p>
    <w:p>
      <w:pPr>
        <w:ind w:left="328" w:right="220" w:hanging="328"/>
        <w:spacing w:after="0" w:line="253" w:lineRule="auto"/>
        <w:tabs>
          <w:tab w:leader="none" w:pos="328" w:val="left"/>
        </w:tabs>
        <w:numPr>
          <w:ilvl w:val="0"/>
          <w:numId w:val="18"/>
        </w:numPr>
        <w:rPr>
          <w:rFonts w:ascii="Arial" w:cs="Arial" w:eastAsia="Arial" w:hAnsi="Arial"/>
          <w:sz w:val="22"/>
          <w:szCs w:val="22"/>
          <w:color w:val="auto"/>
        </w:rPr>
      </w:pPr>
      <w:r>
        <w:rPr>
          <w:rFonts w:ascii="Arial" w:cs="Arial" w:eastAsia="Arial" w:hAnsi="Arial"/>
          <w:sz w:val="22"/>
          <w:szCs w:val="22"/>
          <w:color w:val="auto"/>
        </w:rPr>
        <w:t>You agree that You will not disclose to others the terms of this Agreement, except that You may disclose such information to your attorney, tax preparer and immediate family. If You properly disclose the terms of the Agreement to anyone, You agree that You shall</w:t>
      </w:r>
    </w:p>
    <w:p>
      <w:pPr>
        <w:spacing w:after="0" w:line="200" w:lineRule="exact"/>
        <w:rPr>
          <w:sz w:val="20"/>
          <w:szCs w:val="20"/>
          <w:color w:val="auto"/>
        </w:rPr>
      </w:pPr>
    </w:p>
    <w:p>
      <w:pPr>
        <w:spacing w:after="0" w:line="269" w:lineRule="exact"/>
        <w:rPr>
          <w:sz w:val="20"/>
          <w:szCs w:val="20"/>
          <w:color w:val="auto"/>
        </w:rPr>
      </w:pPr>
    </w:p>
    <w:p>
      <w:pPr>
        <w:ind w:left="6168"/>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ML</w:t>
      </w:r>
    </w:p>
    <w:p>
      <w:pPr>
        <w:sectPr>
          <w:pgSz w:w="11900" w:h="16838" w:orient="portrait"/>
          <w:cols w:equalWidth="0" w:num="1">
            <w:col w:w="11088"/>
          </w:cols>
          <w:pgMar w:left="572" w:top="888" w:right="239" w:bottom="1440" w:gutter="0" w:footer="0" w:header="0"/>
        </w:sectPr>
      </w:pPr>
    </w:p>
    <w:bookmarkStart w:id="40" w:name="page41"/>
    <w:bookmarkEnd w:id="40"/>
    <w:p>
      <w:pPr>
        <w:ind w:left="328"/>
        <w:spacing w:after="0"/>
        <w:rPr>
          <w:sz w:val="20"/>
          <w:szCs w:val="20"/>
          <w:color w:val="auto"/>
        </w:rPr>
      </w:pPr>
      <w:r>
        <w:rPr>
          <w:rFonts w:ascii="Arial" w:cs="Arial" w:eastAsia="Arial" w:hAnsi="Arial"/>
          <w:sz w:val="22"/>
          <w:szCs w:val="22"/>
          <w:color w:val="auto"/>
        </w:rPr>
        <w:t>inform them that the Agreement is strictly confidential, and instruct them not to disclose it to anyone else.</w:t>
      </w:r>
    </w:p>
    <w:p>
      <w:pPr>
        <w:spacing w:after="0" w:line="260" w:lineRule="exact"/>
        <w:rPr>
          <w:sz w:val="20"/>
          <w:szCs w:val="20"/>
          <w:color w:val="auto"/>
        </w:rPr>
      </w:pPr>
    </w:p>
    <w:p>
      <w:pPr>
        <w:ind w:left="328" w:hanging="328"/>
        <w:spacing w:after="0" w:line="248"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You will direct all reference inquiries to Mary Beth Sullivan, Vice President, Human Resources, who will respond only with the following information: dates of employment, position(s) held, and confirmation of last salary. To the extent that You direct references to other persons, the Company is not liable for any statements made by such non-designated individuals. You agree that the Company has no liability for any statements made regarding You by persons not employed by the Company at the time such statements are made.</w:t>
      </w:r>
    </w:p>
    <w:p>
      <w:pPr>
        <w:spacing w:after="0" w:line="232" w:lineRule="exact"/>
        <w:rPr>
          <w:rFonts w:ascii="Arial" w:cs="Arial" w:eastAsia="Arial" w:hAnsi="Arial"/>
          <w:sz w:val="22"/>
          <w:szCs w:val="22"/>
          <w:color w:val="auto"/>
        </w:rPr>
      </w:pPr>
    </w:p>
    <w:p>
      <w:pPr>
        <w:jc w:val="both"/>
        <w:ind w:left="328" w:right="60" w:hanging="328"/>
        <w:spacing w:after="0" w:line="253"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You will not do or say anything which criticizes or disparages the Company, its management or practices, which disrupts or impairs the Company's normal, ongoing business operations, or which harms the Company's reputation with its employees, customers, suppliers or the public.</w:t>
      </w:r>
    </w:p>
    <w:p>
      <w:pPr>
        <w:spacing w:after="0" w:line="226" w:lineRule="exact"/>
        <w:rPr>
          <w:rFonts w:ascii="Arial" w:cs="Arial" w:eastAsia="Arial" w:hAnsi="Arial"/>
          <w:sz w:val="22"/>
          <w:szCs w:val="22"/>
          <w:color w:val="auto"/>
        </w:rPr>
      </w:pPr>
    </w:p>
    <w:p>
      <w:pPr>
        <w:ind w:left="328" w:right="1160" w:hanging="328"/>
        <w:spacing w:after="0" w:line="263"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You understand and agree that if You breach any part of this Agreement, Oil-Dri’s obligation for the Severance Compensation ceases and Oil-Dri may recoup all such payments already made.</w:t>
      </w:r>
    </w:p>
    <w:p>
      <w:pPr>
        <w:spacing w:after="0" w:line="215" w:lineRule="exact"/>
        <w:rPr>
          <w:rFonts w:ascii="Arial" w:cs="Arial" w:eastAsia="Arial" w:hAnsi="Arial"/>
          <w:sz w:val="22"/>
          <w:szCs w:val="22"/>
          <w:color w:val="auto"/>
        </w:rPr>
      </w:pPr>
    </w:p>
    <w:p>
      <w:pPr>
        <w:ind w:left="328" w:right="20" w:hanging="328"/>
        <w:spacing w:after="0" w:line="246"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You and Oil-Dri agree that this Agreement constitutes the entire understanding of the parties concerning the cessation of the employment relationship and sets forth all compensation to be paid by the Company to You subsequent to cessation of the employment relationship. This Agreement cancels and supersedes all previous agreements and understandings, oral or written, between the parties with respect to the subject matter hereof and may be modified only in a written document signed by You and a duly authorized officer of the Company. This Agreement does not affect any Non-Disclosure Agreements and Non-Competition Agreements between You and Oil-Dri, copies of which are being provided to you for your reference.</w:t>
      </w:r>
    </w:p>
    <w:p>
      <w:pPr>
        <w:spacing w:after="0" w:line="237"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Nothing in this Agreement shall be treated as an admission by You or the Company of any liability, wrongdoing or violation of any law.</w:t>
      </w:r>
    </w:p>
    <w:p>
      <w:pPr>
        <w:spacing w:after="0" w:line="215" w:lineRule="exact"/>
        <w:rPr>
          <w:rFonts w:ascii="Arial" w:cs="Arial" w:eastAsia="Arial" w:hAnsi="Arial"/>
          <w:sz w:val="22"/>
          <w:szCs w:val="22"/>
          <w:color w:val="auto"/>
        </w:rPr>
      </w:pPr>
    </w:p>
    <w:p>
      <w:pPr>
        <w:ind w:left="328" w:right="160" w:hanging="328"/>
        <w:spacing w:after="0" w:line="248"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all respects under the laws of the State of Illinois without reference to its conflicts of laws, rules or principles. If a court finds any part of this Agreement to be invalid or unenforceable, then that provision or part shall be modified so as to render it valid and enforceable, or, if necessary, shall be deemed removed from this Agreement. In any event, the rest of the Agreement shall remain in full force and effect and shall be enforced to the maximum extent permitted by law.</w:t>
      </w:r>
    </w:p>
    <w:p>
      <w:pPr>
        <w:spacing w:after="0" w:line="232" w:lineRule="exact"/>
        <w:rPr>
          <w:rFonts w:ascii="Arial" w:cs="Arial" w:eastAsia="Arial" w:hAnsi="Arial"/>
          <w:sz w:val="22"/>
          <w:szCs w:val="22"/>
          <w:color w:val="auto"/>
        </w:rPr>
      </w:pPr>
    </w:p>
    <w:p>
      <w:pPr>
        <w:ind w:left="328" w:right="20" w:hanging="328"/>
        <w:spacing w:after="0" w:line="253"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You have the right to consult with an attorney of your choice before signing this Agreement and Oil-Dri encourages You to do so. You understand that You have up to twenty-one (21) days after receiving this Agreement to review it and to discuss it with an</w:t>
      </w:r>
    </w:p>
    <w:p>
      <w:pPr>
        <w:spacing w:after="0" w:line="213" w:lineRule="exact"/>
        <w:rPr>
          <w:sz w:val="20"/>
          <w:szCs w:val="20"/>
          <w:color w:val="auto"/>
        </w:rPr>
      </w:pPr>
    </w:p>
    <w:p>
      <w:pPr>
        <w:ind w:left="6168"/>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ML</w:t>
      </w:r>
    </w:p>
    <w:p>
      <w:pPr>
        <w:sectPr>
          <w:pgSz w:w="11900" w:h="16838" w:orient="portrait"/>
          <w:cols w:equalWidth="0" w:num="1">
            <w:col w:w="11068"/>
          </w:cols>
          <w:pgMar w:left="572" w:top="631" w:right="259" w:bottom="1440" w:gutter="0" w:footer="0" w:header="0"/>
        </w:sectPr>
      </w:pPr>
    </w:p>
    <w:bookmarkStart w:id="41" w:name="page42"/>
    <w:bookmarkEnd w:id="41"/>
    <w:p>
      <w:pPr>
        <w:ind w:left="660" w:right="40"/>
        <w:spacing w:after="0" w:line="292" w:lineRule="auto"/>
        <w:rPr>
          <w:sz w:val="20"/>
          <w:szCs w:val="20"/>
          <w:color w:val="auto"/>
        </w:rPr>
      </w:pPr>
      <w:r>
        <w:rPr>
          <w:rFonts w:ascii="Arial" w:cs="Arial" w:eastAsia="Arial" w:hAnsi="Arial"/>
          <w:sz w:val="19"/>
          <w:szCs w:val="19"/>
          <w:color w:val="auto"/>
        </w:rPr>
        <w:t xml:space="preserve">attorney, and that You have seven (7) days after You have signed this Agreement during which You may revoke it. You understand that if You do not return to the Company a signed and dated copy of this Agreement by the close of business on the 21st calendar day after your termination of employment, the provisions of this Agreement, including the severance compensation provisions, will be void and the Company will have no further obligations thereunder. </w:t>
      </w:r>
      <w:r>
        <w:rPr>
          <w:rFonts w:ascii="Arial" w:cs="Arial" w:eastAsia="Arial" w:hAnsi="Arial"/>
          <w:sz w:val="19"/>
          <w:szCs w:val="19"/>
          <w:b w:val="1"/>
          <w:bCs w:val="1"/>
          <w:color w:val="auto"/>
        </w:rPr>
        <w:t>This Agreement must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be signed, initialed on each page and returned to Mary Beth Sullivan, Vice President, Human Resources, at the address shown below without any alteration. </w:t>
      </w:r>
      <w:r>
        <w:rPr>
          <w:rFonts w:ascii="Arial" w:cs="Arial" w:eastAsia="Arial" w:hAnsi="Arial"/>
          <w:sz w:val="19"/>
          <w:szCs w:val="19"/>
          <w:color w:val="auto"/>
        </w:rPr>
        <w:t>Enclosed is a self-addressed postage-prepaid envelope for your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convenience. Any modification or alteration of any terms of this Agreement voids the Agreement in its entirety.</w:t>
      </w:r>
    </w:p>
    <w:p>
      <w:pPr>
        <w:spacing w:after="0" w:line="19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If You wish to revoke this Agreement within the seven-day period, You may do so by delivering a letter of revocation to: Mary Beth Sullivan, Vice President, Human Resources, at the address shown below. Because of this revocation period, You understand that this Agreement shall not become effective or enforceable until the eighth day after the date You sign this Agreement. After that, it becomes binding and irrevocable.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indicate your agreement with the terms stated above by signing below.</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OIL-DRI CORPORATION OF AMERICA</w:t>
      </w:r>
    </w:p>
    <w:p>
      <w:pPr>
        <w:spacing w:after="0" w:line="200" w:lineRule="exact"/>
        <w:rPr>
          <w:sz w:val="20"/>
          <w:szCs w:val="20"/>
          <w:color w:val="auto"/>
        </w:rPr>
      </w:pPr>
    </w:p>
    <w:p>
      <w:pPr>
        <w:spacing w:after="0" w:line="317"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Mary Beth Sullivan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Mary Beth Sullivan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Vice President, Human Resources</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Oil-Dri Corporation of America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410 N. Michigan Avenue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Suite 400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Chicago, Illinois 60611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agree with the terms of this Agreement and deem it to be fair and equitable, as signified by my signature below. Furthermore, I acknowledge that I have read and understand this Agreement and that I sign this release of all claims, known or unknown, voluntarily, with full appreciation that at no time in the future may I pursue any of the rights I have waived in this Agreement.</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Arial" w:cs="Arial" w:eastAsia="Arial" w:hAnsi="Arial"/>
                <w:sz w:val="22"/>
                <w:szCs w:val="22"/>
                <w:color w:val="auto"/>
                <w:w w:val="93"/>
              </w:rPr>
              <w:t>/s/ Mark Lewry</w:t>
            </w:r>
          </w:p>
        </w:tc>
        <w:tc>
          <w:tcPr>
            <w:tcW w:w="2800" w:type="dxa"/>
            <w:vAlign w:val="bottom"/>
            <w:gridSpan w:val="2"/>
          </w:tcPr>
          <w:p>
            <w:pPr>
              <w:ind w:left="1560"/>
              <w:spacing w:after="0"/>
              <w:rPr>
                <w:sz w:val="20"/>
                <w:szCs w:val="20"/>
                <w:color w:val="auto"/>
              </w:rPr>
            </w:pPr>
            <w:r>
              <w:rPr>
                <w:rFonts w:ascii="Arial" w:cs="Arial" w:eastAsia="Arial" w:hAnsi="Arial"/>
                <w:sz w:val="22"/>
                <w:szCs w:val="22"/>
                <w:color w:val="auto"/>
                <w:w w:val="88"/>
              </w:rPr>
              <w:t>Date:12/29/18</w:t>
            </w:r>
          </w:p>
        </w:tc>
      </w:tr>
      <w:tr>
        <w:trPr>
          <w:trHeight w:val="287"/>
        </w:trPr>
        <w:tc>
          <w:tcPr>
            <w:tcW w:w="13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Mark Lewry</w:t>
            </w:r>
          </w:p>
        </w:tc>
        <w:tc>
          <w:tcPr>
            <w:tcW w:w="20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Initial Here </w:t>
      </w:r>
      <w:r>
        <w:rPr>
          <w:rFonts w:ascii="Arial" w:cs="Arial" w:eastAsia="Arial" w:hAnsi="Arial"/>
          <w:sz w:val="22"/>
          <w:szCs w:val="22"/>
          <w:u w:val="single" w:color="auto"/>
          <w:color w:val="auto"/>
        </w:rPr>
        <w:t>ML</w:t>
      </w:r>
    </w:p>
    <w:p>
      <w:pPr>
        <w:sectPr>
          <w:pgSz w:w="11900" w:h="16838" w:orient="portrait"/>
          <w:cols w:equalWidth="0" w:num="1">
            <w:col w:w="11420"/>
          </w:cols>
          <w:pgMar w:left="240" w:top="6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24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available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2,287</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3,193</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1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(133)</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(loss) available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2,195</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3,060</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5,099</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2,068</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2,069</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7,229</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7,139</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7,242</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Per Share: Basic Common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0.33</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0.46</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(Loss) Per Share: Basic Class B Common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0.25</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0.34</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Per Share: Diluted Common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0.30</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0.42</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table above, a total of 82,000 of potential common stock relating to non-vested restricted stock were excluded from the calculation of diluted net loss per share for the three months ended January 31, 2018 since their effects were anti-dilutive.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March 11, 2019</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11, 2019</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Susan M. Kreh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Susan M. Kreh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11,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11,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Susan M. Kreh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2019.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ind w:left="80"/>
              <w:spacing w:after="0"/>
              <w:rPr>
                <w:sz w:val="20"/>
                <w:szCs w:val="20"/>
                <w:color w:val="auto"/>
              </w:rPr>
            </w:pPr>
            <w:r>
              <w:rPr>
                <w:rFonts w:ascii="Arial" w:cs="Arial" w:eastAsia="Arial" w:hAnsi="Arial"/>
                <w:sz w:val="18"/>
                <w:szCs w:val="18"/>
                <w:color w:val="auto"/>
                <w:w w:val="9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ind w:left="120"/>
              <w:spacing w:after="0"/>
              <w:rPr>
                <w:sz w:val="20"/>
                <w:szCs w:val="20"/>
                <w:color w:val="auto"/>
              </w:rPr>
            </w:pPr>
            <w:r>
              <w:rPr>
                <w:rFonts w:ascii="Arial" w:cs="Arial" w:eastAsia="Arial" w:hAnsi="Arial"/>
                <w:sz w:val="18"/>
                <w:szCs w:val="18"/>
                <w:color w:val="auto"/>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29,150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2019.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1"/>
      <w:numFmt w:val="decimal"/>
      <w:start w:val="31"/>
    </w:lvl>
  </w:abstractNum>
  <w:abstractNum w:abstractNumId="7">
    <w:nsid w:val="1BEFD79F"/>
    <w:multiLevelType w:val="hybridMultilevel"/>
    <w:lvl w:ilvl="0">
      <w:lvlJc w:val="left"/>
      <w:lvlText w:val="%1"/>
      <w:numFmt w:val="decimal"/>
      <w:start w:val="95"/>
    </w:lvl>
  </w:abstractNum>
  <w:abstractNum w:abstractNumId="8">
    <w:nsid w:val="41A7C4C9"/>
    <w:multiLevelType w:val="hybridMultilevel"/>
    <w:lvl w:ilvl="0">
      <w:lvlJc w:val="left"/>
      <w:lvlText w:val="1"/>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4"/>
    </w:lvl>
  </w:abstractNum>
  <w:abstractNum w:abstractNumId="11">
    <w:nsid w:val="25E45D32"/>
    <w:multiLevelType w:val="hybridMultilevel"/>
    <w:lvl w:ilvl="0">
      <w:lvlJc w:val="left"/>
      <w:lvlText w:val="%1."/>
      <w:numFmt w:val="decimal"/>
      <w:start w:val="7"/>
    </w:lvl>
    <w:lvl w:ilvl="1">
      <w:lvlJc w:val="left"/>
      <w:lvlText w:val="%2."/>
      <w:numFmt w:val="lowerLetter"/>
      <w:start w:val="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7"/>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5"/>
    </w:lvl>
    <w:lvl w:ilvl="1">
      <w:lvlJc w:val="left"/>
      <w:lvlText w:val="%2"/>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2"/>
    </w:lvl>
  </w:abstractNum>
  <w:abstractNum w:abstractNumId="17">
    <w:nsid w:val="62BBD95A"/>
    <w:multiLevelType w:val="hybridMultilevel"/>
    <w:lvl w:ilvl="0">
      <w:lvlJc w:val="left"/>
      <w:lvlText w:val="%1."/>
      <w:numFmt w:val="decimal"/>
      <w:start w:val="8"/>
    </w:lvl>
    <w:lvl w:ilvl="1">
      <w:lvlJc w:val="left"/>
      <w:lvlText w:val="%2"/>
      <w:numFmt w:val="lowerLetter"/>
      <w:start w:val="1"/>
    </w:lvl>
  </w:abstractNum>
  <w:abstractNum w:abstractNumId="18">
    <w:nsid w:val="436C6125"/>
    <w:multiLevelType w:val="hybridMultilevel"/>
    <w:lvl w:ilvl="0">
      <w:lvlJc w:val="left"/>
      <w:lvlText w:val="%1."/>
      <w:numFmt w:val="decimal"/>
      <w:start w:val="13"/>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1">
    <w:nsid w:val="721DA317"/>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Archives/edgar/data/74046/000007404619000008/fifthamendmenttocreditagre.htm" TargetMode="External"/><Relationship Id="rId11" Type="http://schemas.openxmlformats.org/officeDocument/2006/relationships/hyperlink" Target="http://www.sec.gov/Archives/edgar/data/74046/000007404619000008/annexa-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2020-01-09T16:45:35Z</dcterms:created>
  <dcterms:modified xsi:type="dcterms:W3CDTF">2020-01-09T16:45:35Z</dcterms:modified>
</cp:coreProperties>
</file>