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160"/>
              <w:spacing w:after="0"/>
              <w:rPr>
                <w:sz w:val="20"/>
                <w:szCs w:val="20"/>
                <w:color w:val="auto"/>
              </w:rPr>
            </w:pPr>
            <w:r>
              <w:rPr>
                <w:rFonts w:ascii="Arial" w:cs="Arial" w:eastAsia="Arial" w:hAnsi="Arial"/>
                <w:sz w:val="18"/>
                <w:szCs w:val="18"/>
                <w:color w:val="auto"/>
                <w:w w:val="90"/>
              </w:rPr>
              <w:t>December 8, 2017</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8, 2017, Oil-Dri Corporation of America (the “Registrant”) issued a press release announcing its results of operations for its first quarter ended October 31, 2017.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December 8, 2017</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4"/>
          </w:tcPr>
          <w:p>
            <w:pPr>
              <w:ind w:left="346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Press Release of the Registrant dated October 10, 2017</w:t>
              </w:r>
            </w:hyperlink>
          </w:p>
        </w:tc>
        <w:tc>
          <w:tcPr>
            <w:tcW w:w="5700" w:type="dxa"/>
            <w:vAlign w:val="bottom"/>
            <w:gridSpan w:val="2"/>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First Quarter Fiscal 2018 Results</w:t>
      </w:r>
    </w:p>
    <w:p>
      <w:pPr>
        <w:spacing w:after="0" w:line="280"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CHICAGO-(December 8, 2017)-Oil-Dri Corporation of America (NYSE: ODC), producer and marketer of sorbent mineral products supplying pet care, animal health, fluids purification, agricultural ingredient, sports field, industrial and automotive markets, today announced its first quarter fiscal 2018 earnings.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Oil-Dri reported the following key metrics </w:t>
      </w:r>
      <w:r>
        <w:rPr>
          <w:rFonts w:ascii="Arial" w:cs="Arial" w:eastAsia="Arial" w:hAnsi="Arial"/>
          <w:sz w:val="22"/>
          <w:szCs w:val="22"/>
          <w:i w:val="1"/>
          <w:iCs w:val="1"/>
          <w:color w:val="auto"/>
        </w:rPr>
        <w:t>(As of October 31, 2017, compared to the same period of the prior year):</w:t>
      </w:r>
    </w:p>
    <w:p>
      <w:pPr>
        <w:spacing w:after="0" w:line="227" w:lineRule="exact"/>
        <w:rPr>
          <w:sz w:val="20"/>
          <w:szCs w:val="20"/>
          <w:color w:val="auto"/>
        </w:rPr>
      </w:pPr>
    </w:p>
    <w:p>
      <w:pPr>
        <w:ind w:left="740" w:hanging="327"/>
        <w:spacing w:after="0"/>
        <w:tabs>
          <w:tab w:leader="none" w:pos="7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Net sales of </w:t>
      </w:r>
      <w:r>
        <w:rPr>
          <w:rFonts w:ascii="Arial" w:cs="Arial" w:eastAsia="Arial" w:hAnsi="Arial"/>
          <w:sz w:val="21"/>
          <w:szCs w:val="21"/>
          <w:b w:val="1"/>
          <w:bCs w:val="1"/>
          <w:color w:val="auto"/>
        </w:rPr>
        <w:t>$66,646,000</w:t>
      </w:r>
      <w:r>
        <w:rPr>
          <w:rFonts w:ascii="Arial" w:cs="Arial" w:eastAsia="Arial" w:hAnsi="Arial"/>
          <w:sz w:val="20"/>
          <w:szCs w:val="20"/>
          <w:b w:val="1"/>
          <w:bCs w:val="1"/>
          <w:color w:val="auto"/>
        </w:rPr>
        <w:t>, flat</w:t>
      </w:r>
    </w:p>
    <w:p>
      <w:pPr>
        <w:spacing w:after="0" w:line="39" w:lineRule="exact"/>
        <w:rPr>
          <w:rFonts w:ascii="Arial" w:cs="Arial" w:eastAsia="Arial" w:hAnsi="Arial"/>
          <w:sz w:val="20"/>
          <w:szCs w:val="20"/>
          <w:b w:val="1"/>
          <w:bCs w:val="1"/>
          <w:color w:val="auto"/>
        </w:rPr>
      </w:pPr>
    </w:p>
    <w:p>
      <w:pPr>
        <w:ind w:left="740" w:hanging="327"/>
        <w:spacing w:after="0"/>
        <w:tabs>
          <w:tab w:leader="none" w:pos="7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Net income of </w:t>
      </w:r>
      <w:r>
        <w:rPr>
          <w:rFonts w:ascii="Arial" w:cs="Arial" w:eastAsia="Arial" w:hAnsi="Arial"/>
          <w:sz w:val="21"/>
          <w:szCs w:val="21"/>
          <w:b w:val="1"/>
          <w:bCs w:val="1"/>
          <w:color w:val="auto"/>
        </w:rPr>
        <w:t>$3,050,000</w:t>
      </w:r>
      <w:r>
        <w:rPr>
          <w:rFonts w:ascii="Arial" w:cs="Arial" w:eastAsia="Arial" w:hAnsi="Arial"/>
          <w:sz w:val="20"/>
          <w:szCs w:val="20"/>
          <w:b w:val="1"/>
          <w:bCs w:val="1"/>
          <w:color w:val="auto"/>
        </w:rPr>
        <w:t>, up 52%</w:t>
      </w:r>
    </w:p>
    <w:p>
      <w:pPr>
        <w:spacing w:after="0" w:line="28" w:lineRule="exact"/>
        <w:rPr>
          <w:rFonts w:ascii="Arial" w:cs="Arial" w:eastAsia="Arial" w:hAnsi="Arial"/>
          <w:sz w:val="20"/>
          <w:szCs w:val="20"/>
          <w:b w:val="1"/>
          <w:bCs w:val="1"/>
          <w:color w:val="auto"/>
        </w:rPr>
      </w:pPr>
    </w:p>
    <w:p>
      <w:pPr>
        <w:ind w:left="740" w:hanging="327"/>
        <w:spacing w:after="0"/>
        <w:tabs>
          <w:tab w:leader="none" w:pos="7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Earnings per diluted share of </w:t>
      </w:r>
      <w:r>
        <w:rPr>
          <w:rFonts w:ascii="Arial" w:cs="Arial" w:eastAsia="Arial" w:hAnsi="Arial"/>
          <w:sz w:val="21"/>
          <w:szCs w:val="21"/>
          <w:b w:val="1"/>
          <w:bCs w:val="1"/>
          <w:color w:val="auto"/>
        </w:rPr>
        <w:t>$0.41</w:t>
      </w:r>
      <w:r>
        <w:rPr>
          <w:rFonts w:ascii="Arial" w:cs="Arial" w:eastAsia="Arial" w:hAnsi="Arial"/>
          <w:sz w:val="20"/>
          <w:szCs w:val="20"/>
          <w:b w:val="1"/>
          <w:bCs w:val="1"/>
          <w:color w:val="auto"/>
        </w:rPr>
        <w:t>, up 46%</w:t>
      </w:r>
    </w:p>
    <w:p>
      <w:pPr>
        <w:spacing w:after="0" w:line="225" w:lineRule="exact"/>
        <w:rPr>
          <w:rFonts w:ascii="Arial" w:cs="Arial" w:eastAsia="Arial" w:hAnsi="Arial"/>
          <w:sz w:val="20"/>
          <w:szCs w:val="20"/>
          <w:b w:val="1"/>
          <w:bCs w:val="1"/>
          <w:color w:val="auto"/>
        </w:rPr>
      </w:pPr>
    </w:p>
    <w:p>
      <w:pPr>
        <w:ind w:left="740" w:hanging="327"/>
        <w:spacing w:after="0"/>
        <w:tabs>
          <w:tab w:leader="none" w:pos="7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Business-to-Business Products Group</w:t>
      </w:r>
    </w:p>
    <w:p>
      <w:pPr>
        <w:spacing w:after="0" w:line="21" w:lineRule="exact"/>
        <w:rPr>
          <w:rFonts w:ascii="Arial" w:cs="Arial" w:eastAsia="Arial" w:hAnsi="Arial"/>
          <w:sz w:val="20"/>
          <w:szCs w:val="20"/>
          <w:b w:val="1"/>
          <w:bCs w:val="1"/>
          <w:color w:val="auto"/>
        </w:rPr>
      </w:pPr>
    </w:p>
    <w:p>
      <w:pPr>
        <w:ind w:left="1380" w:hanging="319"/>
        <w:spacing w:after="0"/>
        <w:tabs>
          <w:tab w:leader="none" w:pos="1380"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Net sales of $27,087,000, down 1%</w:t>
      </w:r>
    </w:p>
    <w:p>
      <w:pPr>
        <w:ind w:left="1380" w:hanging="319"/>
        <w:spacing w:after="0"/>
        <w:tabs>
          <w:tab w:leader="none" w:pos="1380"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Segment operating income of $8,876,000, down 6%</w:t>
      </w:r>
    </w:p>
    <w:p>
      <w:pPr>
        <w:spacing w:after="0" w:line="193" w:lineRule="exact"/>
        <w:rPr>
          <w:rFonts w:ascii="Arial" w:cs="Arial" w:eastAsia="Arial" w:hAnsi="Arial"/>
          <w:sz w:val="20"/>
          <w:szCs w:val="20"/>
          <w:b w:val="1"/>
          <w:bCs w:val="1"/>
          <w:color w:val="auto"/>
        </w:rPr>
      </w:pPr>
    </w:p>
    <w:p>
      <w:pPr>
        <w:ind w:left="740" w:hanging="327"/>
        <w:spacing w:after="0"/>
        <w:tabs>
          <w:tab w:leader="none" w:pos="7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Retail and Wholesale Products Group</w:t>
      </w:r>
    </w:p>
    <w:p>
      <w:pPr>
        <w:spacing w:after="0" w:line="21" w:lineRule="exact"/>
        <w:rPr>
          <w:rFonts w:ascii="Arial" w:cs="Arial" w:eastAsia="Arial" w:hAnsi="Arial"/>
          <w:sz w:val="20"/>
          <w:szCs w:val="20"/>
          <w:b w:val="1"/>
          <w:bCs w:val="1"/>
          <w:color w:val="auto"/>
        </w:rPr>
      </w:pPr>
    </w:p>
    <w:p>
      <w:pPr>
        <w:ind w:left="1380" w:hanging="319"/>
        <w:spacing w:after="0"/>
        <w:tabs>
          <w:tab w:leader="none" w:pos="1380"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Net sales of $39,559,000, up 1%</w:t>
      </w:r>
    </w:p>
    <w:p>
      <w:pPr>
        <w:ind w:left="1380" w:hanging="319"/>
        <w:spacing w:after="0"/>
        <w:tabs>
          <w:tab w:leader="none" w:pos="1380"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Segment operating income of $2,365,000, compared to a loss</w:t>
      </w:r>
    </w:p>
    <w:p>
      <w:pPr>
        <w:spacing w:after="0" w:line="200"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 xml:space="preserve">President and Chief Executive Officer, Daniel S. Jaffee stated, </w:t>
      </w:r>
      <w:r>
        <w:rPr>
          <w:rFonts w:ascii="Arial" w:cs="Arial" w:eastAsia="Arial" w:hAnsi="Arial"/>
          <w:sz w:val="16"/>
          <w:szCs w:val="16"/>
          <w:color w:val="auto"/>
        </w:rPr>
        <w:t>“</w:t>
      </w:r>
      <w:r>
        <w:rPr>
          <w:rFonts w:ascii="Arial" w:cs="Arial" w:eastAsia="Arial" w:hAnsi="Arial"/>
          <w:sz w:val="20"/>
          <w:szCs w:val="20"/>
          <w:color w:val="auto"/>
        </w:rPr>
        <w:t>We are pleased that sales of our private label lightweight scoopable litter products continued to see strong growth compared to the first quarter of last year. This gain can be directly attributed to both new distribution and increased sales to existing retail customers. First quarter results were notably impacted by an approximate $3,200,000 reduction in advertising expenses. As we hone our focus on the promotion of all lightweight litter products in the balance of fiscal 2018, we expect advertising expense levels similar to that of fiscal year 2017. For more detailed information on our first quarter 2018 results, please review our Form 10-Q that was filed today and join us for our next earnings teleconference on December 11</w:t>
      </w:r>
      <w:r>
        <w:rPr>
          <w:rFonts w:ascii="Arial" w:cs="Arial" w:eastAsia="Arial" w:hAnsi="Arial"/>
          <w:sz w:val="25"/>
          <w:szCs w:val="25"/>
          <w:color w:val="auto"/>
          <w:vertAlign w:val="superscript"/>
        </w:rPr>
        <w:t>th</w:t>
      </w:r>
      <w:r>
        <w:rPr>
          <w:rFonts w:ascii="Arial" w:cs="Arial" w:eastAsia="Arial" w:hAnsi="Arial"/>
          <w:sz w:val="20"/>
          <w:szCs w:val="20"/>
          <w:color w:val="auto"/>
        </w:rPr>
        <w:t>. Call details are available on our website’s ‘Events’ page.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1584960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20"/>
          </w:cols>
          <w:pgMar w:left="240" w:top="93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1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393"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 xml:space="preserve">The Company will host its first quarter fiscal 2018 earnings teleconference on </w:t>
      </w:r>
      <w:r>
        <w:rPr>
          <w:rFonts w:ascii="Arial" w:cs="Arial" w:eastAsia="Arial" w:hAnsi="Arial"/>
          <w:sz w:val="18"/>
          <w:szCs w:val="18"/>
          <w:b w:val="1"/>
          <w:bCs w:val="1"/>
          <w:color w:val="auto"/>
        </w:rPr>
        <w:t>Monday, December 11, 2017</w:t>
      </w:r>
      <w:r>
        <w:rPr>
          <w:rFonts w:ascii="Arial" w:cs="Arial" w:eastAsia="Arial" w:hAnsi="Arial"/>
          <w:sz w:val="18"/>
          <w:szCs w:val="18"/>
          <w:color w:val="auto"/>
        </w:rPr>
        <w:t xml:space="preserve"> and its second quarter teleconference on </w:t>
      </w:r>
      <w:r>
        <w:rPr>
          <w:rFonts w:ascii="Arial" w:cs="Arial" w:eastAsia="Arial" w:hAnsi="Arial"/>
          <w:sz w:val="18"/>
          <w:szCs w:val="18"/>
          <w:b w:val="1"/>
          <w:bCs w:val="1"/>
          <w:color w:val="auto"/>
        </w:rPr>
        <w:t>Monday, March 12, 2018</w:t>
      </w:r>
      <w:r>
        <w:rPr>
          <w:rFonts w:ascii="Arial" w:cs="Arial" w:eastAsia="Arial" w:hAnsi="Arial"/>
          <w:sz w:val="18"/>
          <w:szCs w:val="18"/>
          <w:color w:val="auto"/>
        </w:rPr>
        <w:t>. Both teleconferences will commence at 10:00 am, Central Time. Dial-in details will be communicated via web alert</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one week prior to the calls.</w:t>
      </w:r>
    </w:p>
    <w:p>
      <w:pPr>
        <w:spacing w:after="0" w:line="176"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color w:val="auto"/>
        </w:rPr>
        <w:t xml:space="preserve">Oil-Dri will host its Annual Meeting of Stockholders on </w:t>
      </w:r>
      <w:r>
        <w:rPr>
          <w:rFonts w:ascii="Arial" w:cs="Arial" w:eastAsia="Arial" w:hAnsi="Arial"/>
          <w:sz w:val="16"/>
          <w:szCs w:val="16"/>
          <w:b w:val="1"/>
          <w:bCs w:val="1"/>
          <w:color w:val="auto"/>
        </w:rPr>
        <w:t>Tuesday, December 12, 2017</w:t>
      </w:r>
      <w:r>
        <w:rPr>
          <w:rFonts w:ascii="Arial" w:cs="Arial" w:eastAsia="Arial" w:hAnsi="Arial"/>
          <w:sz w:val="16"/>
          <w:szCs w:val="16"/>
          <w:color w:val="auto"/>
        </w:rPr>
        <w:t xml:space="preserve"> starting at 9:30 am, Central Time. The meeting will be held at The Standard Club, 320 South Plymouth Court, Chicago, Illinois 60604. The record date for voting eligibility at the Annual Meeting was October 16, 2017.</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is a registered trademark of Oil-Dri Corporation of America.</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164"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00"/>
          </w:cols>
          <w:pgMar w:left="240" w:top="1440" w:right="259" w:bottom="1440" w:gutter="0" w:footer="0" w:header="0"/>
        </w:sectPr>
      </w:pPr>
    </w:p>
    <w:bookmarkStart w:id="6" w:name="page7"/>
    <w:bookmarkEnd w:id="6"/>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(unaudited)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320"/>
              <w:spacing w:after="0"/>
              <w:rPr>
                <w:sz w:val="20"/>
                <w:szCs w:val="20"/>
                <w:color w:val="auto"/>
              </w:rPr>
            </w:pPr>
            <w:r>
              <w:rPr>
                <w:rFonts w:ascii="Arial" w:cs="Arial" w:eastAsia="Arial" w:hAnsi="Arial"/>
                <w:sz w:val="18"/>
                <w:szCs w:val="18"/>
                <w:b w:val="1"/>
                <w:bCs w:val="1"/>
                <w:color w:val="auto"/>
              </w:rPr>
              <w:t>First Quarter Ended October 31</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66,646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66,612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(47,677)</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(45,887)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18,969</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(15,053)</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(17,679)</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3,839</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2,679</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3,050</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2,009</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5,025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5,004</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7,211</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7,138</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49"/>
        </w:trPr>
        <w:tc>
          <w:tcPr>
            <w:tcW w:w="50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433"/>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200"/>
          </w:cols>
          <w:pgMar w:left="240" w:top="1440" w:right="459" w:bottom="1440" w:gutter="0" w:footer="0" w:header="0"/>
        </w:sectPr>
      </w:pPr>
    </w:p>
    <w:bookmarkStart w:id="7" w:name="page8"/>
    <w:bookmarkEnd w:id="7"/>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 October 31</w:t>
            </w:r>
          </w:p>
        </w:tc>
        <w:tc>
          <w:tcPr>
            <w:tcW w:w="122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8,401</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15,991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18,133</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32,054</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30,971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22,759</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 xml:space="preserve">Prepaid Expenses </w:t>
            </w:r>
            <w:r>
              <w:rPr>
                <w:rFonts w:ascii="Arial" w:cs="Arial" w:eastAsia="Arial" w:hAnsi="Arial"/>
                <w:sz w:val="18"/>
                <w:szCs w:val="18"/>
                <w:b w:val="1"/>
                <w:bCs w:val="1"/>
                <w:i w:val="1"/>
                <w:iCs w:val="1"/>
                <w:color w:val="auto"/>
              </w:rPr>
              <w:t>(1)</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7,554</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6,227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88,901</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82,115</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84,251</w:t>
            </w: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81,688</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18"/>
                <w:szCs w:val="18"/>
                <w:b w:val="1"/>
                <w:bCs w:val="1"/>
                <w:i w:val="1"/>
                <w:iCs w:val="1"/>
                <w:color w:val="auto"/>
              </w:rPr>
              <w:t>(1)</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33,765</w:t>
            </w: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36,264</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206,917</w:t>
            </w:r>
          </w:p>
        </w:tc>
        <w:tc>
          <w:tcPr>
            <w:tcW w:w="3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200,067</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7,828</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6,910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15,277</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15,855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27,747</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27,327</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6,085</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9,140</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44,975</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46,826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51,060</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55,966</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128,110</w:t>
            </w: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116,774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206,917</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200,067</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First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4,045</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4,295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4,045</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4,295</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First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3,159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260" w:type="dxa"/>
            <w:vAlign w:val="bottom"/>
            <w:shd w:val="clear" w:color="auto" w:fill="CCEEFF"/>
          </w:tcPr>
          <w:p>
            <w:pPr>
              <w:spacing w:after="0"/>
              <w:rPr>
                <w:sz w:val="21"/>
                <w:szCs w:val="21"/>
                <w:color w:val="auto"/>
              </w:rPr>
            </w:pPr>
          </w:p>
        </w:tc>
        <w:tc>
          <w:tcPr>
            <w:tcW w:w="31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3,192</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3,159</w:t>
            </w:r>
          </w:p>
        </w:tc>
      </w:tr>
      <w:tr>
        <w:trPr>
          <w:trHeight w:val="27"/>
        </w:trPr>
        <w:tc>
          <w:tcPr>
            <w:tcW w:w="42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87" w:lineRule="exact"/>
        <w:rPr>
          <w:sz w:val="20"/>
          <w:szCs w:val="20"/>
          <w:color w:val="auto"/>
        </w:rPr>
      </w:pPr>
    </w:p>
    <w:p>
      <w:pPr>
        <w:ind w:right="520" w:firstLine="8"/>
        <w:spacing w:after="0" w:line="283" w:lineRule="auto"/>
        <w:tabs>
          <w:tab w:leader="none" w:pos="229"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 amounts have been retrospectively adjusted to conform to the current year presentation of current deferred income taxes required by new guidance under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xml:space="preserve">) 740, </w:t>
      </w:r>
      <w:r>
        <w:rPr>
          <w:rFonts w:ascii="Arial" w:cs="Arial" w:eastAsia="Arial" w:hAnsi="Arial"/>
          <w:sz w:val="18"/>
          <w:szCs w:val="18"/>
          <w:i w:val="1"/>
          <w:iCs w:val="1"/>
          <w:color w:val="auto"/>
        </w:rPr>
        <w:t>Balance Sheet Classification of Deferred Taxes</w:t>
      </w:r>
      <w:r>
        <w:rPr>
          <w:rFonts w:ascii="Arial" w:cs="Arial" w:eastAsia="Arial" w:hAnsi="Arial"/>
          <w:sz w:val="16"/>
          <w:szCs w:val="16"/>
          <w:i w:val="1"/>
          <w:iCs w:val="1"/>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20"/>
          </w:cols>
          <w:pgMar w:left="240" w:top="1440" w:right="239" w:bottom="1440" w:gutter="0" w:footer="0" w:header="0"/>
        </w:sectPr>
      </w:pPr>
    </w:p>
    <w:bookmarkStart w:id="8" w:name="page9"/>
    <w:bookmarkEnd w:id="8"/>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3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Three Months Ended</w:t>
            </w:r>
          </w:p>
        </w:tc>
        <w:tc>
          <w:tcPr>
            <w:tcW w:w="66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October 31</w:t>
            </w:r>
          </w:p>
        </w:tc>
        <w:tc>
          <w:tcPr>
            <w:tcW w:w="66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34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2,009</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Receivable</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in Inventories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Payable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(825)</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 Accrued Expenses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(4,045)</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Purchase of Investment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Investing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(4,554)</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9,095</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18,629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8,401</w:t>
            </w:r>
          </w:p>
        </w:tc>
        <w:tc>
          <w:tcPr>
            <w:tcW w:w="34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15,991</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2020-01-19T01:05:20Z</dcterms:created>
  <dcterms:modified xsi:type="dcterms:W3CDTF">2020-01-19T01:05:20Z</dcterms:modified>
</cp:coreProperties>
</file>