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7"/>
              </w:rPr>
              <w:t>UNITED STATES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40" w:type="dxa"/>
            <w:vAlign w:val="bottom"/>
            <w:gridSpan w:val="11"/>
          </w:tcPr>
          <w:p>
            <w:pPr>
              <w:jc w:val="center"/>
              <w:ind w:right="2500"/>
              <w:spacing w:after="0"/>
              <w:rPr>
                <w:sz w:val="20"/>
                <w:szCs w:val="20"/>
                <w:color w:val="auto"/>
              </w:rPr>
            </w:pPr>
            <w:r>
              <w:rPr>
                <w:rFonts w:ascii="Times New Roman" w:cs="Times New Roman" w:eastAsia="Times New Roman" w:hAnsi="Times New Roman"/>
                <w:sz w:val="18"/>
                <w:szCs w:val="18"/>
                <w:color w:val="auto"/>
                <w:w w:val="99"/>
              </w:rPr>
              <w:t>SECURITIES AND EXCHANGE COMMISSION</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Washington, D.C. 20549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(Mark One)</w:t>
            </w:r>
          </w:p>
        </w:tc>
        <w:tc>
          <w:tcPr>
            <w:tcW w:w="25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FORM 10-Q</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9"/>
            <w:vMerge w:val="continue"/>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20" w:type="dxa"/>
            <w:vAlign w:val="bottom"/>
            <w:gridSpan w:val="14"/>
          </w:tcPr>
          <w:p>
            <w:pPr>
              <w:jc w:val="center"/>
              <w:ind w:right="680"/>
              <w:spacing w:after="0"/>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540" w:type="dxa"/>
            <w:vAlign w:val="bottom"/>
            <w:gridSpan w:val="11"/>
          </w:tcPr>
          <w:p>
            <w:pPr>
              <w:jc w:val="center"/>
              <w:ind w:right="2460"/>
              <w:spacing w:after="0" w:line="181" w:lineRule="exact"/>
              <w:rPr>
                <w:sz w:val="20"/>
                <w:szCs w:val="20"/>
                <w:color w:val="auto"/>
              </w:rPr>
            </w:pPr>
            <w:r>
              <w:rPr>
                <w:rFonts w:ascii="Times New Roman" w:cs="Times New Roman" w:eastAsia="Times New Roman" w:hAnsi="Times New Roman"/>
                <w:sz w:val="18"/>
                <w:szCs w:val="18"/>
                <w:color w:val="auto"/>
              </w:rPr>
              <w:t>For the Quarterly Period Ended January 31, 2026</w:t>
            </w:r>
          </w:p>
        </w:tc>
        <w:tc>
          <w:tcPr>
            <w:tcW w:w="0" w:type="dxa"/>
            <w:vAlign w:val="bottom"/>
          </w:tcPr>
          <w:p>
            <w:pPr>
              <w:spacing w:after="0"/>
              <w:rPr>
                <w:sz w:val="1"/>
                <w:szCs w:val="1"/>
                <w:color w:val="auto"/>
              </w:rPr>
            </w:pPr>
          </w:p>
        </w:tc>
      </w:tr>
      <w:tr>
        <w:trPr>
          <w:trHeight w:val="234"/>
        </w:trPr>
        <w:tc>
          <w:tcPr>
            <w:tcW w:w="38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or</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20" w:type="dxa"/>
            <w:vAlign w:val="bottom"/>
            <w:gridSpan w:val="14"/>
          </w:tcPr>
          <w:p>
            <w:pPr>
              <w:jc w:val="center"/>
              <w:ind w:right="680"/>
              <w:spacing w:after="0"/>
              <w:rPr>
                <w:sz w:val="20"/>
                <w:szCs w:val="20"/>
                <w:color w:val="auto"/>
              </w:rPr>
            </w:pPr>
            <w:r>
              <w:rPr>
                <w:rFonts w:ascii="Times New Roman" w:cs="Times New Roman" w:eastAsia="Times New Roman" w:hAnsi="Times New Roman"/>
                <w:sz w:val="18"/>
                <w:szCs w:val="18"/>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gridSpan w:val="1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For the transition period from _____________ to ______________</w:t>
            </w:r>
          </w:p>
        </w:tc>
        <w:tc>
          <w:tcPr>
            <w:tcW w:w="0" w:type="dxa"/>
            <w:vAlign w:val="bottom"/>
          </w:tcPr>
          <w:p>
            <w:pPr>
              <w:spacing w:after="0"/>
              <w:rPr>
                <w:sz w:val="1"/>
                <w:szCs w:val="1"/>
                <w:color w:val="auto"/>
              </w:rPr>
            </w:pPr>
          </w:p>
        </w:tc>
      </w:tr>
      <w:tr>
        <w:trPr>
          <w:trHeight w:val="513"/>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gridSpan w:val="9"/>
          </w:tcPr>
          <w:p>
            <w:pPr>
              <w:jc w:val="center"/>
              <w:ind w:right="3040"/>
              <w:spacing w:after="0"/>
              <w:rPr>
                <w:sz w:val="20"/>
                <w:szCs w:val="20"/>
                <w:color w:val="auto"/>
              </w:rPr>
            </w:pPr>
            <w:r>
              <w:rPr>
                <w:rFonts w:ascii="Times New Roman" w:cs="Times New Roman" w:eastAsia="Times New Roman" w:hAnsi="Times New Roman"/>
                <w:sz w:val="18"/>
                <w:szCs w:val="18"/>
                <w:color w:val="auto"/>
                <w:w w:val="99"/>
              </w:rPr>
              <w:t>Commission File Number: 001-12622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80" w:type="dxa"/>
            <w:vAlign w:val="bottom"/>
            <w:gridSpan w:val="10"/>
          </w:tcPr>
          <w:p>
            <w:pPr>
              <w:jc w:val="center"/>
              <w:ind w:right="2960"/>
              <w:spacing w:after="0"/>
              <w:rPr>
                <w:sz w:val="20"/>
                <w:szCs w:val="20"/>
                <w:color w:val="auto"/>
              </w:rPr>
            </w:pPr>
            <w:r>
              <w:rPr>
                <w:rFonts w:ascii="Times New Roman" w:cs="Times New Roman" w:eastAsia="Times New Roman" w:hAnsi="Times New Roman"/>
                <w:sz w:val="18"/>
                <w:szCs w:val="18"/>
                <w:color w:val="auto"/>
                <w:w w:val="99"/>
              </w:rPr>
              <w:t>OIL-DRI CORPORATION OF AMERICA</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4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540" w:type="dxa"/>
            <w:vAlign w:val="bottom"/>
            <w:gridSpan w:val="11"/>
          </w:tcPr>
          <w:p>
            <w:pPr>
              <w:jc w:val="center"/>
              <w:ind w:right="248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640" w:type="dxa"/>
            <w:vAlign w:val="bottom"/>
            <w:gridSpan w:val="4"/>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gridSpan w:val="4"/>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36-2048898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7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(State or other jurisdiction of incorporation or</w:t>
            </w: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0" w:type="dxa"/>
            <w:vAlign w:val="bottom"/>
            <w:gridSpan w:val="6"/>
          </w:tcPr>
          <w:p>
            <w:pPr>
              <w:jc w:val="center"/>
              <w:ind w:right="1290"/>
              <w:spacing w:after="0"/>
              <w:rPr>
                <w:sz w:val="20"/>
                <w:szCs w:val="20"/>
                <w:color w:val="auto"/>
              </w:rPr>
            </w:pPr>
            <w:r>
              <w:rPr>
                <w:rFonts w:ascii="Times New Roman" w:cs="Times New Roman" w:eastAsia="Times New Roman" w:hAnsi="Times New Roman"/>
                <w:sz w:val="18"/>
                <w:szCs w:val="18"/>
                <w:color w:val="auto"/>
                <w:w w:val="97"/>
              </w:rPr>
              <w:t>organization)</w:t>
            </w:r>
          </w:p>
        </w:tc>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7"/>
          </w:tcPr>
          <w:p>
            <w:pPr>
              <w:jc w:val="center"/>
              <w:ind w:right="410"/>
              <w:spacing w:after="0"/>
              <w:rPr>
                <w:sz w:val="20"/>
                <w:szCs w:val="20"/>
                <w:color w:val="auto"/>
              </w:rPr>
            </w:pPr>
            <w:r>
              <w:rPr>
                <w:rFonts w:ascii="Times New Roman" w:cs="Times New Roman" w:eastAsia="Times New Roman" w:hAnsi="Times New Roman"/>
                <w:sz w:val="18"/>
                <w:szCs w:val="18"/>
                <w:color w:val="auto"/>
                <w:w w:val="98"/>
              </w:rPr>
              <w:t>410 North Michigan Avenue, Suite 400</w:t>
            </w: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center"/>
              <w:ind w:right="750"/>
              <w:spacing w:after="0"/>
              <w:rPr>
                <w:sz w:val="20"/>
                <w:szCs w:val="20"/>
                <w:color w:val="auto"/>
              </w:rPr>
            </w:pPr>
            <w:r>
              <w:rPr>
                <w:rFonts w:ascii="Times New Roman" w:cs="Times New Roman" w:eastAsia="Times New Roman" w:hAnsi="Times New Roman"/>
                <w:sz w:val="18"/>
                <w:szCs w:val="18"/>
                <w:color w:val="auto"/>
                <w:w w:val="99"/>
              </w:rPr>
              <w:t>Chicago, Illinois</w:t>
            </w:r>
          </w:p>
        </w:tc>
        <w:tc>
          <w:tcPr>
            <w:tcW w:w="56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20" w:type="dxa"/>
            <w:vAlign w:val="bottom"/>
            <w:gridSpan w:val="6"/>
          </w:tcPr>
          <w:p>
            <w:pPr>
              <w:jc w:val="center"/>
              <w:ind w:left="1610"/>
              <w:spacing w:after="0"/>
              <w:rPr>
                <w:sz w:val="20"/>
                <w:szCs w:val="20"/>
                <w:color w:val="auto"/>
              </w:rPr>
            </w:pPr>
            <w:r>
              <w:rPr>
                <w:rFonts w:ascii="Times New Roman" w:cs="Times New Roman" w:eastAsia="Times New Roman" w:hAnsi="Times New Roman"/>
                <w:sz w:val="18"/>
                <w:szCs w:val="18"/>
                <w:color w:val="auto"/>
              </w:rPr>
              <w:t>60611-4213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40" w:type="dxa"/>
            <w:vAlign w:val="bottom"/>
            <w:gridSpan w:val="7"/>
          </w:tcPr>
          <w:p>
            <w:pPr>
              <w:jc w:val="center"/>
              <w:ind w:right="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80" w:type="dxa"/>
            <w:vAlign w:val="bottom"/>
            <w:gridSpan w:val="12"/>
          </w:tcPr>
          <w:p>
            <w:pPr>
              <w:ind w:left="180"/>
              <w:spacing w:after="0" w:line="194" w:lineRule="exact"/>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40" w:type="dxa"/>
            <w:vAlign w:val="bottom"/>
            <w:tcBorders>
              <w:right w:val="single" w:sz="8" w:color="auto"/>
            </w:tcBorders>
            <w:gridSpan w:val="6"/>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80" w:type="dxa"/>
            <w:vAlign w:val="bottom"/>
            <w:gridSpan w:val="1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80" w:type="dxa"/>
            <w:vAlign w:val="bottom"/>
            <w:gridSpan w:val="7"/>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ODC</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3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1282" w:right="459" w:bottom="1440" w:gutter="0" w:footer="0" w:header="0"/>
        </w:sectPr>
      </w:pPr>
    </w:p>
    <w:p>
      <w:pPr>
        <w:spacing w:after="0" w:line="8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o</w:t>
      </w:r>
    </w:p>
    <w:p>
      <w:pPr>
        <w:spacing w:after="0" w:line="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o</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2">
            <w:col w:w="7120" w:space="720"/>
            <w:col w:w="3280"/>
          </w:cols>
          <w:pgMar w:left="320" w:top="1282" w:right="459" w:bottom="1440" w:gutter="0" w:footer="0" w:header="0"/>
          <w:type w:val="continuous"/>
        </w:sectPr>
      </w:pPr>
    </w:p>
    <w:p>
      <w:pPr>
        <w:spacing w:after="0" w:line="236"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2026, 10,246,067 shares of the registrant's Common Stock and 4,233,940 shares of the registrant's Class B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2"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120" w:type="dxa"/>
            <w:vAlign w:val="bottom"/>
            <w:gridSpan w:val="3"/>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940" w:type="dxa"/>
            <w:vAlign w:val="bottom"/>
          </w:tcPr>
          <w:p>
            <w:pPr>
              <w:spacing w:after="0"/>
              <w:rPr>
                <w:sz w:val="24"/>
                <w:szCs w:val="24"/>
                <w:color w:val="auto"/>
              </w:rPr>
            </w:pPr>
          </w:p>
        </w:tc>
        <w:tc>
          <w:tcPr>
            <w:tcW w:w="812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60" w:type="dxa"/>
            <w:vAlign w:val="bottom"/>
            <w:gridSpan w:val="7"/>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6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720" w:type="dxa"/>
            <w:vAlign w:val="bottom"/>
            <w:gridSpan w:val="5"/>
            <w:shd w:val="clear" w:color="auto" w:fill="CCEEFF"/>
          </w:tcPr>
          <w:p>
            <w:pPr>
              <w:jc w:val="center"/>
              <w:ind w:left="145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5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57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3:</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5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5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33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57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32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57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32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57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32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5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38</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under the heading "Management’s Discussion and Analysis of Financial Condition and Results of Operations," and elsewhere in this report and in other documents that we file with the U.S. Securities and Exchange Commission ("SEC"),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“endeavor,” "outlook," "forecast," "would," "could," "should," "project," "intend," "plan," "continue," "believe," "seek," "estimate," "anticipate," "may," "assume," "potential," "foresee," "predict," "possible," "commit," "design," "strive," and variations of such words and similar references to future periods.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herein, in our Annual Report on Form 10-K for the fiscal year ended July 31, 2025, and from time to time in our other filings with the SEC.</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is a registered trademark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6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(in thousands, except for share and per share amounts, 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60" w:type="dxa"/>
            <w:vAlign w:val="bottom"/>
            <w:vMerge w:val="restart"/>
          </w:tcPr>
          <w:p>
            <w:pPr>
              <w:ind w:left="2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6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net of allowances of $1,375 and $1,493 at January 31, 2026 and July 31, 2025, respectively</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 Assets</w:t>
            </w:r>
          </w:p>
        </w:tc>
        <w:tc>
          <w:tcPr>
            <w:tcW w:w="732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148,726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16,017</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Trademarks, trade names and patents, net of accumulated amortization of $731 and $693 at January 31, 2026 and</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6,592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July 31, 2025, respectively</w:t>
            </w: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Customer list, net of accumulated amortization of $9,842 and $9,278 at January 31, 2026 and July 31, 2025,</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214,294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1"/>
                <w:szCs w:val="21"/>
                <w:color w:val="auto"/>
              </w:rPr>
            </w:pPr>
          </w:p>
        </w:tc>
        <w:tc>
          <w:tcPr>
            <w:tcW w:w="8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left="3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OIL-DRI CORPORATION OF AMERICA Condensed Consolidated Balance Sheet (continued) </w:t>
      </w:r>
      <w:r>
        <w:rPr>
          <w:rFonts w:ascii="Times New Roman" w:cs="Times New Roman" w:eastAsia="Times New Roman" w:hAnsi="Times New Roman"/>
          <w:sz w:val="18"/>
          <w:szCs w:val="18"/>
          <w:color w:val="auto"/>
        </w:rPr>
        <w:t>(in thousands, except for share and per share amounts, unaudited)</w:t>
      </w:r>
    </w:p>
    <w:p>
      <w:pPr>
        <w:spacing w:after="0" w:line="200" w:lineRule="exact"/>
        <w:rPr>
          <w:sz w:val="20"/>
          <w:szCs w:val="20"/>
          <w:color w:val="auto"/>
        </w:rPr>
      </w:pPr>
    </w:p>
    <w:p>
      <w:pPr>
        <w:spacing w:after="0" w:line="22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July 31,</w:t>
            </w:r>
          </w:p>
        </w:tc>
      </w:tr>
      <w:tr>
        <w:trPr>
          <w:trHeight w:val="241"/>
        </w:trPr>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249" w:lineRule="exact"/>
        <w:rPr>
          <w:sz w:val="20"/>
          <w:szCs w:val="20"/>
          <w:color w:val="auto"/>
        </w:rPr>
      </w:pPr>
    </w:p>
    <w:p>
      <w:pPr>
        <w:sectPr>
          <w:pgSz w:w="11900" w:h="16838" w:orient="portrait"/>
          <w:cols w:equalWidth="0" w:num="2">
            <w:col w:w="7980" w:space="300"/>
            <w:col w:w="2940"/>
          </w:cols>
          <w:pgMar w:left="320" w:top="887" w:right="359" w:bottom="1440" w:gutter="0" w:footer="0" w:header="0"/>
        </w:sect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10,218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33,220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51,217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69,187</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Long-term debt, net of unamortized debt issuance costs of $163 and $183 at January 31, 2026 and July 31, 2025,</w:t>
            </w: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38,837</w:t>
            </w: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40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64,460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115,677</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7)</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662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Common Stock, par value $.10 per share, issued 15,338,761 shares at January 31, 2026</w:t>
            </w: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1,534</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15,276,261 shares at July 31, 2025</w:t>
            </w:r>
          </w:p>
        </w:tc>
        <w:tc>
          <w:tcPr>
            <w:tcW w:w="4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Class B Stock, par value $.10 per share, issued 4,650,484 shares at January 31, 2026</w:t>
            </w: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4,650,484 shares at July 31, 2025</w:t>
            </w:r>
          </w:p>
        </w:tc>
        <w:tc>
          <w:tcPr>
            <w:tcW w:w="40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68,980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300,343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Treasury Stock, at cost (5,090,285 Common and 416,544 Class B shares at</w:t>
            </w: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(99,947)</w:t>
            </w: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2026 and 4,902,881 Common and 380,628 Class B shares at July 31, 2025)</w:t>
            </w: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272,450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259,060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388,127</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4" w:name="page5"/>
    <w:bookmarkEnd w:id="4"/>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(in thousands, except for share and per share amounts, unaudited)</w:t>
      </w:r>
    </w:p>
    <w:p>
      <w:pPr>
        <w:spacing w:after="0" w:line="114"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For the Six Months Ended January</w:t>
      </w: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238,223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244,859</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(170,426)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(169,631)</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67,797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75,228</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(35,150)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(36,556)</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32,647</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38,672</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23"/>
        </w:trPr>
        <w:tc>
          <w:tcPr>
            <w:tcW w:w="56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36"/>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33,488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36,462</w:t>
            </w:r>
          </w:p>
        </w:tc>
      </w:tr>
      <w:tr>
        <w:trPr>
          <w:trHeight w:val="229"/>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28,025</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Class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Class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0.385</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0.310</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Stock</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0.288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0.233</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sectPr>
      </w:pPr>
    </w:p>
    <w:bookmarkStart w:id="5" w:name="page6"/>
    <w:bookmarkEnd w:id="5"/>
    <w:p>
      <w:pPr>
        <w:jc w:val="center"/>
        <w:ind w:left="1620" w:right="19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OIL-DRI CORPORATION OF AMERICA Condensed Consolidated Statements of Comprehensive Income </w:t>
      </w:r>
      <w:r>
        <w:rPr>
          <w:rFonts w:ascii="Times New Roman" w:cs="Times New Roman" w:eastAsia="Times New Roman" w:hAnsi="Times New Roman"/>
          <w:sz w:val="18"/>
          <w:szCs w:val="18"/>
          <w:color w:val="auto"/>
        </w:rPr>
        <w:t>(in thousands, unaudited)</w:t>
      </w:r>
    </w:p>
    <w:p>
      <w:pPr>
        <w:spacing w:after="0" w:line="325"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For the Six Months Ended January</w:t>
      </w: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28,025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w:t>
            </w:r>
          </w:p>
        </w:tc>
      </w:tr>
      <w:tr>
        <w:trPr>
          <w:trHeight w:val="256"/>
        </w:trPr>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expenses (net of tax)</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8"/>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28,131</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9479"/>
          </w:cols>
          <w:pgMar w:left="980" w:top="887" w:right="1440" w:bottom="9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887" w:right="1440" w:bottom="983" w:gutter="0" w:footer="0" w:header="0"/>
          <w:type w:val="continuous"/>
        </w:sectPr>
      </w:pPr>
    </w:p>
    <w:bookmarkStart w:id="6" w:name="page7"/>
    <w:bookmarkEnd w:id="6"/>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(in thousands, except for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83185</wp:posOffset>
            </wp:positionV>
            <wp:extent cx="1885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08"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For the Three Months Ended January</w:t>
      </w: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117,737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116,914</w:t>
            </w:r>
          </w:p>
        </w:tc>
      </w:tr>
      <w:tr>
        <w:trPr>
          <w:trHeight w:val="229"/>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(85,435)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(82,466)</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32,302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r>
      <w:tr>
        <w:trPr>
          <w:trHeight w:val="229"/>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(16,966)</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15,693</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3"/>
        </w:trPr>
        <w:tc>
          <w:tcPr>
            <w:tcW w:w="56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12,569</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r>
      <w:tr>
        <w:trPr>
          <w:trHeight w:val="129"/>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0.2050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0.1550</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0.1530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0.1165</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sectPr>
      </w:pPr>
    </w:p>
    <w:bookmarkStart w:id="7" w:name="page8"/>
    <w:bookmarkEnd w:id="7"/>
    <w:p>
      <w:pPr>
        <w:jc w:val="center"/>
        <w:ind w:left="1620" w:right="19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OIL-DRI CORPORATION OF AMERICA Condensed Consolidated Statements of Comprehensive Income </w:t>
      </w:r>
      <w:r>
        <w:rPr>
          <w:rFonts w:ascii="Times New Roman" w:cs="Times New Roman" w:eastAsia="Times New Roman" w:hAnsi="Times New Roman"/>
          <w:sz w:val="18"/>
          <w:szCs w:val="18"/>
          <w:color w:val="auto"/>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62230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7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For the Three Months Ended January</w:t>
      </w: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expenses (net of tax)</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8"/>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12,719</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sectPr>
      </w:pPr>
    </w:p>
    <w:bookmarkStart w:id="8" w:name="page9"/>
    <w:bookmarkEnd w:id="8"/>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(in thousands, except for share amounts, unaudited)</w:t>
      </w:r>
    </w:p>
    <w:p>
      <w:pPr>
        <w:spacing w:after="0" w:line="128"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For the Three Months Ended January 31</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98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9"/>
                <w:szCs w:val="9"/>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9"/>
                <w:szCs w:val="9"/>
                <w:color w:val="auto"/>
              </w:rPr>
            </w:pPr>
          </w:p>
        </w:tc>
        <w:tc>
          <w:tcPr>
            <w:tcW w:w="920" w:type="dxa"/>
            <w:vAlign w:val="bottom"/>
            <w:vMerge w:val="restart"/>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14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0"/>
                <w:szCs w:val="10"/>
                <w:color w:val="auto"/>
              </w:rPr>
            </w:pPr>
          </w:p>
        </w:tc>
        <w:tc>
          <w:tcPr>
            <w:tcW w:w="11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&amp; Class B</w:t>
            </w: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rPr>
              <w:t>&amp; Class B</w:t>
            </w:r>
          </w:p>
        </w:tc>
        <w:tc>
          <w:tcPr>
            <w:tcW w:w="8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 w:type="dxa"/>
            <w:vAlign w:val="bottom"/>
          </w:tcPr>
          <w:p>
            <w:pPr>
              <w:spacing w:after="0"/>
              <w:rPr>
                <w:sz w:val="10"/>
                <w:szCs w:val="10"/>
                <w:color w:val="auto"/>
              </w:rPr>
            </w:pPr>
          </w:p>
        </w:tc>
        <w:tc>
          <w:tcPr>
            <w:tcW w:w="920" w:type="dxa"/>
            <w:vAlign w:val="bottom"/>
          </w:tcPr>
          <w:p>
            <w:pPr>
              <w:jc w:val="center"/>
              <w:ind w:right="59"/>
              <w:spacing w:after="0" w:line="12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2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October 31, 2024</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19,865,970</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(5,270,270)</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1,986</w:t>
            </w: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61,755</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246,525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(87,001)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727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223,992</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12,921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12,921</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(2,097)</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475</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50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1,390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2025</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19,866,445</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(5,275,972)</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1,987</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63,195</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257,349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(87,232)</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561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235,860</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October 31, 2025</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19,978,445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(5,401,248)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1,998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67,597</w:t>
            </w:r>
          </w:p>
        </w:tc>
        <w:tc>
          <w:tcPr>
            <w:tcW w:w="160" w:type="dxa"/>
            <w:vAlign w:val="bottom"/>
          </w:tcPr>
          <w:p>
            <w:pPr>
              <w:spacing w:after="0"/>
              <w:rPr>
                <w:sz w:val="14"/>
                <w:szCs w:val="14"/>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290,523</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(94,516)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925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266,527</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12,569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12,569</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(2,749)</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(104,881)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(5,404)</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10,800</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1,357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1,357</w:t>
            </w:r>
          </w:p>
        </w:tc>
        <w:tc>
          <w:tcPr>
            <w:tcW w:w="0" w:type="dxa"/>
            <w:vAlign w:val="bottom"/>
          </w:tcPr>
          <w:p>
            <w:pPr>
              <w:spacing w:after="0"/>
              <w:rPr>
                <w:sz w:val="1"/>
                <w:szCs w:val="1"/>
                <w:color w:val="auto"/>
              </w:rPr>
            </w:pPr>
          </w:p>
        </w:tc>
      </w:tr>
      <w:tr>
        <w:trPr>
          <w:trHeight w:val="201"/>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2026</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19,989,245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(5,506,829)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68,980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300,343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(99,947)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1,075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272,450</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rPr>
              <w:t>For the Six Months Ended January 31</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9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color w:val="auto"/>
              </w:rPr>
              <w:t>Number of Shares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rPr>
              <w:t>Common &amp; Class</w:t>
            </w: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color w:val="auto"/>
              </w:rPr>
              <w:t>Common &amp;</w:t>
            </w:r>
          </w:p>
        </w:tc>
        <w:tc>
          <w:tcPr>
            <w:tcW w:w="11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color w:val="auto"/>
              </w:rPr>
              <w:t>Additional Paid-</w:t>
            </w:r>
          </w:p>
        </w:tc>
        <w:tc>
          <w:tcPr>
            <w:tcW w:w="100" w:type="dxa"/>
            <w:vAlign w:val="bottom"/>
          </w:tcPr>
          <w:p>
            <w:pPr>
              <w:spacing w:after="0"/>
              <w:rPr>
                <w:sz w:val="9"/>
                <w:szCs w:val="9"/>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color w:val="auto"/>
                <w:w w:val="98"/>
              </w:rPr>
              <w:t>Retained</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color w:val="auto"/>
              </w:rPr>
              <w:t>Accumulated Other</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auto"/>
              </w:rPr>
              <w:t>Total Stockholders'</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rPr>
              <w:t>Treasury Stock</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auto"/>
              </w:rPr>
              <w:t>Treasury Stock</w:t>
            </w:r>
          </w:p>
        </w:tc>
        <w:tc>
          <w:tcPr>
            <w:tcW w:w="8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color w:val="auto"/>
              </w:rPr>
              <w:t>Comprehensive</w:t>
            </w: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 Stock</w:t>
            </w:r>
          </w:p>
        </w:tc>
        <w:tc>
          <w:tcPr>
            <w:tcW w:w="940" w:type="dxa"/>
            <w:vAlign w:val="bottom"/>
            <w:gridSpan w:val="2"/>
            <w:vMerge w:val="continue"/>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Class B Stock</w:t>
            </w:r>
          </w:p>
        </w:tc>
        <w:tc>
          <w:tcPr>
            <w:tcW w:w="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In Capital</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8"/>
              </w:rPr>
              <w:t>Earnings</w:t>
            </w: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Income</w:t>
            </w: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2024</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19,825,170</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(5,230,529)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1,982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60,031</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232,247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(84,441)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769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210,588</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29,297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29,297</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(4,195)</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(33,421)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0" w:type="dxa"/>
            <w:vAlign w:val="bottom"/>
          </w:tcPr>
          <w:p>
            <w:pPr>
              <w:spacing w:after="0"/>
              <w:rPr>
                <w:sz w:val="1"/>
                <w:szCs w:val="1"/>
                <w:color w:val="auto"/>
              </w:rPr>
            </w:pPr>
          </w:p>
        </w:tc>
      </w:tr>
      <w:tr>
        <w:trPr>
          <w:trHeight w:val="122"/>
        </w:trPr>
        <w:tc>
          <w:tcPr>
            <w:tcW w:w="204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41,275</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(12,022)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622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2,542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2,542</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2025</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19,866,445</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(5,275,972)</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1,987</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63,195</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257,349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(87,232)</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561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235,860</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2025</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19,926,745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(5,283,509)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1,993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66,138</w:t>
            </w:r>
          </w:p>
        </w:tc>
        <w:tc>
          <w:tcPr>
            <w:tcW w:w="160" w:type="dxa"/>
            <w:vAlign w:val="bottom"/>
          </w:tcPr>
          <w:p>
            <w:pPr>
              <w:spacing w:after="0"/>
              <w:rPr>
                <w:sz w:val="14"/>
                <w:szCs w:val="14"/>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277,500</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(87,540)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969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259,060</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28,025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28,025</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(5,182)</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(222,120)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(12,364)</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62,500</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2,805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2,805</w:t>
            </w: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2026</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19,989,245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(5,506,829)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68,980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300,343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(99,947)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1,075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272,450</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887" w:right="879" w:bottom="1440" w:gutter="0" w:footer="0" w:header="0"/>
        </w:sectPr>
      </w:pPr>
    </w:p>
    <w:bookmarkStart w:id="9" w:name="page10"/>
    <w:bookmarkEnd w:id="9"/>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For the Six Months Ended January</w:t>
            </w: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71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7"/>
                <w:szCs w:val="17"/>
                <w:color w:val="auto"/>
              </w:rPr>
            </w:pPr>
          </w:p>
        </w:tc>
        <w:tc>
          <w:tcPr>
            <w:tcW w:w="122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28,025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w:t>
            </w:r>
          </w:p>
        </w:tc>
      </w:tr>
      <w:tr>
        <w:trPr>
          <w:trHeight w:val="230"/>
        </w:trPr>
        <w:tc>
          <w:tcPr>
            <w:tcW w:w="20" w:type="dxa"/>
            <w:vAlign w:val="bottom"/>
          </w:tcPr>
          <w:p>
            <w:pPr>
              <w:spacing w:after="0"/>
              <w:rPr>
                <w:sz w:val="19"/>
                <w:szCs w:val="19"/>
                <w:color w:val="auto"/>
              </w:rPr>
            </w:pPr>
          </w:p>
        </w:tc>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r>
      <w:tr>
        <w:trPr>
          <w:trHeight w:val="230"/>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Loss on impairment of patent applications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Loss on the disposals of property, plant and equipment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30"/>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r>
      <w:tr>
        <w:trPr>
          <w:trHeight w:val="230"/>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(2,099)</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28,435</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32,330</w:t>
            </w:r>
          </w:p>
        </w:tc>
      </w:tr>
      <w:tr>
        <w:trPr>
          <w:trHeight w:val="236"/>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0"/>
        </w:trPr>
        <w:tc>
          <w:tcPr>
            <w:tcW w:w="20" w:type="dxa"/>
            <w:vAlign w:val="bottom"/>
            <w:shd w:val="clear" w:color="auto" w:fill="CCEEFF"/>
          </w:tcPr>
          <w:p>
            <w:pPr>
              <w:spacing w:after="0"/>
              <w:rPr>
                <w:sz w:val="18"/>
                <w:szCs w:val="18"/>
                <w:color w:val="auto"/>
              </w:rPr>
            </w:pPr>
          </w:p>
        </w:tc>
        <w:tc>
          <w:tcPr>
            <w:tcW w:w="7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9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180" w:type="dxa"/>
            <w:vAlign w:val="bottom"/>
            <w:tcBorders>
              <w:top w:val="single" w:sz="8" w:color="CCEEFF"/>
            </w:tcBorders>
            <w:gridSpan w:val="3"/>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(14,817)</w:t>
            </w:r>
          </w:p>
        </w:tc>
        <w:tc>
          <w:tcPr>
            <w:tcW w:w="2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(17,806)</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of a business</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(14,817)</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(17,921)</w:t>
            </w:r>
          </w:p>
        </w:tc>
      </w:tr>
      <w:tr>
        <w:trPr>
          <w:trHeight w:val="236"/>
        </w:trPr>
        <w:tc>
          <w:tcPr>
            <w:tcW w:w="2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7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(12,364)</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(17,241)</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(16,358)</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20" w:type="dxa"/>
            <w:vAlign w:val="bottom"/>
          </w:tcPr>
          <w:p>
            <w:pPr>
              <w:spacing w:after="0"/>
              <w:rPr>
                <w:sz w:val="19"/>
                <w:szCs w:val="19"/>
                <w:color w:val="auto"/>
              </w:rPr>
            </w:pPr>
          </w:p>
        </w:tc>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50,458</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24,481</w:t>
            </w:r>
          </w:p>
        </w:tc>
      </w:tr>
      <w:tr>
        <w:trPr>
          <w:trHeight w:val="223"/>
        </w:trPr>
        <w:tc>
          <w:tcPr>
            <w:tcW w:w="20" w:type="dxa"/>
            <w:vAlign w:val="bottom"/>
          </w:tcPr>
          <w:p>
            <w:pPr>
              <w:spacing w:after="0"/>
              <w:rPr>
                <w:sz w:val="19"/>
                <w:szCs w:val="19"/>
                <w:color w:val="auto"/>
              </w:rPr>
            </w:pPr>
          </w:p>
        </w:tc>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46,933</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22,589</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887" w:right="8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63"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For the Six Months Ended January</w:t>
      </w: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Converted to unrestricted cash</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29"/>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Final settlement of acquisition of Ultra Pet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cash flows: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payments, net of amounts capitalized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payments, net of refunds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capital expenditures in accrued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34"/>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and accrued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right="4920" w:firstLine="8"/>
        <w:spacing w:after="0" w:line="534" w:lineRule="auto"/>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included in our Annual Report on Form 10-K for the fiscal year ended July 31, 2025.</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six months ended January 31, 2026, are not necessarily an indication of the results that may be expected for the fiscal year ending July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2024, we announced that our Board of Directors (our "Board") approved a two-for-one stock split in the form of a stock dividend. Stockholders of record as of the close of business on December 20, 2024 received a distribution of one additional share of Common Stock, par value $0.10 per share ("Common Stock"), for each share of Common Stock held by such stockholder and one additional share of Class B Stock, par value $0.10 per share ("Class B Stock"), for each share of Class B Stock held by such stockholder as of the record date. The additional shares were distributed on January 3, 2025, and our Common Stock began trading on a post-split basis on January 6, 2025.</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Amended and Restated Oil-Dri Corporation of America 2006 Long Term Incentive Plan, as amended (the "2006 Plan"), as well as to the outstanding awards under the 2006 Plan.</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noted, all Common Stock and Class B Stock share and per share amounts contained in the unaudited Condensed Consolidated Financial Statements have been retroactively adjusted, where applicable, to reflect the stock split. The impact on the unaudited Condensed Consolidated Balance Sheet and unaudited Condensed Consolidated Statements of Stockholders' Equity herein was an increase of $0.8 million to Common Stock and Class B Stock, with an offsetting decrease in Additional Paid-In-Capital, which has been retroactively adjusted as if the stock split had occurred at the beginning of the earliest period presented. The change in treasury shares reflects the stock split on shares held by wholly owned subsidiaries which are presented as treasury shares on a consolidated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Use of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liabilities, and disclosure of contingent assets and liabilities as of the date of the unaudited Condensed Consolidated Financial Statements and the reported amounts of revenues and expenses during the reporting period, as well as the related disclosures. Estimates and assumptions about future events cannot be made with certainty. All of our estimates and assumptions are revised periodically.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which are summarized in detail in our Annual Report on Form 10-K for the fiscal year ended July 31, 2025, have not materially changed. The following is a description of certain of our significant accounting policies: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control of finished products is transferred to our customers. We record an allowance for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 We also include an allowance for expected cash discounts to be taken by our customers. Accounts receivable was $70.2 million, $69.4 million, and $62.2 million as of January 31, 2026, July 31, 2025, and July 31, 2024, respectively.</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includes depreciable assets such as building, machinery, equipment, furniture, vehicles,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capitalized spare parts. These assets are depreciated using the straight-line method over their estimated useful lives. Major improvements and betterments are capitalized, while maintenance and repairs that do not extend the useful life or increase functionality of the applicable assets are expensed as incurred. Interest expense may also be capitalized for assets that require a period of time to prepare them for their intended use.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assets are carried at cost on the unaudited Condensed Consolidated Balance Sheet and are reviewed for possible impairment on an annual basis or when circumstances indicate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is as follows (in thousands):</w:t>
      </w:r>
    </w:p>
    <w:p>
      <w:pPr>
        <w:spacing w:after="0" w:line="5"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7"/>
                <w:szCs w:val="17"/>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July 31,</w:t>
            </w:r>
          </w:p>
        </w:tc>
      </w:tr>
      <w:tr>
        <w:trPr>
          <w:trHeight w:val="241"/>
        </w:trPr>
        <w:tc>
          <w:tcPr>
            <w:tcW w:w="58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362,455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356,079</w:t>
            </w: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(213,729)</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(206,375)</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148,726</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149,704</w:t>
            </w:r>
          </w:p>
        </w:tc>
      </w:tr>
    </w:tbl>
    <w:p>
      <w:pPr>
        <w:spacing w:after="0" w:line="200" w:lineRule="exact"/>
        <w:rPr>
          <w:sz w:val="20"/>
          <w:szCs w:val="20"/>
          <w:color w:val="auto"/>
        </w:rPr>
      </w:pPr>
    </w:p>
    <w:p>
      <w:pPr>
        <w:spacing w:after="0" w:line="3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Land, Mining Property and Mineral Rights. </w:t>
      </w:r>
      <w:r>
        <w:rPr>
          <w:rFonts w:ascii="Times New Roman" w:cs="Times New Roman" w:eastAsia="Times New Roman" w:hAnsi="Times New Roman"/>
          <w:sz w:val="18"/>
          <w:szCs w:val="18"/>
          <w:color w:val="auto"/>
        </w:rPr>
        <w:t>We surface mine sorbent minerals on property that we either own or lease as part of our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goods sold in the period they are incurred. We defer and amortize the pre-production overburden removal costs during the development phase associated with opening a new mine.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survey and real estate fees. The costs of obtaining mineral rights,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Reclamation. </w:t>
      </w: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The reclamation assets are depreciated over the estimated useful lives of the respective mines. The reclamation liabilities are increased based on a yearly accretion charge over the estimated useful lives of the respective mines.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ASC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provides that a contract is, or contains, a lease if it conveys the right to control the use of an identified asset and, accordingly,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liability and a related right-of-use ("ROU") asset is recognized at the commencement date on our unaudited Condensed Consolidated Balance Sheet. As provided in ASC 842, we have elected not to apply these measurements and recognition requirements to short-term leases (i.e., leases with a term of 12 months or less). Short-term leases will not be recorded as ROU assets or lease liabilities on our unaudited Condensed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leases provide for variable lease payments that vary due to changes in facts and circumstances occurring after the commencement date, other than the passage of time. Variable lease payments that are dependent on an index or rate (e.g., the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generally consists of the promise to sell finished products to wholesalers, distributors, retailers or consumers and our obligations have an original duration of one year or less. Control of the finished products are generally transferred upon shipment to, or receipt at, customers' locations, as determined by the specific terms of the orders. We have one customer who requested that the title and risk of loss transfer when production is completed. For that customer, we produce and physically segregate finished goods in our warehouses. We have completed our performance obligation when control is transferred, and we recognize revenue accordingly. Taxes collected from customers and remitted to governmental authorities are excluded from net sales. Sales returns are not material nor are warranties or any related obligations.</w:t>
      </w:r>
    </w:p>
    <w:p>
      <w:pPr>
        <w:spacing w:after="0" w:line="214" w:lineRule="exact"/>
        <w:rPr>
          <w:sz w:val="20"/>
          <w:szCs w:val="20"/>
          <w:color w:val="auto"/>
        </w:rPr>
      </w:pPr>
    </w:p>
    <w:p>
      <w:pPr>
        <w:ind w:right="2120"/>
        <w:spacing w:after="0" w:line="276" w:lineRule="auto"/>
        <w:rPr>
          <w:sz w:val="20"/>
          <w:szCs w:val="20"/>
          <w:color w:val="auto"/>
        </w:rPr>
      </w:pPr>
      <w:r>
        <w:rPr>
          <w:rFonts w:ascii="Times New Roman" w:cs="Times New Roman" w:eastAsia="Times New Roman" w:hAnsi="Times New Roman"/>
          <w:sz w:val="17"/>
          <w:szCs w:val="17"/>
          <w:color w:val="auto"/>
        </w:rPr>
        <w:t>We have an unconditional right to consideration under the payment terms specified in the contracts upon completion of the performance obligation. We may require certain customers to provide payment in advance of product shipment. We recorded a</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liability for these advance payments of $0.3 million as of January 31, 2026 and July 31, 2025. This liability is reported in Other within Accrued Expenses on the unaudited Condensed Consolidated Balance Sheet. There was $0.3 million revenue recognized during the six months ended January 31, 2026, that was included in the liability for advance payments at the beginning of the period.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routinely commit to one-time or ongoing trade promotion programs directly with consumers, such as coupon programs, and also with customers, such as volume discounts, cooperative marketing and other arrangements. We estimate and accrue the expected costs of these programs. These costs are considered variable consideration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include salaries, wages and benefits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Current and Noncurrent Liabilities. </w:t>
      </w:r>
      <w:r>
        <w:rPr>
          <w:rFonts w:ascii="Times New Roman" w:cs="Times New Roman" w:eastAsia="Times New Roman" w:hAnsi="Times New Roman"/>
          <w:sz w:val="18"/>
          <w:szCs w:val="18"/>
          <w:color w:val="auto"/>
        </w:rPr>
        <w:t>Other liabilities include the accruals for general expenses not yet paid, cash collected not yet vouchered,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postretirement health benefit obligations, and reclamation liability accrual. Current liabilities are due to be paid within the next 12 months. Other noncurrent liabilities on the unaudited Condensed Consolidated Balance Sheet include $6.0 million and $5.9 million for the reclamation liability as of January 31, 2026, and July 31, 2025, respectively, and $1.7 million and $1.6 million for the postretirement health benefit as of January 31, 2026 and July 31, 2025,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and Regulations.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2023-07"). These amendments primarily require enhanced disclosures about significant segment expenses regularly provided to the chief operating decision maker and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Refer to Note 10 - Operating Segments of this Form 10-Q for the enhanced disclosures added as a result of the adoption of ASU 2023-07.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are currently evaluating the impact that the adoption of this guidance will have on our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The pronouncement expands the disclosure requirements for expenses, specifically by providing more detailed information about the types of expenses in commonly presented expense captions. ASU 2024-03 is effective for fiscal years beginning after December 15, 2026, and interim periods within fiscal years beginning after December 15, 2027. We are currently evaluating the impact that ASU 2024-03 will have on the Company's consolidated financial statement disclosures.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("ASU 2025-05"), which provides a practical expedient that assumes current conditions as of the balance sheet date remain unchanged when developing forecasts for estimating expected credit losses. Under ASU 2025-05, an entity is required to disclose that it has elected to use the practical expedient and the election should be applied prospectively. ASU 2025-05 is effective for fiscal years, and interim periods within those years, beginning after December 15, 2025, with early adoption permitted. We do not expect the amendments to have a material impact on the Company's consolidated financial statement disclosures, however we will continue to assess through the adoption period.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("ASU 2025-06"), which provides clarification and improvements to the accounting for internal-use software costs under ASC 350-40, Intangibles – Goodwill and Other – Internal-Use Software. The guidance includes amendments related to capitalization of implementation costs, subsequent measurement, and related presentation and disclosure requirements. ASU 2025-06 is effective for fiscal years beginning after December 15, 2027, including interim periods within those fiscal years. We are currently evaluating the impact that ASU 2025-06 will have on the Company's consolidated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("ASU 2025-10"). This amendment establishes authoritative guidance on the recognition, measurement and presentation of government grants received by business entities. ASU 2025-10 is effective for fiscal years beginning after December 15, 2028, including interim periods within those years, with early adoption permitted. Given the nature of our existing government-related arrangements, we do not expect the amendments to have a material impact on the Company's consolidated financial statement disclosures, however we will continue to assess through the adoption period.</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("ASU 2025-11"). These amendments are intended to improve the navigability of interim reporting guidance, clarify when ASC 270 applies, and provide a comprehensive list of required interim disclosures including a requirement for entities to disclose events that occur after the end of the most recent annual reporting period that have a material impact on the entity. ASU 2025-11 is effective for interim periods within fiscal years beginning after December 15, 2027, with early adoption permitted. We are currently evaluating the impact that ASU 2025-11 will have on the Company's consolidated financial statement disclosures.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("ASU 2025-12") which includes amendments for technical corrections, clarifications and revisions to existing codification intended to improve consistency of application, remove ambiguity and enhance overall usability. These improvements do not introduce new accounting requirements and are not expected to result in significant changes to accounting practices. ASU 2025-12 is effective for annual periods beginning after December 15, 2026, including interim periods within those fiscal years. We are currently evaluating the impact that ASU 2025-12 will have on the Company's consolidated financial statement disclosures.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utilize the two-class method to report our earnings per share ("EPS"). The two-class method is an earnings allocation formula that determines EPS for each class of common stock according to dividends declared and participation rights in undistributed earnings. Common Stock is entitled to cash dividends equal to at least 133.33% on a per share basis of the cash dividend paid on Class B Stock. In computing EPS, the Company has allocated dividends declared to shares of Common Stock and Class B Stock based on amounts declared for each class of stock and 33.33% more of the undistributed earnings have been allocated to shares of Common Stock than to shares of Class B Stock on a per share basis. Common Stock is entitled to one vote per share and Class B Stock is entitled to ten votes per share. Common Stock have no conversion rights. Class B Stock is convertible by the holders thereof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common stock. Diluted EPS for Common Stock is derived utilizing the most dilutive result of the if-converted, treasury stock and two-class methods. In our case, the if-converted method is more dilutive than the two-class method and because our unvested restricted stock participates in dividends and is therefore anti-dilutive the treasury stock method does not apply. For Class B Stock, diluted EPS is derived utilizing the two-class method since, as with our Common Stock, our unvested restricted stock participates in dividends and is therefore anti-dilutive, making the treasury stock method inapplicable. The reverse treasury stock method is also inapplicable to both classes as we have no obligation to repurchase our Common Stock or Class B Stock. In both the if-converted and two-class methods, diluted EPS is computed by dividing net earnings by the weighted-average number of shares and potential shares outstanding during the period, taking into consideration different potential shares outstanding based on the method used. Dilution for Common Stock takes into consideration the effect of both unvested restricted shares and convertible shares of Class B Stock, unless such shares are anti-dilutive, in which case they are not considered. Dilution for Class B Stock takes into consideration the effect of unvested restricted shares, unless such shares are anti-dilutive, in which case they are not considered.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the calculation of basic and diluted EPS.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36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Six Months Ended January 31, 2026</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For the Six Months Ended January 31, 2025</w:t>
            </w:r>
          </w:p>
        </w:tc>
      </w:tr>
      <w:tr>
        <w:trPr>
          <w:trHeight w:val="164"/>
        </w:trPr>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6"/>
          </w:tcPr>
          <w:p>
            <w:pPr>
              <w:jc w:val="center"/>
              <w:ind w:left="37"/>
              <w:spacing w:after="0"/>
              <w:rPr>
                <w:sz w:val="20"/>
                <w:szCs w:val="20"/>
                <w:color w:val="auto"/>
              </w:rPr>
            </w:pPr>
            <w:r>
              <w:rPr>
                <w:rFonts w:ascii="Times New Roman" w:cs="Times New Roman" w:eastAsia="Times New Roman" w:hAnsi="Times New Roman"/>
                <w:sz w:val="13"/>
                <w:szCs w:val="13"/>
                <w:color w:val="auto"/>
                <w:w w:val="96"/>
              </w:rPr>
              <w:t>(in thousands, except for per share data)</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6"/>
          </w:tcPr>
          <w:p>
            <w:pPr>
              <w:jc w:val="center"/>
              <w:ind w:left="457"/>
              <w:spacing w:after="0"/>
              <w:rPr>
                <w:sz w:val="20"/>
                <w:szCs w:val="20"/>
                <w:color w:val="auto"/>
              </w:rPr>
            </w:pPr>
            <w:r>
              <w:rPr>
                <w:rFonts w:ascii="Times New Roman" w:cs="Times New Roman" w:eastAsia="Times New Roman" w:hAnsi="Times New Roman"/>
                <w:sz w:val="13"/>
                <w:szCs w:val="13"/>
                <w:color w:val="auto"/>
                <w:w w:val="96"/>
              </w:rPr>
              <w:t>(in thousands, except for per share data)</w:t>
            </w:r>
          </w:p>
        </w:tc>
        <w:tc>
          <w:tcPr>
            <w:tcW w:w="780" w:type="dxa"/>
            <w:vAlign w:val="bottom"/>
          </w:tcPr>
          <w:p>
            <w:pPr>
              <w:spacing w:after="0"/>
              <w:rPr>
                <w:sz w:val="14"/>
                <w:szCs w:val="14"/>
                <w:color w:val="auto"/>
              </w:rPr>
            </w:pPr>
          </w:p>
        </w:tc>
      </w:tr>
      <w:tr>
        <w:trPr>
          <w:trHeight w:val="180"/>
        </w:trPr>
        <w:tc>
          <w:tcPr>
            <w:tcW w:w="37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6"/>
              </w:rPr>
              <w:t>Class B</w:t>
            </w:r>
          </w:p>
        </w:tc>
      </w:tr>
      <w:tr>
        <w:trPr>
          <w:trHeight w:val="17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28,025</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21,404</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6,621</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29,297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22,316</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6,981</w:t>
            </w:r>
          </w:p>
        </w:tc>
      </w:tr>
      <w:tr>
        <w:trPr>
          <w:trHeight w:val="170"/>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Distributed and undistributed earnings on restricted shares</w:t>
            </w:r>
          </w:p>
        </w:tc>
        <w:tc>
          <w:tcPr>
            <w:tcW w:w="680" w:type="dxa"/>
            <w:vAlign w:val="bottom"/>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4"/>
              </w:rPr>
              <w:t>(1,197)</w:t>
            </w:r>
          </w:p>
        </w:tc>
        <w:tc>
          <w:tcPr>
            <w:tcW w:w="18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18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4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(1,412)</w:t>
            </w:r>
          </w:p>
        </w:tc>
        <w:tc>
          <w:tcPr>
            <w:tcW w:w="16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18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w:t>
            </w:r>
          </w:p>
        </w:tc>
      </w:tr>
      <w:tr>
        <w:trPr>
          <w:trHeight w:val="20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available to stockholders</w:t>
            </w:r>
          </w:p>
        </w:tc>
        <w:tc>
          <w:tcPr>
            <w:tcW w:w="68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26,828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20,542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27,885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(Numerator)</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20,542</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6,286</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21,390</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6,495</w:t>
            </w:r>
          </w:p>
        </w:tc>
      </w:tr>
      <w:tr>
        <w:trPr>
          <w:trHeight w:val="17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 (Denominator)</w:t>
            </w:r>
          </w:p>
        </w:tc>
        <w:tc>
          <w:tcPr>
            <w:tcW w:w="6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9,901</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4,028</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9,870</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3,986</w:t>
            </w:r>
          </w:p>
        </w:tc>
      </w:tr>
      <w:tr>
        <w:trPr>
          <w:trHeight w:val="20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EPS</w:t>
            </w: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2.07</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1.56</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2.17</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6"/>
        </w:trPr>
        <w:tc>
          <w:tcPr>
            <w:tcW w:w="37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Effect of dilution - Net Income </w:t>
            </w:r>
            <w:r>
              <w:rPr>
                <w:rFonts w:ascii="Times New Roman" w:cs="Times New Roman" w:eastAsia="Times New Roman" w:hAnsi="Times New Roman"/>
                <w:sz w:val="16"/>
                <w:szCs w:val="16"/>
                <w:color w:val="auto"/>
                <w:vertAlign w:val="superscript"/>
              </w:rPr>
              <w:t>(1)</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6,286</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6,495</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assuming dilution (Numerator)</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26,828</w:t>
            </w:r>
          </w:p>
        </w:tc>
        <w:tc>
          <w:tcPr>
            <w:tcW w:w="18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27,885</w:t>
            </w:r>
          </w:p>
        </w:tc>
        <w:tc>
          <w:tcPr>
            <w:tcW w:w="18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6,495</w:t>
            </w:r>
          </w:p>
        </w:tc>
      </w:tr>
      <w:tr>
        <w:trPr>
          <w:trHeight w:val="208"/>
        </w:trPr>
        <w:tc>
          <w:tcPr>
            <w:tcW w:w="3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37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Effect of dilution - Shares </w:t>
            </w:r>
            <w:r>
              <w:rPr>
                <w:rFonts w:ascii="Times New Roman" w:cs="Times New Roman" w:eastAsia="Times New Roman" w:hAnsi="Times New Roman"/>
                <w:sz w:val="16"/>
                <w:szCs w:val="16"/>
                <w:color w:val="auto"/>
                <w:vertAlign w:val="superscript"/>
              </w:rPr>
              <w:t>(1)</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4,028</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assuming dilution (Denominator)</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13,929</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13,856</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3,986</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EPS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1.93</w:t>
            </w:r>
          </w:p>
        </w:tc>
        <w:tc>
          <w:tcPr>
            <w:tcW w:w="18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1.63</w:t>
            </w:r>
          </w:p>
        </w:tc>
      </w:tr>
    </w:tbl>
    <w:p>
      <w:pPr>
        <w:spacing w:after="0" w:line="22" w:lineRule="exact"/>
        <w:rPr>
          <w:sz w:val="20"/>
          <w:szCs w:val="20"/>
          <w:color w:val="auto"/>
        </w:rPr>
      </w:pPr>
    </w:p>
    <w:p>
      <w:pPr>
        <w:ind w:left="20" w:right="180" w:firstLine="6"/>
        <w:spacing w:after="0"/>
        <w:tabs>
          <w:tab w:leader="none" w:pos="147" w:val="left"/>
        </w:tabs>
        <w:numPr>
          <w:ilvl w:val="0"/>
          <w:numId w:val="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impact of 288,083 unvested shares of Common Stock and 139,276 unvested shares of Class B Stock were anti-dilutive therefore not included in the calculation of diluted EPS for the six months ended January 31, 2026. The impact of 254,192 unvested shares of Common Stock and 116,949 unvested shares of Class B Stock were anti-dilutive, and therefore not included in the calculation of diluted EPS for the six months ended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-193675</wp:posOffset>
            </wp:positionV>
            <wp:extent cx="15005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-193675</wp:posOffset>
            </wp:positionV>
            <wp:extent cx="1500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36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 January 31, 2026</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January 31, 2025</w:t>
            </w:r>
          </w:p>
        </w:tc>
      </w:tr>
      <w:tr>
        <w:trPr>
          <w:trHeight w:val="164"/>
        </w:trPr>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6"/>
          </w:tcPr>
          <w:p>
            <w:pPr>
              <w:jc w:val="center"/>
              <w:ind w:left="37"/>
              <w:spacing w:after="0"/>
              <w:rPr>
                <w:sz w:val="20"/>
                <w:szCs w:val="20"/>
                <w:color w:val="auto"/>
              </w:rPr>
            </w:pPr>
            <w:r>
              <w:rPr>
                <w:rFonts w:ascii="Times New Roman" w:cs="Times New Roman" w:eastAsia="Times New Roman" w:hAnsi="Times New Roman"/>
                <w:sz w:val="13"/>
                <w:szCs w:val="13"/>
                <w:color w:val="auto"/>
                <w:w w:val="96"/>
              </w:rPr>
              <w:t>(in thousands, except for per share data)</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6"/>
          </w:tcPr>
          <w:p>
            <w:pPr>
              <w:jc w:val="center"/>
              <w:ind w:left="457"/>
              <w:spacing w:after="0"/>
              <w:rPr>
                <w:sz w:val="20"/>
                <w:szCs w:val="20"/>
                <w:color w:val="auto"/>
              </w:rPr>
            </w:pPr>
            <w:r>
              <w:rPr>
                <w:rFonts w:ascii="Times New Roman" w:cs="Times New Roman" w:eastAsia="Times New Roman" w:hAnsi="Times New Roman"/>
                <w:sz w:val="13"/>
                <w:szCs w:val="13"/>
                <w:color w:val="auto"/>
                <w:w w:val="96"/>
              </w:rPr>
              <w:t>(in thousands, except for per share data)</w:t>
            </w:r>
          </w:p>
        </w:tc>
        <w:tc>
          <w:tcPr>
            <w:tcW w:w="780" w:type="dxa"/>
            <w:vAlign w:val="bottom"/>
          </w:tcPr>
          <w:p>
            <w:pPr>
              <w:spacing w:after="0"/>
              <w:rPr>
                <w:sz w:val="14"/>
                <w:szCs w:val="14"/>
                <w:color w:val="auto"/>
              </w:rPr>
            </w:pPr>
          </w:p>
        </w:tc>
      </w:tr>
      <w:tr>
        <w:trPr>
          <w:trHeight w:val="180"/>
        </w:trPr>
        <w:tc>
          <w:tcPr>
            <w:tcW w:w="37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6"/>
              </w:rPr>
              <w:t>Class B</w:t>
            </w:r>
          </w:p>
        </w:tc>
      </w:tr>
      <w:tr>
        <w:trPr>
          <w:trHeight w:val="17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12,569</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9,594</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12,921</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9,855</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3,066</w:t>
            </w:r>
          </w:p>
        </w:tc>
      </w:tr>
      <w:tr>
        <w:trPr>
          <w:trHeight w:val="17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Distributed and undistributed earnings on restricted shares</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r>
      <w:tr>
        <w:trPr>
          <w:trHeight w:val="20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available to stockholders</w:t>
            </w:r>
          </w:p>
        </w:tc>
        <w:tc>
          <w:tcPr>
            <w:tcW w:w="68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12,095</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9,245</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12,323</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9,449</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2,874</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(Numerator)</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9,245</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9,449</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2,874</w:t>
            </w:r>
          </w:p>
        </w:tc>
      </w:tr>
      <w:tr>
        <w:trPr>
          <w:trHeight w:val="17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 (Denominator)</w:t>
            </w:r>
          </w:p>
        </w:tc>
        <w:tc>
          <w:tcPr>
            <w:tcW w:w="6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9,884</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4,048</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9,895</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4,004</w:t>
            </w:r>
          </w:p>
        </w:tc>
      </w:tr>
      <w:tr>
        <w:trPr>
          <w:trHeight w:val="20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EPS</w:t>
            </w: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0.94</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0.70</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0.95</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5"/>
        </w:trPr>
        <w:tc>
          <w:tcPr>
            <w:tcW w:w="37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Effect of dilution - Net Income </w:t>
            </w:r>
            <w:r>
              <w:rPr>
                <w:rFonts w:ascii="Times New Roman" w:cs="Times New Roman" w:eastAsia="Times New Roman" w:hAnsi="Times New Roman"/>
                <w:sz w:val="16"/>
                <w:szCs w:val="16"/>
                <w:color w:val="auto"/>
                <w:vertAlign w:val="superscript"/>
              </w:rPr>
              <w:t>(1)</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2,874</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assuming dilution (Numerator)</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12,095</w:t>
            </w:r>
          </w:p>
        </w:tc>
        <w:tc>
          <w:tcPr>
            <w:tcW w:w="18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12,323</w:t>
            </w:r>
          </w:p>
        </w:tc>
        <w:tc>
          <w:tcPr>
            <w:tcW w:w="18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2,874</w:t>
            </w:r>
          </w:p>
        </w:tc>
      </w:tr>
      <w:tr>
        <w:trPr>
          <w:trHeight w:val="208"/>
        </w:trPr>
        <w:tc>
          <w:tcPr>
            <w:tcW w:w="3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37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Effect of dilution - Shares </w:t>
            </w:r>
            <w:r>
              <w:rPr>
                <w:rFonts w:ascii="Times New Roman" w:cs="Times New Roman" w:eastAsia="Times New Roman" w:hAnsi="Times New Roman"/>
                <w:sz w:val="16"/>
                <w:szCs w:val="16"/>
                <w:color w:val="auto"/>
                <w:vertAlign w:val="superscript"/>
              </w:rPr>
              <w:t>(1)</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4,048</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4,004</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assuming dilution (Denominator)</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13,932</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13,899</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4,004</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EPS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0.87</w:t>
            </w:r>
          </w:p>
        </w:tc>
        <w:tc>
          <w:tcPr>
            <w:tcW w:w="18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0.70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0.89</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0.72</w:t>
            </w:r>
          </w:p>
        </w:tc>
      </w:tr>
    </w:tbl>
    <w:p>
      <w:pPr>
        <w:spacing w:after="0" w:line="22" w:lineRule="exact"/>
        <w:rPr>
          <w:sz w:val="20"/>
          <w:szCs w:val="20"/>
          <w:color w:val="auto"/>
        </w:rPr>
      </w:pPr>
    </w:p>
    <w:p>
      <w:pPr>
        <w:ind w:left="20" w:right="380" w:firstLine="6"/>
        <w:spacing w:after="0" w:line="249" w:lineRule="auto"/>
        <w:tabs>
          <w:tab w:leader="none" w:pos="147"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impact of 245,326 unvested shares of Common Stock and 103,461 unvested shares of Class B Stock were anti-dilutive therefore not included in the calculation of diluted EPS for the three months ended January 31, 2026. The impact of 250,151 unvested shares of Common Stock and 105,024 unvested shares of Class B Stock were anti-dilutive, and therefore not included in the calculation of diluted EPS for the three months ended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-292100</wp:posOffset>
            </wp:positionV>
            <wp:extent cx="15005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-292100</wp:posOffset>
            </wp:positionV>
            <wp:extent cx="15005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88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29,744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29,401</w:t>
            </w:r>
          </w:p>
        </w:tc>
      </w:tr>
      <w:tr>
        <w:trPr>
          <w:trHeight w:val="230"/>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w:t>
            </w:r>
          </w:p>
        </w:tc>
      </w:tr>
      <w:tr>
        <w:trPr>
          <w:trHeight w:val="230"/>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29"/>
        </w:trPr>
        <w:tc>
          <w:tcPr>
            <w:tcW w:w="188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48"/>
        </w:trPr>
        <w:tc>
          <w:tcPr>
            <w:tcW w:w="18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53,753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51,594</w:t>
            </w:r>
          </w:p>
        </w:tc>
      </w:tr>
      <w:tr>
        <w:trPr>
          <w:trHeight w:val="20"/>
        </w:trPr>
        <w:tc>
          <w:tcPr>
            <w:tcW w:w="188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The Company maintains reserves against inventory to reduce the</w:t>
      </w:r>
    </w:p>
    <w:p>
      <w:pPr>
        <w:sectPr>
          <w:pgSz w:w="11900" w:h="16838" w:orient="portrait"/>
          <w:cols w:equalWidth="0" w:num="1">
            <w:col w:w="11240"/>
          </w:cols>
          <w:pgMar w:left="320" w:top="1132"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carrying value to the expected net realizable value. These reserves are based upon a combination of factors including historical issues and market trends.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reserves were $3.9 million as of January 31, 2026 and $3.7 million as of July 31, 2025.</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equivalents are classified as Level 1 of the fair value hierarchy because they are valued using quoted market prices in active markets. These cash instruments are primarily money market funds and are included in cash and cash equivalents on the unaudited Condensed Consolidated Balance Sheet. We had $28.8 million in cash equivalents as of January 31, 2026, and $35.3 million in cash equivalents as of July 31, 2025.</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Balances of accounts receivable, short-term investments and accounts payable approximated their fair values as of January 31, 2026, and July 31, 2025, due to the short maturity and nature of those balances.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 reported at outstanding face value, less unamortized debt issuance costs. The estimated fair value of debt, including current maturities, was $40.8 million and $40.3 million as of January 31, 2026, and July 31, 2025, respectively. The fair value was estimated using the exit price notion of fair value and is classified as Level 2. See Note 8 of the Notes to the unaudited Condensed Consolidated Financial Statements for further information about such debt.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AND 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intangible assets are mainly comprised of customer lists, patents, trademarks, trade names and goodwill.</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amortize customer lists on a straight-line basis over a useful life of 18 years and patents on a straight-line basis over periods ranging from 7 to 20 years. Estimated intangible amortization for fiscal year 2026 is $1.2 million. Estimated intangible amortization for each of the next five fiscal years is $1.2 million.</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Trademarks and trade names acquired via acquisitions, with a carrying value of $5.6 million, were determined to have an indefinite life and are not amortized.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triggering events in fiscal years 2026 or 2025 that would indicate a new impairment analysis is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are as follows (in thousands):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5"/>
        </w:trPr>
        <w:tc>
          <w:tcPr>
            <w:tcW w:w="14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320" w:type="dxa"/>
            <w:vAlign w:val="bottom"/>
          </w:tcPr>
          <w:p>
            <w:pPr>
              <w:spacing w:after="0"/>
              <w:rPr>
                <w:sz w:val="24"/>
                <w:szCs w:val="24"/>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400" w:type="dxa"/>
            <w:vAlign w:val="bottom"/>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140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r>
      <w:tr>
        <w:trPr>
          <w:trHeight w:val="229"/>
        </w:trPr>
        <w:tc>
          <w:tcPr>
            <w:tcW w:w="140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Commissions and Employee Benefits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20,532</w:t>
            </w:r>
          </w:p>
        </w:tc>
      </w:tr>
      <w:tr>
        <w:trPr>
          <w:trHeight w:val="229"/>
        </w:trPr>
        <w:tc>
          <w:tcPr>
            <w:tcW w:w="140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30"/>
        </w:trPr>
        <w:tc>
          <w:tcPr>
            <w:tcW w:w="140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29"/>
        </w:trPr>
        <w:tc>
          <w:tcPr>
            <w:tcW w:w="140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30"/>
        </w:trPr>
        <w:tc>
          <w:tcPr>
            <w:tcW w:w="140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Georgia Landfill Modification Reserve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9"/>
        </w:trPr>
        <w:tc>
          <w:tcPr>
            <w:tcW w:w="140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3"/>
        </w:trPr>
        <w:tc>
          <w:tcPr>
            <w:tcW w:w="14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33,220</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44,864</w:t>
            </w:r>
          </w:p>
        </w:tc>
      </w:tr>
      <w:tr>
        <w:trPr>
          <w:trHeight w:val="21"/>
        </w:trPr>
        <w:tc>
          <w:tcPr>
            <w:tcW w:w="14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CONTINGENCIES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various legal actions that arise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fiscal year 2023, we recorded a reserve of $2.5 million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Work began on the modifications during fiscal year 2024. We increased the total estimated cost by $0.6 million and $0.7 million in fiscal years 2024 and 2025, respectively. In fiscal year 2026, we decreased the total estimated cost by $0.2 million resulting in a total $3.6 million expense related to this matter. The modification work is expected to be completed during fiscal year 2026 and, as inherent uncertainties exist in these estimates, we will monitor through the completion of the modification but do not expect that remaining costs in excess of amounts accrued would have a material impact on the Company’s results of operations, financial condition and cash flows.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an Amended and Restated Note Purchase and Private Shelf Agreement (as amended, the "Note Agreement") with PGIM, Inc. ("Prudential") and certain existing noteholders and purchasers affiliated with Prudential named therein. Pursuant to the Note Agreement, (i) on May 15, 2020, we issued $10 million in aggregate principal amount of our 3.95% Series B Senior Notes due May 15, 2030 (the "Series B Senior Notes"), of which $5 million aggregate principal amount remained outstanding as of January 31, 2026, (ii) on December 16, 2021, we issued an additional $25 million in aggregate principal amount of our 3.25% Series C Senior Notes due December 16, 2031 (the "Series C Senior Notes"), all of which remained outstanding as of January 31, 2026, and (iii) on April 30, 2024 we issued $10 million in aggregate principal amount of our 6.47% Series D Senior Notes due April 30, 2033 (the "Series D Senior Notes"), all of which remained outstanding as of January 31, 2026. The Note Agreement also provides us with the ability to request, from time to time until September 21, 2026, that Prudential affiliate(s) purchase, at Prudential’s discretion and on an uncommitted basis, additional senior unsecured notes of Oil-Dri (the “Shelf Notes,” and collectively with the Series B Senior Notes, Series C Senior Notes, and Series D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the Credit Agreement, dated as of January 27, 2006 (as previously amended, the “Credit Agreement”), among us, BMO Harris Bank N.A (“BMO Bank”), and certain of our domestic subsidiaries. The Credit Agreement provides for a $75 million unsecured revolving credit facility, including a maximum of $20 million for letters of credit.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237" w:lineRule="auto"/>
        <w:rPr>
          <w:sz w:val="20"/>
          <w:szCs w:val="20"/>
          <w:color w:val="auto"/>
        </w:rPr>
      </w:pPr>
      <w:r>
        <w:rPr>
          <w:rFonts w:ascii="Times New Roman" w:cs="Times New Roman" w:eastAsia="Times New Roman" w:hAnsi="Times New Roman"/>
          <w:sz w:val="18"/>
          <w:szCs w:val="18"/>
          <w:color w:val="auto"/>
        </w:rPr>
        <w:t>The Credit Agreement contains restrictive covenants that, among other things and under various conditions, limit our ability to incur additional indebtedness or to dispose of assets. These restrictive covenants include certain financial covenants such as a covenant to maintain a maximum debt to earnings ratio and to maintain a certain fixed charge coverage ratio. On September 30, 2024, the Company entered into the Eighth Amendment to Credit Agreement (the “Eighth Amendment”). The Eighth Amendment amends the Credit Agreement to, among other things: (i) increase the amount the Company may borrow from BMO Bank from time to time pursuant to its revolving line of credit from up to $45 million to up to $75 million; (ii) increase the aggregate maximum amount of letters of credit from up to $10 million to up to $20 million; (iii) add an accordion provision to allow the Company to increase the revolving line of credit by up to an additional $50 million, subject to the terms and conditions set forth in the Eighth Amendment; (iv) extend the termination date to September 30, 2029; and (v) increase certain restrictive covenant thresholds, including but not limited to, an increase to the permitted acquisitions threshold in the restricted covenants from a cumulative total of $45 million to $100 million.</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January 31, 2026, and July 31, 2025, we were in compliance with the restrictive covenants under the Credit Agreement. There were no new borrowings during the second quarter of fiscal year 2026. As of January 31, 2026, we do not have any outstanding borrowings under the Credit Agreement. We had $3.0 million of letters of credit outstanding under the Credit Agreement as of both January 31, 2026, and July 31, 2025.</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states that we may select a variable interest rate based on either the Bank of Montreal ("BMO") prime rate or an adjusted Secured Overnight Financing ("SOFR")-based rate, plus a margin that varies depending on our debt to earnings ratio, or a fixed rate as agreed between us and BMO. As of January 31, 2026, the variable rates would have been 6.75% for the BMO prime-based rate or 5.06% for the adjusted SOFR-based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for the six months ended January 31, 2026. Operating lease costs are included in Cost of Goods Sold or SG&amp;A expenses in the unaudited Condensed Consolidated Statements of Operations based on the nature of the lease. The following table summarizes total lease costs for our operating leases (in thousands):</w:t>
      </w:r>
    </w:p>
    <w:p>
      <w:pPr>
        <w:spacing w:after="0" w:line="311"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7"/>
                <w:szCs w:val="17"/>
                <w:color w:val="auto"/>
              </w:rPr>
            </w:pPr>
          </w:p>
        </w:tc>
        <w:tc>
          <w:tcPr>
            <w:tcW w:w="23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1"/>
        </w:trPr>
        <w:tc>
          <w:tcPr>
            <w:tcW w:w="3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00" w:type="dxa"/>
            <w:vAlign w:val="bottom"/>
            <w:tcBorders>
              <w:bottom w:val="single" w:sz="8" w:color="auto"/>
            </w:tcBorders>
          </w:tcPr>
          <w:p>
            <w:pPr>
              <w:spacing w:after="0"/>
              <w:rPr>
                <w:sz w:val="20"/>
                <w:szCs w:val="20"/>
                <w:color w:val="auto"/>
              </w:rPr>
            </w:pPr>
          </w:p>
        </w:tc>
      </w:tr>
      <w:tr>
        <w:trPr>
          <w:trHeight w:val="239"/>
        </w:trPr>
        <w:tc>
          <w:tcPr>
            <w:tcW w:w="3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5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2,460</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18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794</w:t>
            </w:r>
          </w:p>
        </w:tc>
        <w:tc>
          <w:tcPr>
            <w:tcW w:w="1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360"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7"/>
                <w:szCs w:val="17"/>
                <w:color w:val="auto"/>
              </w:rPr>
            </w:pPr>
          </w:p>
        </w:tc>
        <w:tc>
          <w:tcPr>
            <w:tcW w:w="23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1"/>
        </w:trPr>
        <w:tc>
          <w:tcPr>
            <w:tcW w:w="3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55"/>
        </w:trPr>
        <w:tc>
          <w:tcPr>
            <w:tcW w:w="3700" w:type="dxa"/>
            <w:vAlign w:val="bottom"/>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1,072</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2,125</w:t>
            </w: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measurement of operating lease liabilities:</w:t>
            </w:r>
          </w:p>
        </w:tc>
        <w:tc>
          <w:tcPr>
            <w:tcW w:w="12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175"/>
        </w:trPr>
        <w:tc>
          <w:tcPr>
            <w:tcW w:w="37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Right-of-use assets obtained in exchange for new</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2,381</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2,381</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00" w:type="dxa"/>
            <w:vAlign w:val="bottom"/>
          </w:tcPr>
          <w:p>
            <w:pPr>
              <w:spacing w:after="0"/>
              <w:rPr>
                <w:sz w:val="20"/>
                <w:szCs w:val="20"/>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July 31, 2025</w:t>
            </w:r>
          </w:p>
        </w:tc>
      </w:tr>
      <w:tr>
        <w:trPr>
          <w:trHeight w:val="223"/>
        </w:trPr>
        <w:tc>
          <w:tcPr>
            <w:tcW w:w="680" w:type="dxa"/>
            <w:vAlign w:val="bottom"/>
          </w:tcPr>
          <w:p>
            <w:pPr>
              <w:spacing w:after="0"/>
              <w:rPr>
                <w:sz w:val="19"/>
                <w:szCs w:val="19"/>
                <w:color w:val="auto"/>
              </w:rPr>
            </w:pPr>
          </w:p>
        </w:tc>
        <w:tc>
          <w:tcPr>
            <w:tcW w:w="5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4.7 years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4.8 years</w:t>
            </w:r>
          </w:p>
        </w:tc>
      </w:tr>
      <w:tr>
        <w:trPr>
          <w:trHeight w:val="230"/>
        </w:trPr>
        <w:tc>
          <w:tcPr>
            <w:tcW w:w="680" w:type="dxa"/>
            <w:vAlign w:val="bottom"/>
          </w:tcPr>
          <w:p>
            <w:pPr>
              <w:spacing w:after="0"/>
              <w:rPr>
                <w:sz w:val="19"/>
                <w:szCs w:val="19"/>
                <w:color w:val="auto"/>
              </w:rPr>
            </w:pPr>
          </w:p>
        </w:tc>
        <w:tc>
          <w:tcPr>
            <w:tcW w:w="5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5.18%</w:t>
            </w:r>
          </w:p>
        </w:tc>
        <w:tc>
          <w:tcPr>
            <w:tcW w:w="2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5.12%</w:t>
            </w:r>
          </w:p>
        </w:tc>
      </w:tr>
      <w:tr>
        <w:trPr>
          <w:trHeight w:val="55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liability maturities as of January 31, 2026 are as follows (in thousands):</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8"/>
        </w:trPr>
        <w:tc>
          <w:tcPr>
            <w:tcW w:w="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480" w:type="dxa"/>
            <w:vAlign w:val="bottom"/>
          </w:tcPr>
          <w:p>
            <w:pPr>
              <w:spacing w:after="0"/>
              <w:rPr>
                <w:sz w:val="9"/>
                <w:szCs w:val="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2026 (remaining six months)</w:t>
            </w:r>
          </w:p>
        </w:tc>
        <w:tc>
          <w:tcPr>
            <w:tcW w:w="23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2,487</w:t>
            </w:r>
          </w:p>
        </w:tc>
        <w:tc>
          <w:tcPr>
            <w:tcW w:w="14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2027</w:t>
            </w: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4,304</w:t>
            </w:r>
          </w:p>
        </w:tc>
        <w:tc>
          <w:tcPr>
            <w:tcW w:w="14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2028</w:t>
            </w: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3,507</w:t>
            </w:r>
          </w:p>
        </w:tc>
        <w:tc>
          <w:tcPr>
            <w:tcW w:w="1480" w:type="dxa"/>
            <w:vAlign w:val="bottom"/>
          </w:tcPr>
          <w:p>
            <w:pPr>
              <w:spacing w:after="0"/>
              <w:rPr>
                <w:sz w:val="19"/>
                <w:szCs w:val="19"/>
                <w:color w:val="auto"/>
              </w:rPr>
            </w:pPr>
          </w:p>
        </w:tc>
      </w:tr>
      <w:tr>
        <w:trPr>
          <w:trHeight w:val="229"/>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2029</w:t>
            </w: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2,915</w:t>
            </w:r>
          </w:p>
        </w:tc>
        <w:tc>
          <w:tcPr>
            <w:tcW w:w="14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2030</w:t>
            </w: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1,662</w:t>
            </w:r>
          </w:p>
        </w:tc>
        <w:tc>
          <w:tcPr>
            <w:tcW w:w="14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2,544</w:t>
            </w:r>
          </w:p>
        </w:tc>
        <w:tc>
          <w:tcPr>
            <w:tcW w:w="148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17,419</w:t>
            </w:r>
          </w:p>
        </w:tc>
        <w:tc>
          <w:tcPr>
            <w:tcW w:w="14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(1,872)</w:t>
            </w:r>
          </w:p>
        </w:tc>
        <w:tc>
          <w:tcPr>
            <w:tcW w:w="1480" w:type="dxa"/>
            <w:vAlign w:val="bottom"/>
          </w:tcPr>
          <w:p>
            <w:pPr>
              <w:spacing w:after="0"/>
              <w:rPr>
                <w:sz w:val="19"/>
                <w:szCs w:val="19"/>
                <w:color w:val="auto"/>
              </w:rPr>
            </w:pPr>
          </w:p>
        </w:tc>
      </w:tr>
      <w:tr>
        <w:trPr>
          <w:trHeight w:val="248"/>
        </w:trPr>
        <w:tc>
          <w:tcPr>
            <w:tcW w:w="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obligation</w:t>
            </w:r>
          </w:p>
        </w:tc>
        <w:tc>
          <w:tcPr>
            <w:tcW w:w="1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15,547</w:t>
            </w:r>
          </w:p>
        </w:tc>
        <w:tc>
          <w:tcPr>
            <w:tcW w:w="148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10. OPERATING SEGMENTS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two reportable operating segments: (1) Retail and Wholesale Products Group and (2) Business to Business Products Group. The Retail and Wholesale Products Group is comprised of our Cat Litter and Industrial and Sports Products and the Business to Business Products Group is comprised of our Agricultural and Horticultural, Fluids Purification, and Animal Health &amp; Nutrition Products.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266"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40" w:type="dxa"/>
            <w:vAlign w:val="bottom"/>
          </w:tcPr>
          <w:p>
            <w:pPr>
              <w:spacing w:after="0"/>
              <w:rPr>
                <w:sz w:val="17"/>
                <w:szCs w:val="17"/>
                <w:color w:val="auto"/>
              </w:rPr>
            </w:pPr>
          </w:p>
        </w:tc>
        <w:tc>
          <w:tcPr>
            <w:tcW w:w="25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Retail and Wholesale Products</w:t>
            </w:r>
          </w:p>
        </w:tc>
      </w:tr>
      <w:tr>
        <w:trPr>
          <w:trHeight w:val="241"/>
        </w:trPr>
        <w:tc>
          <w:tcPr>
            <w:tcW w:w="3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980" w:type="dxa"/>
            <w:vAlign w:val="bottom"/>
            <w:tcBorders>
              <w:bottom w:val="single" w:sz="8" w:color="auto"/>
            </w:tcBorders>
          </w:tcPr>
          <w:p>
            <w:pPr>
              <w:spacing w:after="0"/>
              <w:rPr>
                <w:sz w:val="20"/>
                <w:szCs w:val="20"/>
                <w:color w:val="auto"/>
              </w:rPr>
            </w:pPr>
          </w:p>
        </w:tc>
      </w:tr>
      <w:tr>
        <w:trPr>
          <w:trHeight w:val="225"/>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January 31,</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129,676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130,913</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22,115</w:t>
            </w:r>
          </w:p>
        </w:tc>
      </w:tr>
      <w:tr>
        <w:trPr>
          <w:trHeight w:val="22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24,173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Fluids Purification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52,140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&amp; Nutrition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86,263</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91,831</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151,960</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153,028</w:t>
            </w: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412"/>
        </w:trPr>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40" w:type="dxa"/>
            <w:vAlign w:val="bottom"/>
          </w:tcPr>
          <w:p>
            <w:pPr>
              <w:spacing w:after="0"/>
              <w:rPr>
                <w:sz w:val="24"/>
                <w:szCs w:val="24"/>
                <w:color w:val="auto"/>
              </w:rPr>
            </w:pPr>
          </w:p>
        </w:tc>
        <w:tc>
          <w:tcPr>
            <w:tcW w:w="25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Retail and Wholesale Products</w:t>
            </w:r>
          </w:p>
        </w:tc>
      </w:tr>
      <w:tr>
        <w:trPr>
          <w:trHeight w:val="241"/>
        </w:trPr>
        <w:tc>
          <w:tcPr>
            <w:tcW w:w="3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980" w:type="dxa"/>
            <w:vAlign w:val="bottom"/>
            <w:tcBorders>
              <w:bottom w:val="single" w:sz="8" w:color="auto"/>
            </w:tcBorders>
          </w:tcPr>
          <w:p>
            <w:pPr>
              <w:spacing w:after="0"/>
              <w:rPr>
                <w:sz w:val="20"/>
                <w:szCs w:val="20"/>
                <w:color w:val="auto"/>
              </w:rPr>
            </w:pPr>
          </w:p>
        </w:tc>
      </w:tr>
      <w:tr>
        <w:trPr>
          <w:trHeight w:val="225"/>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9"/>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January 31,</w:t>
            </w:r>
          </w:p>
        </w:tc>
        <w:tc>
          <w:tcPr>
            <w:tcW w:w="98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65,110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63,237</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Fluids Purification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25,473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&amp; Nutrition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41,977</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43,416</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75,760</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73,498</w:t>
            </w: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chief operating decision maker (“CODM”) is our President and CEO. The CODM regularly reviews net sales, gross profit, and operating income by segment to assess profitability and assist in the allocation of resources. Net sales and operating income for each segment are provided below, along with the significant segment expense categories that are regularly provided and used by the CODM when assessing segment profitability and the allocation of resources. The significant amounts within the segment operating expenses include cost of goods sold, compensation and benefits, and advertising. Other operating expenses in the table below is comprised of all other SG&amp;A expenses which include but are not limited to travel, research &amp; development, technical service support, and amortization of intangibles. Our CODM reviews the performance of each segment regularly by analyzing financial results in conjunction with our internal financial forecasts.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expenses line in the table below represents certain unallocated expenses, including primarily salaries, wages and benefits, purchased services, rent, utilities and depreciation and amortization associated with corporate functions such as information systems, finance, legal, human resources and customer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5"/>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January 31, 2026</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2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Business to Business</w:t>
            </w:r>
          </w:p>
        </w:tc>
        <w:tc>
          <w:tcPr>
            <w:tcW w:w="200" w:type="dxa"/>
            <w:vAlign w:val="bottom"/>
          </w:tcPr>
          <w:p>
            <w:pPr>
              <w:spacing w:after="0"/>
              <w:rPr>
                <w:sz w:val="18"/>
                <w:szCs w:val="18"/>
                <w:color w:val="auto"/>
              </w:rPr>
            </w:pP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Retail and Wholesale</w:t>
            </w:r>
          </w:p>
        </w:tc>
        <w:tc>
          <w:tcPr>
            <w:tcW w:w="300" w:type="dxa"/>
            <w:vAlign w:val="bottom"/>
          </w:tcPr>
          <w:p>
            <w:pPr>
              <w:spacing w:after="0"/>
              <w:rPr>
                <w:sz w:val="18"/>
                <w:szCs w:val="18"/>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Products Group</w:t>
            </w:r>
          </w:p>
        </w:tc>
        <w:tc>
          <w:tcPr>
            <w:tcW w:w="200" w:type="dxa"/>
            <w:vAlign w:val="bottom"/>
          </w:tcPr>
          <w:p>
            <w:pPr>
              <w:spacing w:after="0"/>
              <w:rPr>
                <w:sz w:val="21"/>
                <w:szCs w:val="21"/>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Products Group</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238,223</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(52,640)</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(117,786)</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(170,426)</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33,623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34,174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67,797</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&amp; Consultant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25,433</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48,604</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32,647</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33,488</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28,025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gridSpan w:val="5"/>
            <w:vMerge w:val="restart"/>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January 31, 2025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5"/>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2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Business to Business</w:t>
            </w:r>
          </w:p>
        </w:tc>
        <w:tc>
          <w:tcPr>
            <w:tcW w:w="200" w:type="dxa"/>
            <w:vAlign w:val="bottom"/>
          </w:tcPr>
          <w:p>
            <w:pPr>
              <w:spacing w:after="0"/>
              <w:rPr>
                <w:sz w:val="18"/>
                <w:szCs w:val="18"/>
                <w:color w:val="auto"/>
              </w:rPr>
            </w:pP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Retail and Wholesale</w:t>
            </w:r>
          </w:p>
        </w:tc>
        <w:tc>
          <w:tcPr>
            <w:tcW w:w="300" w:type="dxa"/>
            <w:vAlign w:val="bottom"/>
          </w:tcPr>
          <w:p>
            <w:pPr>
              <w:spacing w:after="0"/>
              <w:rPr>
                <w:sz w:val="18"/>
                <w:szCs w:val="18"/>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Products Group</w:t>
            </w:r>
          </w:p>
        </w:tc>
        <w:tc>
          <w:tcPr>
            <w:tcW w:w="200" w:type="dxa"/>
            <w:vAlign w:val="bottom"/>
          </w:tcPr>
          <w:p>
            <w:pPr>
              <w:spacing w:after="0"/>
              <w:rPr>
                <w:sz w:val="21"/>
                <w:szCs w:val="21"/>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Products Group</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244,859</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(52,531)</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(169,631)</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35,928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75,228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&amp; Consultant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31,432</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56,137</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38,672</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36,462</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29,297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gridSpan w:val="5"/>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January 31, 2026</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2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Business to Business</w:t>
            </w:r>
          </w:p>
        </w:tc>
        <w:tc>
          <w:tcPr>
            <w:tcW w:w="200" w:type="dxa"/>
            <w:vAlign w:val="bottom"/>
          </w:tcPr>
          <w:p>
            <w:pPr>
              <w:spacing w:after="0"/>
              <w:rPr>
                <w:sz w:val="18"/>
                <w:szCs w:val="18"/>
                <w:color w:val="auto"/>
              </w:rPr>
            </w:pP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Retail and Wholesale</w:t>
            </w:r>
          </w:p>
        </w:tc>
        <w:tc>
          <w:tcPr>
            <w:tcW w:w="300" w:type="dxa"/>
            <w:vAlign w:val="bottom"/>
          </w:tcPr>
          <w:p>
            <w:pPr>
              <w:spacing w:after="0"/>
              <w:rPr>
                <w:sz w:val="18"/>
                <w:szCs w:val="18"/>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Products Group</w:t>
            </w:r>
          </w:p>
        </w:tc>
        <w:tc>
          <w:tcPr>
            <w:tcW w:w="200" w:type="dxa"/>
            <w:vAlign w:val="bottom"/>
          </w:tcPr>
          <w:p>
            <w:pPr>
              <w:spacing w:after="0"/>
              <w:rPr>
                <w:sz w:val="21"/>
                <w:szCs w:val="21"/>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Products Group</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117,737</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(26,095)</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(85,435)</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32,302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&amp; Consultant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11,799</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22,571</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40"/>
          </w:cols>
          <w:pgMar w:left="920" w:top="1170" w:right="9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920" w:top="1170" w:right="939" w:bottom="1440" w:gutter="0" w:footer="0" w:header="0"/>
          <w:type w:val="continuous"/>
        </w:sectPr>
      </w:pPr>
    </w:p>
    <w:bookmarkStart w:id="23" w:name="page24"/>
    <w:bookmarkEnd w:id="23"/>
    <w:tbl>
      <w:tblPr>
        <w:tblLayout w:type="fixed"/>
        <w:tblInd w:w="600" w:type="dxa"/>
        <w:tblCellMar>
          <w:top w:w="0" w:type="dxa"/>
          <w:left w:w="0" w:type="dxa"/>
          <w:bottom w:w="0" w:type="dxa"/>
          <w:right w:w="0" w:type="dxa"/>
        </w:tblCellMar>
      </w:tblPr>
      <w:tr>
        <w:trPr>
          <w:trHeight w:val="234"/>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15,814</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gridSpan w:val="5"/>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Three Months Ended January 31, 2025</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2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Business to Business</w:t>
            </w:r>
          </w:p>
        </w:tc>
        <w:tc>
          <w:tcPr>
            <w:tcW w:w="200" w:type="dxa"/>
            <w:vAlign w:val="bottom"/>
          </w:tcPr>
          <w:p>
            <w:pPr>
              <w:spacing w:after="0"/>
              <w:rPr>
                <w:sz w:val="18"/>
                <w:szCs w:val="18"/>
                <w:color w:val="auto"/>
              </w:rPr>
            </w:pP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Retail and Wholesale</w:t>
            </w:r>
          </w:p>
        </w:tc>
        <w:tc>
          <w:tcPr>
            <w:tcW w:w="300" w:type="dxa"/>
            <w:vAlign w:val="bottom"/>
          </w:tcPr>
          <w:p>
            <w:pPr>
              <w:spacing w:after="0"/>
              <w:rPr>
                <w:sz w:val="18"/>
                <w:szCs w:val="18"/>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Products Group</w:t>
            </w:r>
          </w:p>
        </w:tc>
        <w:tc>
          <w:tcPr>
            <w:tcW w:w="200" w:type="dxa"/>
            <w:vAlign w:val="bottom"/>
          </w:tcPr>
          <w:p>
            <w:pPr>
              <w:spacing w:after="0"/>
              <w:rPr>
                <w:sz w:val="21"/>
                <w:szCs w:val="21"/>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Products Group</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116,914</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(25,711)</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(56,755)</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(82,466)</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17,705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34,448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&amp; Consultant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14,322</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25,650</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17,482</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16,260</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12,921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95"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tcBorders>
              <w:bottom w:val="single" w:sz="8" w:color="auto"/>
            </w:tcBorders>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6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July 31, 2025</w:t>
            </w:r>
          </w:p>
        </w:tc>
      </w:tr>
      <w:tr>
        <w:trPr>
          <w:trHeight w:val="223"/>
        </w:trPr>
        <w:tc>
          <w:tcPr>
            <w:tcW w:w="3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0" w:type="dxa"/>
            <w:vAlign w:val="bottom"/>
          </w:tcPr>
          <w:p>
            <w:pPr>
              <w:spacing w:after="0"/>
              <w:rPr>
                <w:sz w:val="19"/>
                <w:szCs w:val="19"/>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98,996</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104,857</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207,747</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200,644</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Assets</w:t>
            </w:r>
          </w:p>
        </w:tc>
        <w:tc>
          <w:tcPr>
            <w:tcW w:w="36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81,384</w:t>
            </w:r>
          </w:p>
        </w:tc>
        <w:tc>
          <w:tcPr>
            <w:tcW w:w="1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86,176</w:t>
            </w: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388,127</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391,677</w:t>
            </w:r>
          </w:p>
        </w:tc>
      </w:tr>
      <w:tr>
        <w:trPr>
          <w:trHeight w:val="20"/>
        </w:trPr>
        <w:tc>
          <w:tcPr>
            <w:tcW w:w="3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3,439,000. As of January 31, 2026, there were 1,080,263 shares of Common Stock or Class B Stock available for future grants under this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non-vested restricted stock as of January 31, 2026 was issued under the 2006 Plan with vesting periods generally between one and five years. We determined the fair value of restricted shares as of the grant date. We recognize the related compensation expense over the period from the date of grant to the date the shares vest.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There were 62,500 and 82,550 restricted shares of Common Stock granted during the six months ended January 31, 2026, and 2025, respectively. There were no restricted shares of Class B Stock granted during the six months ended January 31, 2026, and 2025. Stock-based compensation expense was $1.0 million and $1.1 million for the three months ended January 31, 2026, and 2025, respectively, and was $2.1 million and $1.9 million for the six months ended January 31, 2026, and 2025,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restricted stock transactions is shown below:</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10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January 31, 2026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 by component as of January 31, 2026 (in thousands):</w:t>
      </w:r>
    </w:p>
    <w:p>
      <w:pPr>
        <w:spacing w:after="0" w:line="23" w:lineRule="exact"/>
        <w:rPr>
          <w:sz w:val="20"/>
          <w:szCs w:val="20"/>
          <w:color w:val="auto"/>
        </w:rPr>
      </w:pPr>
    </w:p>
    <w:tbl>
      <w:tblPr>
        <w:tblLayout w:type="fixed"/>
        <w:tblInd w:w="490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c>
          <w:tcPr>
            <w:tcW w:w="0" w:type="dxa"/>
            <w:vAlign w:val="bottom"/>
          </w:tcPr>
          <w:p>
            <w:pPr>
              <w:spacing w:after="0"/>
              <w:rPr>
                <w:sz w:val="1"/>
                <w:szCs w:val="1"/>
                <w:color w:val="auto"/>
              </w:rPr>
            </w:pPr>
          </w:p>
        </w:tc>
      </w:tr>
      <w:tr>
        <w:trPr>
          <w:trHeight w:val="175"/>
        </w:trPr>
        <w:tc>
          <w:tcPr>
            <w:tcW w:w="21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Postretirement Health</w:t>
            </w:r>
          </w:p>
        </w:tc>
        <w:tc>
          <w:tcPr>
            <w:tcW w:w="1640" w:type="dxa"/>
            <w:vAlign w:val="bottom"/>
            <w:vMerge w:val="continue"/>
          </w:tcPr>
          <w:p>
            <w:pPr>
              <w:spacing w:after="0"/>
              <w:rPr>
                <w:sz w:val="15"/>
                <w:szCs w:val="15"/>
                <w:color w:val="auto"/>
              </w:rPr>
            </w:pPr>
          </w:p>
        </w:tc>
        <w:tc>
          <w:tcPr>
            <w:tcW w:w="180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89"/>
        </w:trPr>
        <w:tc>
          <w:tcPr>
            <w:tcW w:w="2100" w:type="dxa"/>
            <w:vAlign w:val="bottom"/>
            <w:vMerge w:val="continue"/>
          </w:tcPr>
          <w:p>
            <w:pPr>
              <w:spacing w:after="0"/>
              <w:rPr>
                <w:sz w:val="16"/>
                <w:szCs w:val="16"/>
                <w:color w:val="auto"/>
              </w:rPr>
            </w:pPr>
          </w:p>
        </w:tc>
        <w:tc>
          <w:tcPr>
            <w:tcW w:w="164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180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29"/>
        </w:trPr>
        <w:tc>
          <w:tcPr>
            <w:tcW w:w="21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0</wp:posOffset>
            </wp:positionV>
            <wp:extent cx="620649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06490" cy="15430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9" w:lineRule="exact"/>
        <w:rPr>
          <w:sz w:val="20"/>
          <w:szCs w:val="20"/>
          <w:color w:val="auto"/>
        </w:rPr>
      </w:pPr>
    </w:p>
    <w:p>
      <w:pPr>
        <w:ind w:left="760"/>
        <w:spacing w:after="0"/>
        <w:tabs>
          <w:tab w:leader="none" w:pos="4780" w:val="left"/>
        </w:tabs>
        <w:rPr>
          <w:sz w:val="20"/>
          <w:szCs w:val="20"/>
          <w:color w:val="auto"/>
        </w:rPr>
      </w:pPr>
      <w:r>
        <w:rPr>
          <w:rFonts w:ascii="Times New Roman" w:cs="Times New Roman" w:eastAsia="Times New Roman" w:hAnsi="Times New Roman"/>
          <w:sz w:val="18"/>
          <w:szCs w:val="18"/>
          <w:color w:val="auto"/>
        </w:rPr>
        <w:t>Balance as of July 31, 2025</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60" w:right="860"/>
        <w:spacing w:after="0" w:line="234" w:lineRule="auto"/>
        <w:rPr>
          <w:sz w:val="20"/>
          <w:szCs w:val="20"/>
          <w:color w:val="auto"/>
        </w:rPr>
      </w:pPr>
      <w:r>
        <w:rPr>
          <w:rFonts w:ascii="Times New Roman" w:cs="Times New Roman" w:eastAsia="Times New Roman" w:hAnsi="Times New Roman"/>
          <w:sz w:val="18"/>
          <w:szCs w:val="18"/>
          <w:color w:val="auto"/>
        </w:rPr>
        <w:t>Other comprehensive income before reclassifications, net of tax</w:t>
      </w:r>
    </w:p>
    <w:p>
      <w:pPr>
        <w:spacing w:after="0" w:line="10" w:lineRule="exact"/>
        <w:rPr>
          <w:sz w:val="20"/>
          <w:szCs w:val="20"/>
          <w:color w:val="auto"/>
        </w:rPr>
      </w:pPr>
    </w:p>
    <w:p>
      <w:pPr>
        <w:ind w:left="760" w:right="144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1,205</w:t>
            </w: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969</w:t>
            </w:r>
          </w:p>
        </w:tc>
      </w:tr>
      <w:tr>
        <w:trPr>
          <w:trHeight w:val="407"/>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149</w:t>
            </w:r>
          </w:p>
        </w:tc>
      </w:tr>
      <w:tr>
        <w:trPr>
          <w:trHeight w:val="418"/>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-264795</wp:posOffset>
            </wp:positionV>
            <wp:extent cx="620649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0649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80" w:space="720"/>
            <w:col w:w="5040"/>
          </w:cols>
          <w:pgMar w:left="320" w:top="891" w:right="339" w:bottom="1440" w:gutter="0" w:footer="0" w:header="0"/>
          <w:type w:val="continuous"/>
        </w:sectPr>
      </w:pPr>
    </w:p>
    <w:tbl>
      <w:tblPr>
        <w:tblLayout w:type="fixed"/>
        <w:tblInd w:w="740" w:type="dxa"/>
        <w:tblCellMar>
          <w:top w:w="0" w:type="dxa"/>
          <w:left w:w="0" w:type="dxa"/>
          <w:bottom w:w="0" w:type="dxa"/>
          <w:right w:w="0" w:type="dxa"/>
        </w:tblCellMar>
      </w:tblPr>
      <w:tr>
        <w:trPr>
          <w:trHeight w:val="155"/>
        </w:trPr>
        <w:tc>
          <w:tcPr>
            <w:tcW w:w="40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7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24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7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2026</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member of our Board is currently the President and Chief Executive Officer of one of our vendors. Total payments to this vendor for fees and cost reimbursements were $0.1 million and $0.2 million for the three months ended January 31, 2026 and January 31, 2025, respectively, and $0.8 million and $0.5 million for the first six months of fiscal years 2026, and 2025, respectively. There were no outstanding accounts payable due to that vendor as of either January 31, 2026, or July 31, 2025.</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member of our Board retired from the role of President and Chief Executive Officer of a customer of ours on September 28, 2019, and was party to a post-employment consulting agreement with the customer until September 30, 2025. Total sales to that customer, including sales to its subsidiaries, were $0.1 million for both the three months ended January 31, 2026, and January 31, 2025, and $0.1 million and $0.2 million for the first six months of fiscal years 2026 and 2025, respectively. There were no outstanding amounts due from that customer as of either January 31, 2026, or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2025. This discussion contains forward-looking statements that involve risks and uncertainties. Our actual results may differ materially from the results discussed in the forward-looking statements. Factors that might cause a difference include, but are not limited to, those discussed herein under "Forward-Looking Statements" and "Risk Factors," and those discussed under Part I, Item 1A, "Risk Factors," of our Annual Report on Form 10-K for the fiscal year ended July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("Retail and Wholesale") and the Business to Business Products Group ("Business to Business"), as described in Note 10 of the Notes to the unaudited Condensed Consolidated Financial Statements. Each operating segment is discussed individually below.</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the Company announced that our Board approved a two-for-one stock split in the form of a stock dividend. Stockholders of record as of the close of business on December 20, 2024 received a distribution of one additional share of Common Stock for each share of Common Stock held by such stockholder and one additional share of Class B Stock for each share of Class B Stock held by such stockholder as of the record date. The additional shares were distributed on January 3, 2025, and our Common Stock began trading on a post-split basis on January 6, 2025.</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2006 Plan, as well as to the outstanding awards under the 2006 Plan.</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Over a period of several days in January 2026, the southern and eastern United States was impacted by a significant weather event known as "Winter Storm Fern" that resulted in snow, freezing rain, and ice causing widespread damage and power outages (“Weather Event”). During this time, due to safety concerns and interruptions that we experienced to power, natural gas, and water, we temporarily shut down operations of our facilities in the effected regions, which resulted in reduced production. Our supply chain was also impacted, causing significant delays in delivery of materials and services necessary to resume production. These shutdowns and delays resulted in decreased fixed cost absorption and an increase of backlog, which we define as purchase orders that we have received from customers and that we have accepted, but that have not shipped by the customers’ requested ship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SIX MONTHS ENDED JANUARY 31, 2026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SIX MONTHS ENDED JANUARY 31,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RESULTS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Six Months Ended January 31,</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73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396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238,223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244,859</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(6,636)</w:t>
            </w: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67,797</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(7,431)</w:t>
            </w: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(6,025)</w:t>
            </w: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4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(1,272)</w:t>
            </w:r>
          </w:p>
        </w:tc>
        <w:tc>
          <w:tcPr>
            <w:tcW w:w="118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to Business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86,263</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(5,568)</w:t>
            </w:r>
          </w:p>
        </w:tc>
        <w:tc>
          <w:tcPr>
            <w:tcW w:w="11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4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31,432</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(5,999)</w:t>
            </w: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Retail &amp; Wholesale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151,960</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153,028</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(1,068)</w:t>
            </w: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4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(1,534)</w:t>
            </w:r>
          </w:p>
        </w:tc>
        <w:tc>
          <w:tcPr>
            <w:tcW w:w="118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for the six months ended January 31, 2026 were $238.2 million, a 3% decrease compared to net sales of $244.9 million for the six months ended January 31, 2025. The decrease was driven primarily by softer volumes across both our Business to Business and Retail and Wholesale product groups when compared to the same period in fiscal year 2025. Further details of the drivers are discussed below in the segment analysis.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Consolidated gross profit in the six months ended January 31, 2026 was $67.8 million, a decrease of $7.4 million, or 10%, from gross profit of $75.2 million in the six months ended January 31, 2025. Gross margin (defined as gross profit as a percentage of net sales) in the six months ended January 31, 2026 decreased to 28.5% from 30.7% in the six months ended January 31, 2025. This reduction in gross margin was mainly driven by softer volume and higher costs, which led to unfavorable fixed cost absorption. This was in part driven by the Weather Event which impacted our plants' production and ability to fulfill orders. For the six months ended January 31, 2026, the overall domestic per ton cost of goods sold increased 3% compared to the same period of fiscal year 2025. The increase was primarily driven by higher per ton manufacturing costs, including materials, which increased 8% when compared to six months ended January 31, 2025. These increases were slightly offset by a 5% decrease in per ton transportation costs, and 3% decrease in per ton packaging costs for the six months ended January 31, 2026, when compared to the six months ended January 31, 2025.</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SG&amp;A expenses of $35.2 million for the six months ended January 31, 2026 were $1.4 million, or 4%, lower compared to $36.6 million for the six months ended January 31, 2025. The decrease was driven by a $1.5 million reduction in corporate unallocated expenses, primarily as a result of lower corporate human resource costs and a lower incentive bonus accrual. The decrease was partially offset by SG&amp;A expenses at the operating segments level, which increased by $0.1 million, as discussed below.</w:t>
      </w:r>
    </w:p>
    <w:p>
      <w:pPr>
        <w:spacing w:after="0" w:line="1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Total other income, net was $0.8 million for the six months ended January 31, 2026, a $3.0 million gain compared to other expenses, net of $2.2 million in the same period of fiscal year 2025. $0.8 million of this change was driven by the reduction in the estimated landfill modification costs recognized in fiscal year 2026 compared to an increase in the estimated cost recognized during the first half of fiscal year 2025 and $0.8 million was driven by foreign exchange gains. The gain was also in part driven by the positive outcome of a confidential legal settlement in the matter of Oil-Dri Corporation of America vs. Entera Animal Health, et al., as well as $0.5 million due to higher interest income and $0.2 million due to lower interest expense.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expense was $5.5 million for the six months ended January 31, 2026 compared to $7.2 million for the six months ended January 31, 2025. $0.8 million of the decrease was due to a discrete tax benefit as a result of stock-based compensation recognized in the first quarter of fiscal year 2026. The remaining decrease was primarily due to the conversion of certain legal entities from corporations to limited liability companies resulting in state tax benefits.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unaudited Condensed Consolidated Balance Sheet as of January 31, 2026 and our unaudited Condensed Consolidated Statement of Cash Flows for the six months ended January 31, 2026 show a $3.5 million decrease in total cash and cash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equivalents from fiscal year-end 2025. The decrease was driven primarily by financing and investing activities, partially offset by positive cash flow from operations. Refer to the "Liquidity and Capital Resources" section below for more details.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99"/>
        </w:trPr>
        <w:tc>
          <w:tcPr>
            <w:tcW w:w="42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January 31,</w:t>
            </w:r>
          </w:p>
        </w:tc>
        <w:tc>
          <w:tcPr>
            <w:tcW w:w="150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to Business Products Group</w:t>
            </w: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24,173</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4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Fluids Purification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52,140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20" w:type="dxa"/>
            <w:vAlign w:val="bottom"/>
          </w:tcPr>
          <w:p>
            <w:pPr>
              <w:spacing w:after="0"/>
              <w:rPr>
                <w:sz w:val="19"/>
                <w:szCs w:val="19"/>
                <w:color w:val="auto"/>
              </w:rPr>
            </w:pPr>
          </w:p>
        </w:tc>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Animal Health &amp; Nutrition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86,263</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91,831</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(52,640)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(52,531)</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20" w:type="dxa"/>
            <w:vAlign w:val="bottom"/>
          </w:tcPr>
          <w:p>
            <w:pPr>
              <w:spacing w:after="0"/>
              <w:rPr>
                <w:sz w:val="19"/>
                <w:szCs w:val="19"/>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33,623</w:t>
            </w:r>
          </w:p>
        </w:tc>
        <w:tc>
          <w:tcPr>
            <w:tcW w:w="1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39,300</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420" w:type="dxa"/>
            <w:vAlign w:val="bottom"/>
          </w:tcPr>
          <w:p>
            <w:pPr>
              <w:spacing w:after="0"/>
              <w:rPr>
                <w:sz w:val="19"/>
                <w:szCs w:val="19"/>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25,433</w:t>
            </w:r>
          </w:p>
        </w:tc>
        <w:tc>
          <w:tcPr>
            <w:tcW w:w="1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31,432</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six months ended January 31, 2026 decreased $5.6 million, or 6%, compared to the six months ended January 31, 2025, driven primarily by a reduction in sales of our fluid purification and animal health products, partially offset by an increase in sales of our agricultural and horticultural products. Net sales of our fluids purification products for the six months ended January 31, 2026 decreased $5.0 million, or 9%, compared to the six months ended January 31, 2025. This decrease was due to lower volumes, primarily of our products used in renewable diesel filtration, which were significantly higher in fiscal year 2025 when several new customers began operations in new plants. Net sales of our animal health &amp; nutrition products for the six months ended January 31, 2026 decreased $4.0 million, or 29%, compared to the six months ended January 31, 2025, due to lower volume primarily driven by the loss of a key customer at one of our distributors. Net sales of our agricultural and horticultural chemical carrier products for the six months ended January 31, 2026 increased $3.4 million, or 16%, compared to the six months ended January 31, 2025, due to a combination of favorable mix, higher volume and higher prices.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decreased 14% in the six months ended January 31, 2026 compared to the six months ended January 31, 2025. This decrease was mainly due to lower sales resulting in unfavorable fixed cost absorption and higher per ton manufacturing costs. This was in part driven by the Weather Event which impacted our plants' production and ability to fulfill orders. Per ton manufacturing and packaging costs increased 9% and 2%, respectively, while transportation costs remained flat. SG&amp;A expenses increased by $0.3 million, or 4%, for the six months ended January 31, 2026 compared to the six months ended January 31, 2025. This increase is primarily driven by higher compensation costs.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99"/>
        </w:trPr>
        <w:tc>
          <w:tcPr>
            <w:tcW w:w="42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January 31,</w:t>
            </w:r>
          </w:p>
        </w:tc>
        <w:tc>
          <w:tcPr>
            <w:tcW w:w="150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Retail and Wholesale Products Group</w:t>
            </w: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Cat Litter</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129,676</w:t>
            </w:r>
          </w:p>
        </w:tc>
        <w:tc>
          <w:tcPr>
            <w:tcW w:w="1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130,913</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Industrial and Sports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20" w:type="dxa"/>
            <w:vAlign w:val="bottom"/>
          </w:tcPr>
          <w:p>
            <w:pPr>
              <w:spacing w:after="0"/>
              <w:rPr>
                <w:sz w:val="21"/>
                <w:szCs w:val="21"/>
                <w:color w:val="auto"/>
              </w:rPr>
            </w:pPr>
          </w:p>
        </w:tc>
        <w:tc>
          <w:tcPr>
            <w:tcW w:w="4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151,960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20" w:type="dxa"/>
            <w:vAlign w:val="bottom"/>
          </w:tcPr>
          <w:p>
            <w:pPr>
              <w:spacing w:after="0" w:line="20" w:lineRule="exact"/>
              <w:rPr>
                <w:sz w:val="1"/>
                <w:szCs w:val="1"/>
                <w:color w:val="auto"/>
              </w:rPr>
            </w:pPr>
          </w:p>
        </w:tc>
        <w:tc>
          <w:tcPr>
            <w:tcW w:w="4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4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(117,786)</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(117,100)</w:t>
            </w:r>
          </w:p>
        </w:tc>
        <w:tc>
          <w:tcPr>
            <w:tcW w:w="1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(686)</w:t>
            </w:r>
          </w:p>
        </w:tc>
        <w:tc>
          <w:tcPr>
            <w:tcW w:w="16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1 %</w:t>
            </w:r>
          </w:p>
        </w:tc>
      </w:tr>
      <w:tr>
        <w:trPr>
          <w:trHeight w:val="248"/>
        </w:trPr>
        <w:tc>
          <w:tcPr>
            <w:tcW w:w="420" w:type="dxa"/>
            <w:vAlign w:val="bottom"/>
          </w:tcPr>
          <w:p>
            <w:pPr>
              <w:spacing w:after="0"/>
              <w:rPr>
                <w:sz w:val="21"/>
                <w:szCs w:val="21"/>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34,174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20" w:type="dxa"/>
            <w:vAlign w:val="bottom"/>
          </w:tcPr>
          <w:p>
            <w:pPr>
              <w:spacing w:after="0" w:line="20" w:lineRule="exact"/>
              <w:rPr>
                <w:sz w:val="1"/>
                <w:szCs w:val="1"/>
                <w:color w:val="auto"/>
              </w:rPr>
            </w:pPr>
          </w:p>
        </w:tc>
        <w:tc>
          <w:tcPr>
            <w:tcW w:w="4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4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SG&amp;A</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(11,003)</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(11,223)</w:t>
            </w:r>
          </w:p>
        </w:tc>
        <w:tc>
          <w:tcPr>
            <w:tcW w:w="1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w:t>
            </w:r>
          </w:p>
        </w:tc>
        <w:tc>
          <w:tcPr>
            <w:tcW w:w="16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r>
      <w:tr>
        <w:trPr>
          <w:trHeight w:val="248"/>
        </w:trPr>
        <w:tc>
          <w:tcPr>
            <w:tcW w:w="420" w:type="dxa"/>
            <w:vAlign w:val="bottom"/>
          </w:tcPr>
          <w:p>
            <w:pPr>
              <w:spacing w:after="0"/>
              <w:rPr>
                <w:sz w:val="21"/>
                <w:szCs w:val="21"/>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20" w:type="dxa"/>
            <w:vAlign w:val="bottom"/>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six months ended January 31, 2026 decreased $1.1 million, or 1%, compared to the six months ended January 31, 2025, mainly due to a decrease in cat litter sales. Domestic cat litter net sales, excluding co-packaged cat litter, were $112.3 million for the six months ended January 31, 2026, a decrease of $3.3 million, or 3%, when compared to the six months ended January 31, 2025. $2.1 million of the decrease was due to a private label account that was lost in the second quarter of fiscal year 2025, and $1.5 million decrease was tied to high demand in fiscal year 2025 due to a large promotion at a key account. These losses were partially offset by revenue gains with other customers. Net sales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co-packaged cat litter products increased 20% in the six months ended January 31, 2026, compared to the six months ended January 31, 2025. This increase was driven primarily by higher volumes as we expanded our co-packaged offerings to include lightweight cat litter. Net sales of our domestic industrial and sports products were $21.2 million for the six months ended January 31, 2026, an increase of $0.3 million, or 1%, when compared to the six months ended January 31, 2025, mainly driven by higher prices to offset elevated costs. Net sales by our subsidiary in Canada, which include both our cat litter and industrial products, increased $0.1 million for the six months ended January 31, 2026 when compared to the six months ended January 31, 2025. Due to the Weather Event, several of our plants were shut down and unable to ship products or allow for customers to pick up orders. This drove our backlog of Retail and Wholesale products to increase by $2.8 million at the end of the second quarter when compared to the prior quarter.</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decreased 5% in the six months ended January 31, 2026 compared to the six months ended January 31, 2025. This decrease was mainly due to lower sales resulting in unfavorable fixed cost absorption, and higher per ton manufacturing costs. This was in part driven by the Weather Event which impacted our plants' production and ability to fulfill orders. Per ton manufacturing costs, including purchased materials, increased 8%, this increase was partially offset by a 10% reduction in transportation and 4% reduction in per ton packaging costs. Certain key customers shifting terms from delivery to pick-up was the primary driver of the reduction of transportation costs. SG&amp;A expenses decreased $0.2 million, or 2%, during the six months ended January 31, 2026, compared to the six months ended January 31, 2025, primarily due to less bad debt expense related to customer bankruptcies.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Foreign operations include our subsidiaries in Canada and the Netherlands, which are reported in the Retail and Wholesale Products Group, and our subsidiaries in the United Kingdom ("UK"), Mexico, China and Indonesia, which are reported in the Business to Business Products Group. Net sales by our foreign subsidiaries for the six months ended January 31, 2026 were $9.9 million, a decrease of $0.2 million compared to net sales of $10.1 million in the same period ended January 31, 2025, driven primarily by net sales decrease in sales volume in Mexico. Net sales by our foreign subsidiaries represented 4% of our consolidated net sales for both the six months ended January 31, 2026, and January 31, 2025.</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foreign subsidiaries reported net income of $0.2 million for the six months ended January 31, 2026, compared to net loss of $0.3 million in the six months ended January 31, 2025. The increase in net income was primarily driven by the preliminary foreign VAT assessment recognized in fiscal year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assets of our foreign subsidiaries as of January 31, 2026 were $9.2 million, compared to $9.0 million as of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JANUARY 31, 2026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JANUARY 31,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RESULTS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7"/>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January 31,</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14"/>
                <w:szCs w:val="14"/>
                <w:color w:val="auto"/>
              </w:rPr>
            </w:pP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77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396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117,737</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116,914</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823</w:t>
            </w: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32,302</w:t>
            </w: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(2,146)</w:t>
            </w:r>
          </w:p>
        </w:tc>
        <w:tc>
          <w:tcPr>
            <w:tcW w:w="11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(1,789)</w:t>
            </w: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56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(352)</w:t>
            </w:r>
          </w:p>
        </w:tc>
        <w:tc>
          <w:tcPr>
            <w:tcW w:w="114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to Business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41,977</w:t>
            </w: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(1,439)</w:t>
            </w:r>
          </w:p>
        </w:tc>
        <w:tc>
          <w:tcPr>
            <w:tcW w:w="11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5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(2,523)</w:t>
            </w: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Retail &amp; Wholesale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75,760</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73,498</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2,262</w:t>
            </w: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56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(556)</w:t>
            </w:r>
          </w:p>
        </w:tc>
        <w:tc>
          <w:tcPr>
            <w:tcW w:w="114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net sales for the second quarter of fiscal year 2026 were $117.7 million, a 1% increase compared to net sales of $116.9 million for the second quarter of fiscal year 2025 primarily driven by favorable product mix. This increase was primarily driven by higher sales of our agriculture and horticultural products within our Business to Business products group and higher sales of our cat litter products within the Retail and Wholesale products group.</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gross profit for the second quarter of fiscal year 2026 was $32.3 million, a decrease of 6% when compared to $34.4 million for the second quarter of fiscal year 2025. Our gross margin (defined as gross profit as a percentage of net sales) decreased to 27.4% from 29.5% in the second quarter of fiscal year 2026 compared to the second quarter of fiscal year 2025. This decrease was mainly driven by higher per ton costs of goods sold. Domestic per ton cost of goods sold increased 4%, due to an 8% increase in per ton manufacturing costs, including materials, which was driven primarily by product mix and certain higher expenses such as labor and depreciation. This increase was partially offset by a 5% reduction in per ton transportation costs and 2% reduction in packaging costs.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SG&amp;A expenses of $16.6 million for the second quarter of fiscal year 2026 decreased by $0.4 million, or 2%, compared to $17.0 million for the same period of fiscal year 2025, primarily due to the decrease in corporate unallocated expenses, partially offset by an increase in operating segments' SG&amp;A expenses. Unallocated corporate expenses were $6.9 million, a decrease of $1.3 million, or 16%, compared to the same period in fiscal year 2025, primarily as a result of a lower corporate bonus accrual. SG&amp;A expenses at the operating segments level are discussed below in the discussion of our segments' operating income.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other income was $0.1 million for the second quarter of fiscal year 2026, compared to net other expenses of $1.2 million for the second quarter of fiscal year 2025. This change was driven by $0.6 million of foreign exchange gains, along with $0.4 million from the reduction in the estimated landfill modification costs recognized this quarter compared to an increase in the estimated cost recognized during the second quarter of fiscal year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expense was $3.2 million for the second quarter of fiscal year 2026 compared to $3.3 million for the second quarter of fiscal year 2025. We used an effective tax rate of 21% in both the second quarter of fiscal year 2026 and 2025. We adjust our effective tax rate quarterly based on expected annual taxable income and our assessment of various tax adjustments, including depletion and discrete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6"/>
        </w:trPr>
        <w:tc>
          <w:tcPr>
            <w:tcW w:w="420" w:type="dxa"/>
            <w:vAlign w:val="bottom"/>
          </w:tcPr>
          <w:p>
            <w:pPr>
              <w:spacing w:after="0"/>
              <w:rPr>
                <w:sz w:val="22"/>
                <w:szCs w:val="22"/>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 January 31,</w:t>
            </w:r>
          </w:p>
        </w:tc>
        <w:tc>
          <w:tcPr>
            <w:tcW w:w="1300" w:type="dxa"/>
            <w:vAlign w:val="bottom"/>
            <w:tcBorders>
              <w:bottom w:val="single" w:sz="8" w:color="auto"/>
            </w:tcBorders>
          </w:tcPr>
          <w:p>
            <w:pPr>
              <w:spacing w:after="0"/>
              <w:rPr>
                <w:sz w:val="22"/>
                <w:szCs w:val="22"/>
                <w:color w:val="auto"/>
              </w:rPr>
            </w:pPr>
          </w:p>
        </w:tc>
      </w:tr>
      <w:tr>
        <w:trPr>
          <w:trHeight w:val="223"/>
        </w:trPr>
        <w:tc>
          <w:tcPr>
            <w:tcW w:w="42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to Business Products Group</w:t>
            </w: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11,242</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4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Fluids Purification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25,473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20" w:type="dxa"/>
            <w:vAlign w:val="bottom"/>
          </w:tcPr>
          <w:p>
            <w:pPr>
              <w:spacing w:after="0"/>
              <w:rPr>
                <w:sz w:val="19"/>
                <w:szCs w:val="19"/>
                <w:color w:val="auto"/>
              </w:rPr>
            </w:pPr>
          </w:p>
        </w:tc>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Animal Health &amp; Nutrition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41,977</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43,416</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(26,095)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(25,711)</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420" w:type="dxa"/>
            <w:vAlign w:val="bottom"/>
          </w:tcPr>
          <w:p>
            <w:pPr>
              <w:spacing w:after="0"/>
              <w:rPr>
                <w:sz w:val="19"/>
                <w:szCs w:val="19"/>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15,882</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420" w:type="dxa"/>
            <w:vAlign w:val="bottom"/>
          </w:tcPr>
          <w:p>
            <w:pPr>
              <w:spacing w:after="0"/>
              <w:rPr>
                <w:sz w:val="19"/>
                <w:szCs w:val="19"/>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11,799</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
        </w:trPr>
        <w:tc>
          <w:tcPr>
            <w:tcW w:w="4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of the Business to Business Products Group decreased $1.4 million, or 3%, in the second quarter of fiscal year 2026, compared to the same period in 2025, driven primarily by a reduction in sales of our animal health and fluids purification products, partially offset by an increase in net sales of our agriculture and horticultural products. Net sales of our animal health and nutrition products in the second quarter of fiscal year 2026 decreased $2.5 million, or 32%, compared to the second quarter of fiscal year 2025, due to lower volume primarily driven by the loss of a key customer at one of our distributors. Net sales of our fluids purification products in the second quarter of fiscal year 2026 decreased $1.0 million, or 4%, compared to the second quarter of fiscal year 2025. This decrease was due to lower volumes, primarily of our products used in renewable diesel filtration. Net sales of our agricultural and horticultural chemical carrier products in the second quarter of fiscal year 2026 increased $2.1 million, or 23%, compared to the second quarter of fiscal year 2025, due to a combination of favorable mix, higher prices and increased demand.</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decreased 10% in the second quarter of fiscal year 2026, compared to the same period in 2025. This decrease was mainly due to a combination of lower sales resulting in unfavorable fixed cost absorption and higher per ton costs. This was in part driven by the Weather Event which impacted our plants' production and ability to fulfill orders. Domestic per ton manufacturing and packaging costs increased 5% and 11%, respectively, partially offset by a 2% reduction in per ton transportation costs. The increase in packaging was primarily due to mix and selling more packaged agricultural and horticultural products. Total SG&amp;A expenses for the Business to Business Products Group in the second quarter of fiscal year 2026 increased $0.7 million, or 21%, compared to the same period of fiscal year 2025. This increase is primarily driven by higher compensation and consultant costs.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00"/>
        </w:trPr>
        <w:tc>
          <w:tcPr>
            <w:tcW w:w="42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 January 31,</w:t>
            </w:r>
          </w:p>
        </w:tc>
        <w:tc>
          <w:tcPr>
            <w:tcW w:w="130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Retail and Wholesale Products Group</w:t>
            </w: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Cat Litter</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65,110</w:t>
            </w:r>
          </w:p>
        </w:tc>
        <w:tc>
          <w:tcPr>
            <w:tcW w:w="48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63,237</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Industrial and Sports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8"/>
        </w:trPr>
        <w:tc>
          <w:tcPr>
            <w:tcW w:w="420" w:type="dxa"/>
            <w:vAlign w:val="bottom"/>
          </w:tcPr>
          <w:p>
            <w:pPr>
              <w:spacing w:after="0"/>
              <w:rPr>
                <w:sz w:val="21"/>
                <w:szCs w:val="21"/>
                <w:color w:val="auto"/>
              </w:rPr>
            </w:pPr>
          </w:p>
        </w:tc>
        <w:tc>
          <w:tcPr>
            <w:tcW w:w="4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75,760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420" w:type="dxa"/>
            <w:vAlign w:val="bottom"/>
          </w:tcPr>
          <w:p>
            <w:pPr>
              <w:spacing w:after="0" w:line="20" w:lineRule="exact"/>
              <w:rPr>
                <w:sz w:val="1"/>
                <w:szCs w:val="1"/>
                <w:color w:val="auto"/>
              </w:rPr>
            </w:pPr>
          </w:p>
        </w:tc>
        <w:tc>
          <w:tcPr>
            <w:tcW w:w="4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4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(59,340)</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(56,755)</w:t>
            </w:r>
          </w:p>
        </w:tc>
        <w:tc>
          <w:tcPr>
            <w:tcW w:w="1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(2,585)</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5 %</w:t>
            </w:r>
          </w:p>
        </w:tc>
      </w:tr>
      <w:tr>
        <w:trPr>
          <w:trHeight w:val="248"/>
        </w:trPr>
        <w:tc>
          <w:tcPr>
            <w:tcW w:w="420" w:type="dxa"/>
            <w:vAlign w:val="bottom"/>
          </w:tcPr>
          <w:p>
            <w:pPr>
              <w:spacing w:after="0"/>
              <w:rPr>
                <w:sz w:val="21"/>
                <w:szCs w:val="21"/>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20" w:type="dxa"/>
            <w:vAlign w:val="bottom"/>
          </w:tcPr>
          <w:p>
            <w:pPr>
              <w:spacing w:after="0" w:line="20" w:lineRule="exact"/>
              <w:rPr>
                <w:sz w:val="1"/>
                <w:szCs w:val="1"/>
                <w:color w:val="auto"/>
              </w:rPr>
            </w:pPr>
          </w:p>
        </w:tc>
        <w:tc>
          <w:tcPr>
            <w:tcW w:w="4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204"/>
        </w:trPr>
        <w:tc>
          <w:tcPr>
            <w:tcW w:w="420" w:type="dxa"/>
            <w:vAlign w:val="bottom"/>
          </w:tcPr>
          <w:p>
            <w:pPr>
              <w:spacing w:after="0"/>
              <w:rPr>
                <w:sz w:val="17"/>
                <w:szCs w:val="17"/>
                <w:color w:val="auto"/>
              </w:rPr>
            </w:pPr>
          </w:p>
        </w:tc>
        <w:tc>
          <w:tcPr>
            <w:tcW w:w="4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SG&amp;A</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(5,648)</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(5,415)</w:t>
            </w:r>
          </w:p>
        </w:tc>
        <w:tc>
          <w:tcPr>
            <w:tcW w:w="1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4 %</w:t>
            </w:r>
          </w:p>
        </w:tc>
      </w:tr>
      <w:tr>
        <w:trPr>
          <w:trHeight w:val="248"/>
        </w:trPr>
        <w:tc>
          <w:tcPr>
            <w:tcW w:w="420" w:type="dxa"/>
            <w:vAlign w:val="bottom"/>
          </w:tcPr>
          <w:p>
            <w:pPr>
              <w:spacing w:after="0"/>
              <w:rPr>
                <w:sz w:val="21"/>
                <w:szCs w:val="21"/>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20" w:type="dxa"/>
            <w:vAlign w:val="bottom"/>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sales of the Retail and Wholesale Products Group increased $2.3 million, or 3%, in the second quarter of fiscal year 2026, compared to the same period in 2025, primarily due to cat litter sales. Net sales of co-packaged cat litter products increased 31% compared to the second quarter of fiscal year 2025, due to higher volumes as we expanded our co-packaged offerings to include lightweight cat litter. Domestic cat litter net sales, excluding sales of co-packaged cat litter, were $56.0 million for the second quarter of fiscal year 2026, an increase of $0.3 million, when compared to the second quarter of fiscal year 2025. This was primarily driven by higher sales of our crystal cat litter. Net sales of our domestic industrial and sports products in the second quarter of fiscal year 2026 were $10.2 million, an increase of $0.4 million, or 4%, when compared to the second quarter of fiscal year 2025, mainly driven by the higher pricing to offset elevated costs. Net sales by our subsidiary in Canada, which</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include both our cat litter and industrial products, in the second quarter of fiscal year 2026, increased $0.1 million, or 4%, compared to the same period in 2025. Due to the Weather Event, several of our plants were shut down and unable to ship products or allow for customers to pick up orders. This drove our backlog of Retail and Wholesale products to increase by $2.8 million at the end of the second quarter when compared to the prior quarter.</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decreased 2% in the second quarter of fiscal year 2026, compared to the same period in 2025. This decrease was mainly due to a combination of unfavorable fixed cost absorption which was in part driven by the Weather Event that impacted our plants' production and ability to fulfill orders, and higher per ton manufacturing costs, including materials. Domestic per ton manufacturing costs increased 9%, primarily due to higher per ton labor and depreciation costs. This was partially offset by a 7% reduction in per ton transportation costs and a 3% reduction in per ton packaging costs. Certain key customers shifting terms from delivery to pick-up was the primary driver of the reduction of transportation costs. SG&amp;A expenses for the Retail and Wholesale Products Group increased by $0.2 million, or 4%, during the second quarter of fiscal year 2026, compared to the same period in fiscal year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Foreign operations include our subsidiaries in Canada and the Netherlands, which are reported in the Retail and Wholesale Products Group, and our subsidiaries in the UK, Mexico, China and Indonesia, which are reported in the Business to Business Products Group. Net sales by our foreign subsidiaries during the second quarter of fiscal year 2026 were $4.8 million, a decrease of $0.1 million compared to net sales of $4.9 million during the same period of fiscal year 2025. This decrease was driven primarily by a $0.2 million decrease in net sales in Mexico, partially offset by a $0.1 million increase in net sales in Canada. Net sales by our foreign subsidiaries represented 4% of our consolidated net sales during the second quarter of both fiscal years 2026 and 2025.</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foreign subsidiaries reported an increase of $0.1 million for the second quarter of fiscal year 2026 as compared to a net loss of $0.1 million in the second quarter of fiscal year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the six months ended January 31, 2026, we principally funded these short and long-term capital requirements using cash from current operations as well as cash generated from previous borrowings under our Credit Agreement and Series B, C and D Senior Notes issued under the Note Agreement. See Note 8 of the Notes to the unaudited Condensed Consolidated Financial Statements in this Quarterly Report on Form 10-Q for further information relating to our existing borrowings.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the foreseeable future.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totaled $46.9 million and $22.6 million as of January 31, 2026, and 2025, respectively. The following table sets forth certain elements of our unaudited Condensed Consolidated Statements of Cash Flows (in thousands):</w:t>
      </w:r>
    </w:p>
    <w:p>
      <w:pPr>
        <w:spacing w:after="0" w:line="69"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For the Six Months Ended January</w:t>
      </w: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36"/>
        </w:trPr>
        <w:tc>
          <w:tcPr>
            <w:tcW w:w="64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(17,921)</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the six months ended January 31, 2026, were as follows: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net of allowances increased by $0.6 million in the six months ended January 31, 2026, as compared to the six months ended January 31, 2025. The increase in accounts receivable was driven primarily by net sales and timing of collections.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Inventory increased by $2.1 million in the six months ended January 31, 2026, as compared to the six months ended January 31, 2025, mainly due to the building of finished goods inventory and purchases of other additives to meet anticipated demand.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the impact of payments related to capital expenditures, accounts payable decreased by $2.9 million in the six months ended January 31, 2026, as compared to the six months ended January 31, 2025. The decrease was mainly due to the timing of payments, cost of goods and services we purchase, production volume levels and vendor payment terms. In the six months ended January 31, 2026, there was a $3.7 million decrease in accounts payable related to capital expenditures recognized as cash used in investing activities as compared to the six months ended January 31,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the impact of payments made related to capital expenditures, accrued expenses decreased $10.6 million in the six months ended January 31, 2026, as compared to the six months ended January 31, 2025. The decrease was mainly due to the payout of annual bonuses and other miscellaneous expenses which fluctuate due to timing of payments, changes in the cost of goods and services we purchase, production volume levels, and vendor payment terms, including freight. In the six months ended January 31, 2026, there was a $1.1 million decrease in accrued expenses related to capital expenditures recognized as cash used in investing activities as compared to the six months ended January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$14.8 million in the six months ended January 31, 2026 was driven by capital expenditures. During the six months ended January 31, 2026, we continued to expand our plant equipment and improve our facilities to improve efficiency of our manufacturing process and meet customer demands.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$17.2 million in the six months ended January 31, 2026, included $12.4 million for stock repurchases and $4.9 million for dividend payments.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balances held by our foreign subsidiaries were $5.8 million as of January 31, 2026, compared to $4.7 million as of July 31, 2025.</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31, 2026, we had remaining authority to repurchase 174,742 shares of Common Stock and 208,197 shares of Class B Stock under a repurchase plan approved by our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exposure to market risk from that discussed in our Annual Report on Form 10-K for the fiscal year ended July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quarter ended January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3, and 5 of this Part II are either inapplicable or are answered in the negative and are omitted pursuant to the instructions to Part II of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of our Annual Report on Form 10-K for the fiscal year ended July 31, 2025. There have been no material changes to our risk factors since our Annual Report on Form 10-K for the fiscal year ended July 31,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2026, we did not sell any equity securities which were not registered under the Securities Act of 1933, as amended. The following table summarizes our Common Stock purchases by or on behalf of the Company or any affiliated purchaser (as defined in Rule 10b-18(a)(3) under the Exchange Act) during this period.</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3"/>
          <w:szCs w:val="23"/>
          <w:b w:val="1"/>
          <w:bCs w:val="1"/>
          <w:color w:val="auto"/>
          <w:vertAlign w:val="superscript"/>
        </w:rPr>
        <w:t>1, 2</w:t>
      </w:r>
    </w:p>
    <w:tbl>
      <w:tblPr>
        <w:tblLayout w:type="fixed"/>
        <w:tblInd w:w="0" w:type="dxa"/>
        <w:tblCellMar>
          <w:top w:w="0" w:type="dxa"/>
          <w:left w:w="0" w:type="dxa"/>
          <w:bottom w:w="0" w:type="dxa"/>
          <w:right w:w="0" w:type="dxa"/>
        </w:tblCellMar>
      </w:tblPr>
      <w:tr>
        <w:trPr>
          <w:trHeight w:val="214"/>
        </w:trPr>
        <w:tc>
          <w:tcPr>
            <w:tcW w:w="21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1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6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Plans or</w:t>
            </w: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vMerge w:val="continue"/>
          </w:tcPr>
          <w:p>
            <w:pPr>
              <w:spacing w:after="0"/>
              <w:rPr>
                <w:sz w:val="21"/>
                <w:szCs w:val="21"/>
                <w:color w:val="auto"/>
              </w:rPr>
            </w:pPr>
          </w:p>
        </w:tc>
        <w:tc>
          <w:tcPr>
            <w:tcW w:w="22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Purchased</w:t>
            </w:r>
            <w:r>
              <w:rPr>
                <w:rFonts w:ascii="Times New Roman" w:cs="Times New Roman" w:eastAsia="Times New Roman" w:hAnsi="Times New Roman"/>
                <w:sz w:val="23"/>
                <w:szCs w:val="23"/>
                <w:b w:val="1"/>
                <w:bCs w:val="1"/>
                <w:color w:val="auto"/>
                <w:w w:val="96"/>
                <w:vertAlign w:val="superscript"/>
              </w:rPr>
              <w:t>3</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4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4</w:t>
            </w:r>
          </w:p>
        </w:tc>
        <w:tc>
          <w:tcPr>
            <w:tcW w:w="0" w:type="dxa"/>
            <w:vAlign w:val="bottom"/>
          </w:tcPr>
          <w:p>
            <w:pPr>
              <w:spacing w:after="0"/>
              <w:rPr>
                <w:sz w:val="1"/>
                <w:szCs w:val="1"/>
                <w:color w:val="auto"/>
              </w:rPr>
            </w:pPr>
          </w:p>
        </w:tc>
      </w:tr>
      <w:tr>
        <w:trPr>
          <w:trHeight w:val="223"/>
        </w:trPr>
        <w:tc>
          <w:tcPr>
            <w:tcW w:w="2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3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1, 2025 to</w:t>
            </w:r>
          </w:p>
        </w:tc>
        <w:tc>
          <w:tcPr>
            <w:tcW w:w="22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30, 2025</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279,623</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December 1, 2025 to</w:t>
            </w:r>
          </w:p>
        </w:tc>
        <w:tc>
          <w:tcPr>
            <w:tcW w:w="22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100,660</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$51.28</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178,963</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1, 2026 to January</w:t>
            </w:r>
          </w:p>
        </w:tc>
        <w:tc>
          <w:tcPr>
            <w:tcW w:w="22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31, 2026</w:t>
            </w:r>
          </w:p>
        </w:tc>
        <w:tc>
          <w:tcPr>
            <w:tcW w:w="226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4,221</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$56.04</w:t>
            </w: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174,742</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8"/>
        <w:spacing w:after="0" w:line="235" w:lineRule="auto"/>
        <w:tabs>
          <w:tab w:leader="none" w:pos="8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and Class B Stock. No shares of our Class A Common Stock are currently outstanding. Descriptions of our Common Stock, Class B Stock and Class A Common Stock are contained in Exhibit 4.1 of our Annual Report on Form 10-K for the fiscal year ended July 31, 2025.</w:t>
      </w:r>
    </w:p>
    <w:p>
      <w:pPr>
        <w:spacing w:after="0" w:line="227" w:lineRule="exact"/>
        <w:rPr>
          <w:sz w:val="20"/>
          <w:szCs w:val="20"/>
          <w:color w:val="auto"/>
        </w:rPr>
      </w:pPr>
    </w:p>
    <w:p>
      <w:pPr>
        <w:ind w:firstLine="8"/>
        <w:spacing w:after="0" w:line="229" w:lineRule="auto"/>
        <w:tabs>
          <w:tab w:leader="none" w:pos="11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figures in the table reflect transactions according to the settlement dates. For the purposes of our unaudited Condensed Consolidated Financial Statements included in this report, the impact of repurchases are recorded according to the settlement dates.</w:t>
      </w:r>
    </w:p>
    <w:p>
      <w:pPr>
        <w:spacing w:after="0" w:line="225" w:lineRule="exact"/>
        <w:rPr>
          <w:sz w:val="20"/>
          <w:szCs w:val="20"/>
          <w:color w:val="auto"/>
        </w:rPr>
      </w:pPr>
    </w:p>
    <w:p>
      <w:pPr>
        <w:ind w:right="20" w:firstLine="8"/>
        <w:spacing w:after="0" w:line="229" w:lineRule="auto"/>
        <w:tabs>
          <w:tab w:leader="none" w:pos="8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660 shares and 4,221 shares of Common Stock which were surrendered by employees to pay taxes related to restricted stock awards during the periods of December 1, 2025 to December 31, 2025 and January 1, 2026 to January 31, 2026, respectively.</w:t>
      </w:r>
    </w:p>
    <w:p>
      <w:pPr>
        <w:spacing w:after="0" w:line="225" w:lineRule="exact"/>
        <w:rPr>
          <w:sz w:val="20"/>
          <w:szCs w:val="20"/>
          <w:color w:val="auto"/>
        </w:rPr>
      </w:pPr>
    </w:p>
    <w:p>
      <w:pPr>
        <w:jc w:val="both"/>
        <w:ind w:firstLine="8"/>
        <w:spacing w:after="0" w:line="239" w:lineRule="auto"/>
        <w:tabs>
          <w:tab w:leader="none" w:pos="8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Board authorized the repurchase of 750,000 shares of Common Stock on March 11, 2019. This authorization, which was announced on March 11, 2019,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number and manner of share repurchases will be determined by management.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are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300" w:type="dxa"/>
            <w:vAlign w:val="bottom"/>
          </w:tcPr>
          <w:p>
            <w:pPr>
              <w:spacing w:after="0"/>
              <w:rPr>
                <w:sz w:val="20"/>
                <w:szCs w:val="20"/>
                <w:color w:val="auto"/>
              </w:rPr>
            </w:pPr>
          </w:p>
        </w:tc>
      </w:tr>
      <w:tr>
        <w:trPr>
          <w:trHeight w:val="203"/>
        </w:trPr>
        <w:tc>
          <w:tcPr>
            <w:tcW w:w="108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43"/>
        </w:trPr>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Description</w:t>
            </w:r>
          </w:p>
        </w:tc>
        <w:tc>
          <w:tcPr>
            <w:tcW w:w="80" w:type="dxa"/>
            <w:vAlign w:val="bottom"/>
          </w:tcPr>
          <w:p>
            <w:pPr>
              <w:spacing w:after="0"/>
              <w:rPr>
                <w:sz w:val="21"/>
                <w:szCs w:val="21"/>
                <w:color w:val="auto"/>
              </w:rPr>
            </w:pPr>
          </w:p>
        </w:tc>
        <w:tc>
          <w:tcPr>
            <w:tcW w:w="3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SEC Document Reference</w:t>
            </w:r>
          </w:p>
        </w:tc>
      </w:tr>
      <w:tr>
        <w:trPr>
          <w:trHeight w:val="22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Certifications pursuant to Rule 13a–14(a) or Rule 15d-14(a) under the Securities Exchange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w:t>
            </w: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330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7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Certifications pursuant to 18 U.S.C. Section 1350 as adopted pursuant to Section 906 of the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00" w:type="dxa"/>
            <w:vAlign w:val="bottom"/>
            <w:gridSpan w:val="2"/>
          </w:tcPr>
          <w:p>
            <w:pPr>
              <w:spacing w:after="0"/>
              <w:rPr>
                <w:sz w:val="13"/>
                <w:szCs w:val="13"/>
                <w:color w:val="auto"/>
              </w:rPr>
            </w:pPr>
          </w:p>
        </w:tc>
        <w:tc>
          <w:tcPr>
            <w:tcW w:w="3300" w:type="dxa"/>
            <w:vAlign w:val="bottom"/>
          </w:tcPr>
          <w:p>
            <w:pPr>
              <w:spacing w:after="0"/>
              <w:rPr>
                <w:sz w:val="13"/>
                <w:szCs w:val="13"/>
                <w:color w:val="auto"/>
              </w:rPr>
            </w:pPr>
          </w:p>
        </w:tc>
      </w:tr>
      <w:tr>
        <w:trPr>
          <w:trHeight w:val="27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4700" w:type="dxa"/>
            <w:vAlign w:val="bottom"/>
            <w:gridSpan w:val="4"/>
          </w:tcPr>
          <w:p>
            <w:pPr>
              <w:spacing w:after="0"/>
              <w:rPr>
                <w:sz w:val="24"/>
                <w:szCs w:val="24"/>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-7620</wp:posOffset>
            </wp:positionV>
            <wp:extent cx="1603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S. Jaffee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-7620</wp:posOffset>
            </wp:positionV>
            <wp:extent cx="1539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Susan M. Kreh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11, 2026</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660"/>
          </w:cols>
          <w:pgMar w:left="320" w:top="891" w:right="9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13A-14(A)/15D-14(A)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S. Jaffee,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477"/>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526"/>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517"/>
        <w:spacing w:after="0" w:line="266" w:lineRule="auto"/>
        <w:tabs>
          <w:tab w:leader="none" w:pos="194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477"/>
        <w:spacing w:after="0" w:line="273"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11, 2026</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178"/>
        </w:trPr>
        <w:tc>
          <w:tcPr>
            <w:tcW w:w="840" w:type="dxa"/>
            <w:vAlign w:val="bottom"/>
          </w:tcPr>
          <w:p>
            <w:pPr>
              <w:spacing w:after="0"/>
              <w:rPr>
                <w:sz w:val="15"/>
                <w:szCs w:val="15"/>
                <w:color w:val="auto"/>
              </w:rPr>
            </w:pPr>
          </w:p>
        </w:tc>
        <w:tc>
          <w:tcPr>
            <w:tcW w:w="42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Daniel S. Jaffee</w:t>
            </w:r>
          </w:p>
        </w:tc>
      </w:tr>
      <w:tr>
        <w:trPr>
          <w:trHeight w:val="234"/>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color w:val="auto"/>
        </w:rPr>
        <w:t>Exhibit 31 (continued):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Susan M. Kreh,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332"/>
        <w:spacing w:after="0" w:line="266"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11, 2026</w:t>
            </w: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Susan M. Kreh</w:t>
            </w:r>
          </w:p>
        </w:tc>
      </w:tr>
      <w:tr>
        <w:trPr>
          <w:trHeight w:val="234"/>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January 31, 2026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March 11, 2026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January 31, 2026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March 11, 2026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Susan M. Kreh</w:t>
      </w: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2026.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1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Legal Actions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Section 104</w:t>
            </w: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Total Dollar</w:t>
            </w:r>
          </w:p>
        </w:tc>
        <w:tc>
          <w:tcPr>
            <w:tcW w:w="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Section 104(d)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110(b)(2)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107(a)</w:t>
            </w:r>
          </w:p>
        </w:tc>
        <w:tc>
          <w:tcPr>
            <w:tcW w:w="1180" w:type="dxa"/>
            <w:vAlign w:val="bottom"/>
            <w:vMerge w:val="continue"/>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Mining</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Pending as</w:t>
            </w: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 and</w:t>
            </w:r>
          </w:p>
        </w:tc>
        <w:tc>
          <w:tcPr>
            <w:tcW w:w="6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Value of Proposed</w:t>
            </w:r>
          </w:p>
        </w:tc>
        <w:tc>
          <w:tcPr>
            <w:tcW w:w="7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8"/>
        </w:trPr>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Mine ID</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Mine Location</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Substantial”</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10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Citations and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Flagrant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Imminent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MSHA</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1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of Last Day Initiated During</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Violations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Orders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Violations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Danger Orders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Assessments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Fatalities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Period</w:t>
            </w:r>
          </w:p>
        </w:tc>
        <w:tc>
          <w:tcPr>
            <w:tcW w:w="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Period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During Period</w:t>
            </w: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0900114</w:t>
            </w:r>
          </w:p>
        </w:tc>
        <w:tc>
          <w:tcPr>
            <w:tcW w:w="112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rPr>
              <w:t>Ochlocknee,</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3,095</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shd w:val="clear" w:color="auto" w:fill="CCEEFF"/>
          </w:tcPr>
          <w:p>
            <w:pPr>
              <w:spacing w:after="0"/>
              <w:rPr>
                <w:sz w:val="9"/>
                <w:szCs w:val="9"/>
                <w:color w:val="auto"/>
              </w:rPr>
            </w:pPr>
          </w:p>
        </w:tc>
        <w:tc>
          <w:tcPr>
            <w:tcW w:w="1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Georgia</w:t>
            </w:r>
          </w:p>
        </w:tc>
        <w:tc>
          <w:tcPr>
            <w:tcW w:w="10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6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2200035</w:t>
            </w: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Ripley,</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1102403</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Mounds, Illinois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4,738</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2200582</w:t>
            </w: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Blue Mountain,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0402964</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Taft, California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2" w:name="page43"/>
    <w:bookmarkEnd w:id="42"/>
    <w:p>
      <w:pPr>
        <w:jc w:val="both"/>
        <w:spacing w:after="0" w:line="250" w:lineRule="auto"/>
        <w:rPr>
          <w:sz w:val="20"/>
          <w:szCs w:val="20"/>
          <w:color w:val="auto"/>
        </w:rPr>
      </w:pPr>
      <w:r>
        <w:rPr>
          <w:rFonts w:ascii="Times New Roman" w:cs="Times New Roman" w:eastAsia="Times New Roman" w:hAnsi="Times New Roman"/>
          <w:sz w:val="18"/>
          <w:szCs w:val="18"/>
          <w:color w:val="auto"/>
        </w:rPr>
        <w:t>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204" w:lineRule="exact"/>
        <w:rPr>
          <w:sz w:val="20"/>
          <w:szCs w:val="20"/>
          <w:color w:val="auto"/>
        </w:rPr>
      </w:pPr>
    </w:p>
    <w:p>
      <w:pPr>
        <w:jc w:val="both"/>
        <w:ind w:right="360"/>
        <w:spacing w:after="0" w:line="236" w:lineRule="auto"/>
        <w:rPr>
          <w:sz w:val="20"/>
          <w:szCs w:val="20"/>
          <w:color w:val="auto"/>
        </w:rPr>
      </w:pPr>
      <w:r>
        <w:rPr>
          <w:rFonts w:ascii="Times New Roman" w:cs="Times New Roman" w:eastAsia="Times New Roman" w:hAnsi="Times New Roman"/>
          <w:sz w:val="18"/>
          <w:szCs w:val="18"/>
          <w:color w:val="auto"/>
        </w:rPr>
        <w:t>Legal actions pending before the Commission may involve, among other questions, challenges by operators to citations, orders and penalties they have received from MSHA or complaints of discrimination by miners under section 105 of the Mine Act. The following is a brief description of the types of legal actions that may be brought before the Commission.</w:t>
      </w:r>
    </w:p>
    <w:p>
      <w:pPr>
        <w:spacing w:after="0" w:line="213"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18"/>
          <w:szCs w:val="18"/>
          <w:color w:val="auto"/>
        </w:rPr>
        <w:t>Contests of Citations and Orders: A contest proceeding may be filed with the Commission by operators, miners or miners’ representatives to challenge the issuance of a citation or order issued by MSHA.</w:t>
      </w:r>
    </w:p>
    <w:p>
      <w:pPr>
        <w:spacing w:after="0" w:line="20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spacing w:after="0" w:line="204" w:lineRule="exact"/>
        <w:rPr>
          <w:sz w:val="20"/>
          <w:szCs w:val="20"/>
          <w:color w:val="auto"/>
        </w:rPr>
      </w:pPr>
    </w:p>
    <w:p>
      <w:pPr>
        <w:jc w:val="both"/>
        <w:ind w:left="120" w:right="380"/>
        <w:spacing w:after="0" w:line="250" w:lineRule="auto"/>
        <w:rPr>
          <w:sz w:val="20"/>
          <w:szCs w:val="20"/>
          <w:color w:val="auto"/>
        </w:rPr>
      </w:pPr>
      <w:r>
        <w:rPr>
          <w:rFonts w:ascii="Times New Roman" w:cs="Times New Roman" w:eastAsia="Times New Roman" w:hAnsi="Times New Roman"/>
          <w:sz w:val="18"/>
          <w:szCs w:val="18"/>
          <w:color w:val="auto"/>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spacing w:after="0" w:line="204" w:lineRule="exact"/>
        <w:rPr>
          <w:sz w:val="20"/>
          <w:szCs w:val="20"/>
          <w:color w:val="auto"/>
        </w:rPr>
      </w:pPr>
    </w:p>
    <w:p>
      <w:pPr>
        <w:ind w:left="120" w:right="300"/>
        <w:spacing w:after="0" w:line="296" w:lineRule="auto"/>
        <w:rPr>
          <w:sz w:val="20"/>
          <w:szCs w:val="20"/>
          <w:color w:val="auto"/>
        </w:rPr>
      </w:pPr>
      <w:r>
        <w:rPr>
          <w:rFonts w:ascii="Times New Roman" w:cs="Times New Roman" w:eastAsia="Times New Roman" w:hAnsi="Times New Roman"/>
          <w:sz w:val="17"/>
          <w:szCs w:val="17"/>
          <w:color w:val="auto"/>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spacing w:after="0" w:line="16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Applications for Temporary Relief: An application for temporary relief from any modification or termination of any order or from any order issued under section 104 of the Mine Act.</w:t>
      </w:r>
    </w:p>
    <w:p>
      <w:pPr>
        <w:spacing w:after="0" w:line="189" w:lineRule="exact"/>
        <w:rPr>
          <w:sz w:val="20"/>
          <w:szCs w:val="20"/>
          <w:color w:val="auto"/>
        </w:rPr>
      </w:pPr>
    </w:p>
    <w:p>
      <w:pPr>
        <w:ind w:left="120" w:right="160"/>
        <w:spacing w:after="0" w:line="250" w:lineRule="auto"/>
        <w:rPr>
          <w:sz w:val="20"/>
          <w:szCs w:val="20"/>
          <w:color w:val="auto"/>
        </w:rPr>
      </w:pPr>
      <w:r>
        <w:rPr>
          <w:rFonts w:ascii="Times New Roman" w:cs="Times New Roman" w:eastAsia="Times New Roman" w:hAnsi="Times New Roman"/>
          <w:sz w:val="18"/>
          <w:szCs w:val="18"/>
          <w:color w:val="auto"/>
        </w:rPr>
        <w:t>Appeals of Judges’ Decisions or Orders to the Commission: A filing with the Commission of a petition for discretionary review of a Judge’s decision or order by a person who has been adversely affected or aggrieved by such decision or order.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Contests of</w:t>
            </w:r>
          </w:p>
        </w:tc>
        <w:tc>
          <w:tcPr>
            <w:tcW w:w="13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Complaints of</w:t>
            </w:r>
          </w:p>
        </w:tc>
        <w:tc>
          <w:tcPr>
            <w:tcW w:w="1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Contests of Citations</w:t>
            </w:r>
          </w:p>
        </w:tc>
        <w:tc>
          <w:tcPr>
            <w:tcW w:w="1040" w:type="dxa"/>
            <w:vAlign w:val="bottom"/>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Complaints for</w:t>
            </w: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Discharge,</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Applications for</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Appeals of Judges Decisions</w:t>
            </w:r>
          </w:p>
        </w:tc>
        <w:tc>
          <w:tcPr>
            <w:tcW w:w="0" w:type="dxa"/>
            <w:vAlign w:val="bottom"/>
          </w:tcPr>
          <w:p>
            <w:pPr>
              <w:spacing w:after="0"/>
              <w:rPr>
                <w:sz w:val="1"/>
                <w:szCs w:val="1"/>
                <w:color w:val="auto"/>
              </w:rPr>
            </w:pPr>
          </w:p>
        </w:tc>
      </w:tr>
      <w:tr>
        <w:trPr>
          <w:trHeight w:val="149"/>
        </w:trPr>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Mine ID</w:t>
            </w: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Mine location</w:t>
            </w:r>
          </w:p>
        </w:tc>
        <w:tc>
          <w:tcPr>
            <w:tcW w:w="148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Proposed</w:t>
            </w:r>
          </w:p>
        </w:tc>
        <w:tc>
          <w:tcPr>
            <w:tcW w:w="134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Discrimination or</w:t>
            </w:r>
          </w:p>
        </w:tc>
        <w:tc>
          <w:tcPr>
            <w:tcW w:w="12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00" w:type="dxa"/>
            <w:vAlign w:val="bottom"/>
            <w:tcBorders>
              <w:bottom w:val="single" w:sz="8" w:color="CCEEFF"/>
            </w:tcBorders>
            <w:vMerge w:val="continue"/>
          </w:tcPr>
          <w:p>
            <w:pPr>
              <w:spacing w:after="0"/>
              <w:rPr>
                <w:sz w:val="17"/>
                <w:szCs w:val="17"/>
                <w:color w:val="auto"/>
              </w:rPr>
            </w:pPr>
          </w:p>
        </w:tc>
        <w:tc>
          <w:tcPr>
            <w:tcW w:w="16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and Orders</w:t>
            </w: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Penalties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Compensation</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Interference</w:t>
            </w:r>
          </w:p>
        </w:tc>
        <w:tc>
          <w:tcPr>
            <w:tcW w:w="12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Temporary Relief</w:t>
            </w:r>
          </w:p>
        </w:tc>
        <w:tc>
          <w:tcPr>
            <w:tcW w:w="1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or Orders to the Commission</w:t>
            </w:r>
          </w:p>
        </w:tc>
        <w:tc>
          <w:tcPr>
            <w:tcW w:w="0" w:type="dxa"/>
            <w:vAlign w:val="bottom"/>
          </w:tcPr>
          <w:p>
            <w:pPr>
              <w:spacing w:after="0"/>
              <w:rPr>
                <w:sz w:val="1"/>
                <w:szCs w:val="1"/>
                <w:color w:val="auto"/>
              </w:rPr>
            </w:pPr>
          </w:p>
        </w:tc>
      </w:tr>
      <w:tr>
        <w:trPr>
          <w:trHeight w:val="201"/>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0900114</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Ochlocknee, Georgia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2200035</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Ripley, Mississippi</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1102403</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Mounds, Illinois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9"/>
        </w:trPr>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2200582</w:t>
            </w:r>
          </w:p>
        </w:tc>
        <w:tc>
          <w:tcPr>
            <w:tcW w:w="16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Blue Mountain,</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Mississippi</w:t>
            </w:r>
          </w:p>
        </w:tc>
        <w:tc>
          <w:tcPr>
            <w:tcW w:w="14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9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0402964</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Taft, California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8">
    <w:nsid w:val="5BD062C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2026-03-11T15:29:40Z</dcterms:created>
  <dcterms:modified xsi:type="dcterms:W3CDTF">2026-03-11T15:29:40Z</dcterms:modified>
</cp:coreProperties>
</file>