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v176966_8k.htm"/>
      <w:bookmarkStart w:id="1" w:name="ksv176966_8k"/>
      <w:bookmarkStart w:id="2" w:name="v176966_8k.htm"/>
      <w:bookmarkStart w:id="3" w:name="ksv176966_8k"/>
      <w:bookmarkEnd w:id="2"/>
      <w:bookmarkEnd w:id="3"/>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478"/>
        <w:gridCol w:w="4727"/>
      </w:tblGrid>
      <w:tr>
        <w:trPr/>
        <w:tc>
          <w:tcPr>
            <w:tcW w:w="547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of Report (Date of earliest event reported)  </w:t>
            </w:r>
          </w:p>
        </w:tc>
        <w:tc>
          <w:tcPr>
            <w:tcW w:w="4727"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March 10, 2010</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c>
      </w:tr>
    </w:tbl>
    <w:p>
      <w:pPr>
        <w:pStyle w:val="TextBody"/>
        <w:spacing w:before="0" w:after="0"/>
        <w:ind w:left="0" w:right="0" w:hanging="0"/>
        <w:rPr/>
      </w:pPr>
      <w:r>
        <w:rPr/>
      </w:r>
    </w:p>
    <w:tbl>
      <w:tblPr>
        <w:tblW w:w="5000" w:type="pct"/>
        <w:jc w:val="center"/>
        <w:tblInd w:w="0" w:type="dxa"/>
        <w:tblCellMar>
          <w:top w:w="0" w:type="dxa"/>
          <w:left w:w="0" w:type="dxa"/>
          <w:bottom w:w="28" w:type="dxa"/>
          <w:right w:w="0" w:type="dxa"/>
        </w:tblCellMar>
      </w:tblPr>
      <w:tblGrid>
        <w:gridCol w:w="3369"/>
        <w:gridCol w:w="202"/>
        <w:gridCol w:w="3062"/>
        <w:gridCol w:w="202"/>
        <w:gridCol w:w="3370"/>
      </w:tblGrid>
      <w:tr>
        <w:trPr/>
        <w:tc>
          <w:tcPr>
            <w:tcW w:w="3369"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202" w:type="dxa"/>
            <w:tcBorders>
              <w:bottom w:val="single" w:sz="12" w:space="0" w:color="000000"/>
            </w:tcBorders>
            <w:shd w:fill="auto" w:val="clear"/>
          </w:tcPr>
          <w:p>
            <w:pPr>
              <w:pStyle w:val="TableContents"/>
              <w:spacing w:before="0" w:after="283"/>
              <w:rPr/>
            </w:pPr>
            <w:r>
              <w:rPr/>
              <w:t xml:space="preserve">  </w:t>
            </w:r>
          </w:p>
        </w:tc>
        <w:tc>
          <w:tcPr>
            <w:tcW w:w="306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001-12622</w:t>
            </w:r>
          </w:p>
        </w:tc>
        <w:tc>
          <w:tcPr>
            <w:tcW w:w="202" w:type="dxa"/>
            <w:tcBorders>
              <w:bottom w:val="single" w:sz="12" w:space="0" w:color="000000"/>
            </w:tcBorders>
            <w:shd w:fill="auto" w:val="clear"/>
          </w:tcPr>
          <w:p>
            <w:pPr>
              <w:pStyle w:val="TableContents"/>
              <w:spacing w:before="0" w:after="283"/>
              <w:rPr/>
            </w:pPr>
            <w:r>
              <w:rPr/>
              <w:t xml:space="preserve">  </w:t>
            </w:r>
          </w:p>
        </w:tc>
        <w:tc>
          <w:tcPr>
            <w:tcW w:w="3370"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36-2048898</w:t>
            </w:r>
          </w:p>
        </w:tc>
      </w:tr>
      <w:tr>
        <w:trPr/>
        <w:tc>
          <w:tcPr>
            <w:tcW w:w="3369"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tc>
        <w:tc>
          <w:tcPr>
            <w:tcW w:w="202" w:type="dxa"/>
            <w:tcBorders/>
            <w:shd w:fill="auto" w:val="clear"/>
            <w:tcMar>
              <w:bottom w:w="0" w:type="dxa"/>
            </w:tcMar>
          </w:tcPr>
          <w:p>
            <w:pPr>
              <w:pStyle w:val="TableContents"/>
              <w:spacing w:before="0" w:after="283"/>
              <w:rPr/>
            </w:pPr>
            <w:r>
              <w:rPr/>
              <w:t xml:space="preserve">  </w:t>
            </w:r>
          </w:p>
        </w:tc>
        <w:tc>
          <w:tcPr>
            <w:tcW w:w="306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w:t>
            </w:r>
          </w:p>
          <w:p>
            <w:pPr>
              <w:pStyle w:val="TableContents"/>
              <w:spacing w:before="0" w:after="0"/>
              <w:ind w:left="0" w:right="0" w:hanging="0"/>
              <w:jc w:val="center"/>
              <w:rPr>
                <w:rFonts w:ascii="times new roman" w:hAnsi="times new roman"/>
                <w:sz w:val="20"/>
              </w:rPr>
            </w:pPr>
            <w:r>
              <w:rPr>
                <w:rFonts w:ascii="times new roman" w:hAnsi="times new roman"/>
                <w:sz w:val="20"/>
              </w:rPr>
              <w:t>Number)</w:t>
            </w:r>
          </w:p>
        </w:tc>
        <w:tc>
          <w:tcPr>
            <w:tcW w:w="202" w:type="dxa"/>
            <w:tcBorders/>
            <w:shd w:fill="auto" w:val="clear"/>
            <w:tcMar>
              <w:bottom w:w="0" w:type="dxa"/>
            </w:tcMar>
          </w:tcPr>
          <w:p>
            <w:pPr>
              <w:pStyle w:val="TableContents"/>
              <w:spacing w:before="0" w:after="283"/>
              <w:rPr/>
            </w:pPr>
            <w:r>
              <w:rPr/>
              <w:t xml:space="preserve">  </w:t>
            </w:r>
          </w:p>
        </w:tc>
        <w:tc>
          <w:tcPr>
            <w:tcW w:w="3370"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before="0" w:after="0"/>
              <w:ind w:left="0" w:right="0" w:hanging="0"/>
              <w:jc w:val="center"/>
              <w:rPr>
                <w:rFonts w:ascii="times new roman" w:hAnsi="times new roman"/>
                <w:sz w:val="20"/>
              </w:rPr>
            </w:pPr>
            <w:r>
              <w:rPr>
                <w:rFonts w:ascii="times new roman" w:hAnsi="times new roman"/>
                <w:sz w:val="20"/>
              </w:rPr>
              <w:t>Identification No.)</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164"/>
        <w:gridCol w:w="5041"/>
      </w:tblGrid>
      <w:tr>
        <w:trPr/>
        <w:tc>
          <w:tcPr>
            <w:tcW w:w="5164"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410 North Michigan Avenue</w:t>
            </w:r>
          </w:p>
          <w:p>
            <w:pPr>
              <w:pStyle w:val="TableContents"/>
              <w:spacing w:before="0" w:after="0"/>
              <w:ind w:left="0" w:right="0" w:hanging="0"/>
              <w:jc w:val="center"/>
              <w:rPr>
                <w:rFonts w:ascii="times new roman" w:hAnsi="times new roman"/>
                <w:b/>
                <w:sz w:val="20"/>
              </w:rPr>
            </w:pPr>
            <w:r>
              <w:rPr>
                <w:rFonts w:ascii="times new roman" w:hAnsi="times new roman"/>
                <w:b/>
                <w:sz w:val="20"/>
              </w:rPr>
              <w:t>Suite 400</w:t>
            </w:r>
          </w:p>
          <w:p>
            <w:pPr>
              <w:pStyle w:val="TableContents"/>
              <w:spacing w:before="0" w:after="0"/>
              <w:ind w:left="0" w:right="0" w:hanging="0"/>
              <w:jc w:val="center"/>
              <w:rPr>
                <w:rFonts w:ascii="times new roman" w:hAnsi="times new roman"/>
                <w:b/>
                <w:sz w:val="20"/>
              </w:rPr>
            </w:pPr>
            <w:r>
              <w:rPr>
                <w:rFonts w:ascii="times new roman" w:hAnsi="times new roman"/>
                <w:b/>
                <w:sz w:val="20"/>
              </w:rPr>
              <w:t>Chicago, Illinois</w:t>
            </w:r>
          </w:p>
        </w:tc>
        <w:tc>
          <w:tcPr>
            <w:tcW w:w="5041"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60611-4213</w:t>
            </w:r>
          </w:p>
        </w:tc>
      </w:tr>
      <w:tr>
        <w:trPr/>
        <w:tc>
          <w:tcPr>
            <w:tcW w:w="516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041"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476"/>
        <w:gridCol w:w="4729"/>
      </w:tblGrid>
      <w:tr>
        <w:trPr/>
        <w:tc>
          <w:tcPr>
            <w:tcW w:w="547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Registrant’s telephone number, including area code  </w:t>
            </w:r>
          </w:p>
        </w:tc>
        <w:tc>
          <w:tcPr>
            <w:tcW w:w="4729"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(312) 321-1515</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283"/>
              <w:rPr/>
            </w:pPr>
            <w:r>
              <w:rPr/>
              <w:t xml:space="preserve">  </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Written communications pursuant to Rule 425 under the Securities Act (17 CFR 230.425)</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Soliciting material pursuant to Rule 14a-12 under the Exchange Act (17 CFR 240.14a-12)</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Pre-commencement communications pursuant to Rule 14d-2(b) under the Exchange Act (17 CFR 240.14d-2(b))</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Pre-commencement communications pursuant to Rule 13e-4(c) under the Exchange Act (17 CFR 240.13e-4(c))</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2.02</w:t>
      </w:r>
      <w:r>
        <w:rPr>
          <w:rFonts w:ascii="Times New Roman" w:hAnsi="Times New Roman"/>
          <w:b/>
          <w:sz w:val="20"/>
        </w:rPr>
        <w:t>     Results of Operations and Financial Condition.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March 10, 2010, Oil-Dri Corporation of America (the “Registrant”) issued a press release announcing its results of operations for its second quarter and six-month period ended January 31, 2010.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u w:val="single"/>
        </w:rPr>
        <w:t>Item 9.01</w:t>
      </w:r>
      <w:r>
        <w:rPr>
          <w:rFonts w:ascii="Times New Roman" w:hAnsi="Times New Roman"/>
          <w:b/>
          <w:sz w:val="20"/>
        </w:rPr>
        <w:t>     Financial Statements and Exhibits.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           Exhibits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16"/>
        <w:gridCol w:w="204"/>
        <w:gridCol w:w="9185"/>
      </w:tblGrid>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tc>
        <w:tc>
          <w:tcPr>
            <w:tcW w:w="204" w:type="dxa"/>
            <w:tcBorders/>
            <w:shd w:fill="auto" w:val="clear"/>
          </w:tcPr>
          <w:p>
            <w:pPr>
              <w:pStyle w:val="TableContents"/>
              <w:spacing w:before="0" w:after="283"/>
              <w:rPr/>
            </w:pPr>
            <w:r>
              <w:rPr/>
              <w:t xml:space="preserve">  </w:t>
            </w:r>
          </w:p>
        </w:tc>
        <w:tc>
          <w:tcPr>
            <w:tcW w:w="9185" w:type="dxa"/>
            <w:tcBorders/>
            <w:shd w:fill="auto" w:val="clear"/>
          </w:tcPr>
          <w:p>
            <w:pPr>
              <w:pStyle w:val="TableContents"/>
              <w:spacing w:before="0" w:after="283"/>
              <w:rPr/>
            </w:pPr>
            <w:r>
              <w:rPr/>
              <w:t xml:space="preserve">  </w:t>
            </w:r>
          </w:p>
        </w:tc>
      </w:tr>
      <w:tr>
        <w:trPr/>
        <w:tc>
          <w:tcPr>
            <w:tcW w:w="816"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204" w:type="dxa"/>
            <w:tcBorders/>
            <w:shd w:fill="auto" w:val="clear"/>
          </w:tcPr>
          <w:p>
            <w:pPr>
              <w:pStyle w:val="TableContents"/>
              <w:spacing w:before="0" w:after="283"/>
              <w:rPr/>
            </w:pPr>
            <w:r>
              <w:rPr/>
              <w:t xml:space="preserve">  </w:t>
            </w:r>
          </w:p>
        </w:tc>
        <w:tc>
          <w:tcPr>
            <w:tcW w:w="9185"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Exhibits</w:t>
            </w:r>
          </w:p>
        </w:tc>
      </w:tr>
      <w:tr>
        <w:trPr/>
        <w:tc>
          <w:tcPr>
            <w:tcW w:w="816" w:type="dxa"/>
            <w:tcBorders/>
            <w:shd w:fill="auto" w:val="clear"/>
          </w:tcPr>
          <w:p>
            <w:pPr>
              <w:pStyle w:val="TableContents"/>
              <w:spacing w:before="0" w:after="283"/>
              <w:rPr/>
            </w:pPr>
            <w:r>
              <w:rPr/>
              <w:t xml:space="preserve">  </w:t>
            </w:r>
          </w:p>
        </w:tc>
        <w:tc>
          <w:tcPr>
            <w:tcW w:w="204" w:type="dxa"/>
            <w:tcBorders/>
            <w:shd w:fill="auto" w:val="clear"/>
          </w:tcPr>
          <w:p>
            <w:pPr>
              <w:pStyle w:val="TableContents"/>
              <w:spacing w:before="0" w:after="283"/>
              <w:rPr/>
            </w:pPr>
            <w:r>
              <w:rPr/>
              <w:t xml:space="preserve">  </w:t>
            </w:r>
          </w:p>
        </w:tc>
        <w:tc>
          <w:tcPr>
            <w:tcW w:w="9185" w:type="dxa"/>
            <w:tcBorders/>
            <w:shd w:fill="auto" w:val="clear"/>
          </w:tcPr>
          <w:p>
            <w:pPr>
              <w:pStyle w:val="TableContents"/>
              <w:spacing w:before="0" w:after="283"/>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204" w:type="dxa"/>
            <w:tcBorders/>
            <w:shd w:fill="auto" w:val="clear"/>
          </w:tcPr>
          <w:p>
            <w:pPr>
              <w:pStyle w:val="TableContents"/>
              <w:spacing w:before="0" w:after="283"/>
              <w:rPr/>
            </w:pPr>
            <w:r>
              <w:rPr/>
              <w:t xml:space="preserve">  </w:t>
            </w:r>
          </w:p>
        </w:tc>
        <w:tc>
          <w:tcPr>
            <w:tcW w:w="91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dated March 10, 2010</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4" w:name="PGBRK"/>
      <w:bookmarkStart w:id="5" w:name="PGBRK"/>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 w:name="FTR"/>
      <w:bookmarkStart w:id="7" w:name="FTR"/>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color w:val="000000"/>
        </w:rPr>
      </w:pPr>
      <w:bookmarkStart w:id="8" w:name="GLFTR"/>
      <w:bookmarkEnd w:id="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9" w:name="PN"/>
      <w:bookmarkStart w:id="10" w:name="PN"/>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1" w:name="HDR"/>
      <w:bookmarkStart w:id="12" w:name="HD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color w:val="000000"/>
        </w:rPr>
      </w:pPr>
      <w:bookmarkStart w:id="13" w:name="GLHDR"/>
      <w:bookmarkEnd w:id="1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r>
    </w:p>
    <w:tbl>
      <w:tblPr>
        <w:tblW w:w="2500" w:type="pct"/>
        <w:jc w:val="center"/>
        <w:tblInd w:w="0" w:type="dxa"/>
        <w:tblCellMar>
          <w:top w:w="0" w:type="dxa"/>
          <w:left w:w="0" w:type="dxa"/>
          <w:bottom w:w="0" w:type="dxa"/>
          <w:right w:w="0" w:type="dxa"/>
        </w:tblCellMar>
      </w:tblPr>
      <w:tblGrid>
        <w:gridCol w:w="545"/>
        <w:gridCol w:w="4557"/>
      </w:tblGrid>
      <w:tr>
        <w:trPr/>
        <w:tc>
          <w:tcPr>
            <w:tcW w:w="5102"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OIL-DRI CORPORATION OF AMERICA</w:t>
            </w:r>
          </w:p>
        </w:tc>
      </w:tr>
      <w:tr>
        <w:trPr/>
        <w:tc>
          <w:tcPr>
            <w:tcW w:w="5102" w:type="dxa"/>
            <w:gridSpan w:val="2"/>
            <w:tcBorders/>
            <w:shd w:fill="auto" w:val="clear"/>
          </w:tcPr>
          <w:p>
            <w:pPr>
              <w:pStyle w:val="TableContents"/>
              <w:spacing w:before="0" w:after="283"/>
              <w:rPr/>
            </w:pPr>
            <w:r>
              <w:rPr/>
              <w:t xml:space="preserve">  </w:t>
            </w:r>
          </w:p>
        </w:tc>
      </w:tr>
      <w:tr>
        <w:trPr/>
        <w:tc>
          <w:tcPr>
            <w:tcW w:w="54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  </w:t>
            </w:r>
          </w:p>
        </w:tc>
        <w:tc>
          <w:tcPr>
            <w:tcW w:w="4557"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Charles P. Brissman</w:t>
            </w:r>
          </w:p>
        </w:tc>
      </w:tr>
      <w:tr>
        <w:trPr/>
        <w:tc>
          <w:tcPr>
            <w:tcW w:w="545" w:type="dxa"/>
            <w:tcBorders/>
            <w:shd w:fill="auto" w:val="clear"/>
          </w:tcPr>
          <w:p>
            <w:pPr>
              <w:pStyle w:val="TableContents"/>
              <w:spacing w:before="0" w:after="283"/>
              <w:rPr/>
            </w:pPr>
            <w:r>
              <w:rPr/>
              <w:t xml:space="preserve">  </w:t>
            </w:r>
          </w:p>
        </w:tc>
        <w:tc>
          <w:tcPr>
            <w:tcW w:w="45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Charles P. Brissman</w:t>
            </w:r>
          </w:p>
        </w:tc>
      </w:tr>
      <w:tr>
        <w:trPr/>
        <w:tc>
          <w:tcPr>
            <w:tcW w:w="545" w:type="dxa"/>
            <w:tcBorders/>
            <w:shd w:fill="auto" w:val="clear"/>
          </w:tcPr>
          <w:p>
            <w:pPr>
              <w:pStyle w:val="TableContents"/>
              <w:spacing w:before="0" w:after="283"/>
              <w:rPr/>
            </w:pPr>
            <w:r>
              <w:rPr/>
              <w:t xml:space="preserve">  </w:t>
            </w:r>
          </w:p>
        </w:tc>
        <w:tc>
          <w:tcPr>
            <w:tcW w:w="45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and General Counsel</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March 10, 2010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 w:name="PGBRK1"/>
      <w:bookmarkStart w:id="15" w:name="PGBRK1"/>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 w:name="FTR1"/>
      <w:bookmarkStart w:id="17" w:name="FTR1"/>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8" w:name="GLFTR1"/>
      <w:bookmarkEnd w:id="1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19" w:name="PN1"/>
      <w:bookmarkStart w:id="20" w:name="PN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 w:name="HDR1"/>
      <w:bookmarkStart w:id="22" w:name="HDR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3" w:name="GLHDR1"/>
      <w:bookmarkEnd w:id="2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Exhibit Index</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16"/>
        <w:gridCol w:w="204"/>
        <w:gridCol w:w="9185"/>
      </w:tblGrid>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tc>
        <w:tc>
          <w:tcPr>
            <w:tcW w:w="204" w:type="dxa"/>
            <w:tcBorders/>
            <w:shd w:fill="auto" w:val="clear"/>
          </w:tcPr>
          <w:p>
            <w:pPr>
              <w:pStyle w:val="TableContents"/>
              <w:spacing w:before="0" w:after="283"/>
              <w:rPr/>
            </w:pPr>
            <w:r>
              <w:rPr/>
              <w:t xml:space="preserve">  </w:t>
            </w:r>
          </w:p>
        </w:tc>
        <w:tc>
          <w:tcPr>
            <w:tcW w:w="9185" w:type="dxa"/>
            <w:tcBorders/>
            <w:shd w:fill="auto" w:val="clear"/>
          </w:tcPr>
          <w:p>
            <w:pPr>
              <w:pStyle w:val="TableContents"/>
              <w:spacing w:before="0" w:after="283"/>
              <w:rPr/>
            </w:pPr>
            <w:r>
              <w:rPr/>
              <w:t xml:space="preserve">  </w:t>
            </w:r>
          </w:p>
        </w:tc>
      </w:tr>
      <w:tr>
        <w:trPr/>
        <w:tc>
          <w:tcPr>
            <w:tcW w:w="816"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204" w:type="dxa"/>
            <w:tcBorders/>
            <w:shd w:fill="auto" w:val="clear"/>
          </w:tcPr>
          <w:p>
            <w:pPr>
              <w:pStyle w:val="TableContents"/>
              <w:spacing w:before="0" w:after="283"/>
              <w:rPr/>
            </w:pPr>
            <w:r>
              <w:rPr/>
              <w:t xml:space="preserve">  </w:t>
            </w:r>
          </w:p>
        </w:tc>
        <w:tc>
          <w:tcPr>
            <w:tcW w:w="9185"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Exhibits</w:t>
            </w:r>
          </w:p>
        </w:tc>
      </w:tr>
      <w:tr>
        <w:trPr/>
        <w:tc>
          <w:tcPr>
            <w:tcW w:w="816" w:type="dxa"/>
            <w:tcBorders/>
            <w:shd w:fill="auto" w:val="clear"/>
          </w:tcPr>
          <w:p>
            <w:pPr>
              <w:pStyle w:val="TableContents"/>
              <w:spacing w:before="0" w:after="283"/>
              <w:rPr/>
            </w:pPr>
            <w:r>
              <w:rPr/>
              <w:t xml:space="preserve">  </w:t>
            </w:r>
          </w:p>
        </w:tc>
        <w:tc>
          <w:tcPr>
            <w:tcW w:w="204" w:type="dxa"/>
            <w:tcBorders/>
            <w:shd w:fill="auto" w:val="clear"/>
          </w:tcPr>
          <w:p>
            <w:pPr>
              <w:pStyle w:val="TableContents"/>
              <w:spacing w:before="0" w:after="283"/>
              <w:rPr/>
            </w:pPr>
            <w:r>
              <w:rPr/>
              <w:t xml:space="preserve">  </w:t>
            </w:r>
          </w:p>
        </w:tc>
        <w:tc>
          <w:tcPr>
            <w:tcW w:w="9185" w:type="dxa"/>
            <w:tcBorders/>
            <w:shd w:fill="auto" w:val="clear"/>
          </w:tcPr>
          <w:p>
            <w:pPr>
              <w:pStyle w:val="TableContents"/>
              <w:spacing w:before="0" w:after="283"/>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204" w:type="dxa"/>
            <w:tcBorders/>
            <w:shd w:fill="auto" w:val="clear"/>
          </w:tcPr>
          <w:p>
            <w:pPr>
              <w:pStyle w:val="TableContents"/>
              <w:spacing w:before="0" w:after="283"/>
              <w:rPr/>
            </w:pPr>
            <w:r>
              <w:rPr/>
              <w:t xml:space="preserve">  </w:t>
            </w:r>
          </w:p>
        </w:tc>
        <w:tc>
          <w:tcPr>
            <w:tcW w:w="91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dated March 10, 2010</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4" w:name="PGBRK2"/>
      <w:bookmarkStart w:id="25" w:name="PGBRK2"/>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6" w:name="FTR2"/>
      <w:bookmarkStart w:id="27" w:name="FTR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color w:val="000000"/>
        </w:rPr>
      </w:pPr>
      <w:bookmarkStart w:id="28" w:name="GLFTR2"/>
      <w:bookmarkEnd w:id="2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29" w:name="PN2"/>
      <w:bookmarkStart w:id="30" w:name="PN2"/>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1" w:name="HDR2"/>
      <w:bookmarkStart w:id="32" w:name="HDR2"/>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color w:val="000000"/>
        </w:rPr>
      </w:pPr>
      <w:bookmarkStart w:id="33" w:name="GLHDR2"/>
      <w:bookmarkEnd w:id="3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4" w:name="v176966_ex99-1.htm"/>
      <w:bookmarkStart w:id="35" w:name="ksv176966_ex991"/>
      <w:bookmarkStart w:id="36" w:name="v176966_ex99-1.htm"/>
      <w:bookmarkStart w:id="37" w:name="ksv176966_ex991"/>
      <w:bookmarkEnd w:id="36"/>
      <w:bookmarkEnd w:id="37"/>
    </w:p>
    <w:tbl>
      <w:tblPr>
        <w:tblW w:w="10700" w:type="dxa"/>
        <w:jc w:val="left"/>
        <w:tblInd w:w="0" w:type="dxa"/>
        <w:tblCellMar>
          <w:top w:w="0" w:type="dxa"/>
          <w:left w:w="0" w:type="dxa"/>
          <w:bottom w:w="0" w:type="dxa"/>
          <w:right w:w="0" w:type="dxa"/>
        </w:tblCellMar>
      </w:tblPr>
      <w:tblGrid>
        <w:gridCol w:w="1515"/>
        <w:gridCol w:w="240"/>
        <w:gridCol w:w="8945"/>
      </w:tblGrid>
      <w:tr>
        <w:trPr/>
        <w:tc>
          <w:tcPr>
            <w:tcW w:w="1515" w:type="dxa"/>
            <w:tcBorders/>
            <w:shd w:fill="auto" w:val="clear"/>
          </w:tcPr>
          <w:p>
            <w:pPr>
              <w:pStyle w:val="TableContents"/>
              <w:spacing w:before="0" w:after="0"/>
              <w:ind w:left="0" w:right="0" w:hanging="0"/>
              <w:jc w:val="left"/>
              <w:rPr/>
            </w:pPr>
            <w:r>
              <w:rPr/>
              <w:drawing>
                <wp:inline distT="0" distB="0" distL="0" distR="0">
                  <wp:extent cx="952500" cy="7410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7410450"/>
                          </a:xfrm>
                          <a:prstGeom prst="rect">
                            <a:avLst/>
                          </a:prstGeom>
                        </pic:spPr>
                      </pic:pic>
                    </a:graphicData>
                  </a:graphic>
                </wp:inline>
              </w:drawing>
            </w:r>
          </w:p>
        </w:tc>
        <w:tc>
          <w:tcPr>
            <w:tcW w:w="240" w:type="dxa"/>
            <w:tcBorders/>
            <w:shd w:fill="auto" w:val="clear"/>
          </w:tcPr>
          <w:p>
            <w:pPr>
              <w:pStyle w:val="TableContents"/>
              <w:spacing w:before="0" w:after="283"/>
              <w:rPr/>
            </w:pPr>
            <w:r>
              <w:rPr/>
              <w:t>      </w:t>
            </w:r>
          </w:p>
        </w:tc>
        <w:tc>
          <w:tcPr>
            <w:tcW w:w="894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Exhibit 99.1</w:t>
            </w:r>
          </w:p>
          <w:p>
            <w:pPr>
              <w:pStyle w:val="TableContents"/>
              <w:spacing w:before="0" w:after="0"/>
              <w:ind w:left="0" w:right="0" w:hanging="0"/>
              <w:jc w:val="right"/>
              <w:rPr/>
            </w:pPr>
            <w:r>
              <w:rPr/>
              <w:t xml:space="preserve">   </w:t>
            </w:r>
          </w:p>
          <w:p>
            <w:pPr>
              <w:pStyle w:val="TableContents"/>
              <w:spacing w:before="0" w:after="0"/>
              <w:ind w:left="0" w:right="0" w:hanging="0"/>
              <w:jc w:val="right"/>
              <w:rPr>
                <w:rFonts w:ascii="times new roman" w:hAnsi="times new roman"/>
                <w:b/>
                <w:sz w:val="48"/>
              </w:rPr>
            </w:pPr>
            <w:r>
              <w:rPr>
                <w:rFonts w:ascii="times new roman" w:hAnsi="times new roman"/>
                <w:b/>
                <w:sz w:val="48"/>
              </w:rPr>
              <w:t xml:space="preserve">News Release </w:t>
            </w:r>
          </w:p>
          <w:p>
            <w:pPr>
              <w:pStyle w:val="HorizontalLine"/>
              <w:pBdr>
                <w:bottom w:val="single" w:sz="6" w:space="0" w:color="808080"/>
              </w:pBdr>
              <w:jc w:val="right"/>
              <w:rPr/>
            </w:pPr>
            <w:r>
              <w:rPr/>
            </w:r>
          </w:p>
          <w:p>
            <w:pPr>
              <w:pStyle w:val="TableContents"/>
              <w:spacing w:before="0" w:after="0"/>
              <w:ind w:left="0" w:right="0" w:hanging="0"/>
              <w:rPr>
                <w:rFonts w:ascii="times new roman" w:hAnsi="times new roman"/>
                <w:sz w:val="20"/>
              </w:rPr>
            </w:pPr>
            <w:r>
              <w:rPr>
                <w:rFonts w:ascii="times new roman" w:hAnsi="times new roman"/>
                <w:b/>
                <w:sz w:val="20"/>
              </w:rPr>
              <w:t xml:space="preserve">Release:    </w:t>
            </w:r>
            <w:r>
              <w:rPr>
                <w:rFonts w:ascii="times new roman" w:hAnsi="times new roman"/>
                <w:sz w:val="20"/>
              </w:rPr>
              <w:t xml:space="preserve">Immediate                                                                          </w:t>
            </w:r>
            <w:r>
              <w:rPr>
                <w:rFonts w:ascii="times new roman" w:hAnsi="times new roman"/>
                <w:b/>
                <w:sz w:val="20"/>
              </w:rPr>
              <w:t xml:space="preserve">Contact:        </w:t>
            </w:r>
            <w:r>
              <w:rPr>
                <w:rFonts w:ascii="times new roman" w:hAnsi="times new roman"/>
                <w:sz w:val="20"/>
              </w:rPr>
              <w:t>Ronda J. Williams</w:t>
            </w:r>
          </w:p>
          <w:p>
            <w:pPr>
              <w:pStyle w:val="TableContents"/>
              <w:spacing w:before="0" w:after="0"/>
              <w:ind w:left="0" w:right="0" w:hanging="0"/>
              <w:jc w:val="left"/>
              <w:rPr/>
            </w:pPr>
            <w:r>
              <w:rPr/>
              <w:t>                                                                                                                                   </w:t>
            </w:r>
            <w:r>
              <w:rPr>
                <w:rFonts w:ascii="times new roman" w:hAnsi="times new roman"/>
                <w:sz w:val="20"/>
              </w:rPr>
              <w:t>&amp; #160;312-706-3232</w:t>
            </w:r>
          </w:p>
          <w:p>
            <w:pPr>
              <w:pStyle w:val="TableContents"/>
              <w:spacing w:before="0" w:after="0"/>
              <w:ind w:left="0" w:right="0" w:hanging="0"/>
              <w:rPr/>
            </w:pPr>
            <w:r>
              <w:rPr/>
              <w:t xml:space="preserve">  </w:t>
            </w:r>
          </w:p>
          <w:p>
            <w:pPr>
              <w:pStyle w:val="TableContents"/>
              <w:spacing w:before="0" w:after="0"/>
              <w:ind w:left="0" w:right="0" w:hanging="0"/>
              <w:jc w:val="center"/>
              <w:rPr>
                <w:rFonts w:ascii="times new roman" w:hAnsi="times new roman"/>
                <w:b/>
                <w:sz w:val="20"/>
              </w:rPr>
            </w:pPr>
            <w:r>
              <w:rPr>
                <w:rFonts w:ascii="times new roman" w:hAnsi="times new roman"/>
                <w:b/>
                <w:sz w:val="20"/>
              </w:rPr>
              <w:t>Oil-Dri Announces Second Quarter and Six-Month Results</w:t>
            </w:r>
          </w:p>
          <w:p>
            <w:pPr>
              <w:pStyle w:val="TableContents"/>
              <w:spacing w:before="0" w:after="0"/>
              <w:ind w:left="0" w:right="0" w:hanging="0"/>
              <w:rPr/>
            </w:pPr>
            <w:r>
              <w:rPr/>
              <w:t xml:space="preserve">    </w:t>
            </w:r>
          </w:p>
          <w:p>
            <w:pPr>
              <w:pStyle w:val="TableContents"/>
              <w:spacing w:before="0" w:after="0"/>
              <w:ind w:left="0" w:right="0" w:hanging="0"/>
              <w:jc w:val="left"/>
              <w:rPr>
                <w:rFonts w:ascii="times new roman" w:hAnsi="times new roman"/>
                <w:sz w:val="20"/>
              </w:rPr>
            </w:pPr>
            <w:r>
              <w:rPr>
                <w:rFonts w:ascii="times new roman" w:hAnsi="times new roman"/>
                <w:sz w:val="20"/>
              </w:rPr>
              <w:t>CHICAGO – (March 10, 2010) – Oil-Dri Corporation of America (NYSE: ODC) reported net sales for the second quarter of $54,734,000, a 7% decrease compared with net sales of $59,130,000 for the same quarter of the previous year.  Net income for the second quarter was $2,262,000, or $0.31 per diluted share, a 6% decrease compared with net income of $2,372,000, or $0.33 per diluted share in the same quarter one year ago.</w:t>
            </w:r>
          </w:p>
          <w:p>
            <w:pPr>
              <w:pStyle w:val="TableContents"/>
              <w:spacing w:before="0" w:after="0"/>
              <w:ind w:left="0" w:right="0" w:hanging="0"/>
              <w:rPr/>
            </w:pPr>
            <w:r>
              <w:rPr/>
              <w:t xml:space="preserve">  </w:t>
            </w:r>
          </w:p>
          <w:p>
            <w:pPr>
              <w:pStyle w:val="TableContents"/>
              <w:spacing w:before="0" w:after="0"/>
              <w:ind w:left="0" w:right="0" w:hanging="0"/>
              <w:jc w:val="left"/>
              <w:rPr>
                <w:rFonts w:ascii="times new roman" w:hAnsi="times new roman"/>
                <w:sz w:val="20"/>
              </w:rPr>
            </w:pPr>
            <w:r>
              <w:rPr>
                <w:rFonts w:ascii="times new roman" w:hAnsi="times new roman"/>
                <w:sz w:val="20"/>
              </w:rPr>
              <w:t>Net sales for the six-month period were $108,138,000, a 12% decrease compared with net sales of $122,258,000 for the same period one year ago.  Net income for the six-month period was $4,456,000, or $0.61 per diluted share, a 5% decrease compared with net income of $4,618,000, or $0.64 per diluted share, in the same period one year ago.</w:t>
            </w:r>
          </w:p>
          <w:p>
            <w:pPr>
              <w:pStyle w:val="TableContents"/>
              <w:spacing w:before="0" w:after="0"/>
              <w:ind w:left="0" w:right="0" w:hanging="0"/>
              <w:rPr/>
            </w:pPr>
            <w:r>
              <w:rPr/>
              <w:t xml:space="preserve">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Second Quarter Review</w:t>
            </w:r>
          </w:p>
          <w:p>
            <w:pPr>
              <w:pStyle w:val="TableContents"/>
              <w:spacing w:before="0" w:after="0"/>
              <w:ind w:left="0" w:right="0" w:hanging="0"/>
              <w:jc w:val="left"/>
              <w:rPr>
                <w:rFonts w:ascii="times new roman" w:hAnsi="times new roman"/>
                <w:sz w:val="20"/>
              </w:rPr>
            </w:pPr>
            <w:r>
              <w:rPr>
                <w:rFonts w:ascii="times new roman" w:hAnsi="times new roman"/>
                <w:sz w:val="20"/>
              </w:rPr>
              <w:t>President and Chief Executive Officer Daniel S. Jaffee said, “While we continue to experience the effects of Walmart’s plan to focus on a reduced number of brands, the overall business is healthy, showing substantial cash generation, improved margins and income growth in our Business to Business Products Group.</w:t>
            </w:r>
          </w:p>
          <w:p>
            <w:pPr>
              <w:pStyle w:val="TableContents"/>
              <w:spacing w:before="0" w:after="0"/>
              <w:ind w:left="0" w:right="0" w:hanging="0"/>
              <w:rPr/>
            </w:pPr>
            <w:r>
              <w:rPr/>
              <w:t xml:space="preserve">   </w:t>
            </w:r>
          </w:p>
          <w:p>
            <w:pPr>
              <w:pStyle w:val="TableContents"/>
              <w:spacing w:before="0" w:after="0"/>
              <w:ind w:left="0" w:right="0" w:hanging="0"/>
              <w:jc w:val="left"/>
              <w:rPr/>
            </w:pPr>
            <w:r>
              <w:rPr/>
              <w:t>“</w:t>
            </w:r>
            <w:r>
              <w:rPr>
                <w:rFonts w:ascii="times new roman" w:hAnsi="times new roman"/>
                <w:sz w:val="20"/>
              </w:rPr>
              <w:t>By focusing on profitable markets, we have experienced significant growth in our bleaching clay and animal health products.  We have also benefited from lower production costs.  The combination of these two factors improved our gross profit margin in the quarter from 20% to 23%.”</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 w:name="PGBRK3"/>
      <w:bookmarkStart w:id="39" w:name="PGBRK3"/>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 w:name="FTR3"/>
      <w:bookmarkStart w:id="41" w:name="FTR3"/>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2" w:name="GLFTR3"/>
      <w:bookmarkEnd w:id="4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43" w:name="PN3"/>
      <w:bookmarkStart w:id="44" w:name="PN3"/>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 w:name="HDR3"/>
      <w:bookmarkStart w:id="46" w:name="HDR3"/>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7" w:name="GLHDR3"/>
      <w:bookmarkEnd w:id="4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1800" w:right="0" w:hanging="0"/>
        <w:jc w:val="left"/>
        <w:rPr>
          <w:rFonts w:ascii="Times New Roman" w:hAnsi="Times New Roman"/>
          <w:b/>
          <w:smallCaps/>
          <w:sz w:val="20"/>
        </w:rPr>
      </w:pPr>
      <w:r>
        <w:rPr>
          <w:rFonts w:ascii="Times New Roman" w:hAnsi="Times New Roman"/>
          <w:b/>
          <w:smallCaps/>
          <w:sz w:val="20"/>
        </w:rPr>
        <w:t>Quarterly Business Review</w:t>
      </w:r>
    </w:p>
    <w:p>
      <w:pPr>
        <w:pStyle w:val="TextBody"/>
        <w:spacing w:before="0" w:after="0"/>
        <w:ind w:left="0" w:right="0" w:hanging="0"/>
        <w:jc w:val="left"/>
        <w:rPr/>
      </w:pPr>
      <w:r>
        <w:rPr/>
        <w:t xml:space="preserve">   </w:t>
      </w:r>
    </w:p>
    <w:p>
      <w:pPr>
        <w:pStyle w:val="Normal"/>
        <w:spacing w:before="0" w:after="0"/>
        <w:rPr>
          <w:sz w:val="4"/>
          <w:szCs w:val="4"/>
        </w:rPr>
      </w:pPr>
      <w:r>
        <w:rPr>
          <w:sz w:val="4"/>
          <w:szCs w:val="4"/>
        </w:rPr>
      </w:r>
      <w:bookmarkStart w:id="48" w:name="hangingindent"/>
      <w:bookmarkStart w:id="49" w:name="hangingindent"/>
      <w:bookmarkEnd w:id="49"/>
    </w:p>
    <w:tbl>
      <w:tblPr>
        <w:tblW w:w="5000" w:type="pct"/>
        <w:jc w:val="center"/>
        <w:tblInd w:w="0" w:type="dxa"/>
        <w:tblCellMar>
          <w:top w:w="0" w:type="dxa"/>
          <w:left w:w="0" w:type="dxa"/>
          <w:bottom w:w="0" w:type="dxa"/>
          <w:right w:w="0" w:type="dxa"/>
        </w:tblCellMar>
      </w:tblPr>
      <w:tblGrid>
        <w:gridCol w:w="72"/>
        <w:gridCol w:w="95"/>
        <w:gridCol w:w="10038"/>
      </w:tblGrid>
      <w:tr>
        <w:trPr/>
        <w:tc>
          <w:tcPr>
            <w:tcW w:w="72"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Net sales for the Company’s Business to Business Products Group were $36,133,000 and group income was $9,426,000 for the six-month period.  Net sales for the quarter were $18,563,000 and group income was $4,917,000.  Net sales and unit volume were up for Pure-Flo bleaching clays and Calibrin enterosorbents.  Net sales and unit volume were down for agricultural chemical carriers, flowability aids and co-packaged cat litter products due to weaker demand and competitive pricing.</w:t>
            </w:r>
          </w:p>
        </w:tc>
      </w:tr>
    </w:tbl>
    <w:p>
      <w:pPr>
        <w:pStyle w:val="TextBody"/>
        <w:spacing w:before="0" w:after="0"/>
        <w:ind w:left="0" w:right="0" w:hanging="0"/>
        <w:rPr/>
      </w:pPr>
      <w:r>
        <w:rPr/>
      </w:r>
    </w:p>
    <w:p>
      <w:pPr>
        <w:pStyle w:val="Normal"/>
        <w:spacing w:before="0" w:after="0"/>
        <w:rPr>
          <w:sz w:val="4"/>
          <w:szCs w:val="4"/>
        </w:rPr>
      </w:pPr>
      <w:r>
        <w:rPr>
          <w:sz w:val="4"/>
          <w:szCs w:val="4"/>
        </w:rPr>
      </w:r>
      <w:bookmarkStart w:id="50" w:name="hangingindent1"/>
      <w:bookmarkStart w:id="51" w:name="hangingindent1"/>
      <w:bookmarkEnd w:id="51"/>
    </w:p>
    <w:tbl>
      <w:tblPr>
        <w:tblW w:w="5000" w:type="pct"/>
        <w:jc w:val="center"/>
        <w:tblInd w:w="0" w:type="dxa"/>
        <w:tblCellMar>
          <w:top w:w="0" w:type="dxa"/>
          <w:left w:w="0" w:type="dxa"/>
          <w:bottom w:w="0" w:type="dxa"/>
          <w:right w:w="0" w:type="dxa"/>
        </w:tblCellMar>
      </w:tblPr>
      <w:tblGrid>
        <w:gridCol w:w="68"/>
        <w:gridCol w:w="95"/>
        <w:gridCol w:w="10042"/>
      </w:tblGrid>
      <w:tr>
        <w:trPr/>
        <w:tc>
          <w:tcPr>
            <w:tcW w:w="68"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4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Net sales for the Company’s Retail and Wholesale Products Group were $72,005,000 and group income was $6,332,000 for the six-month period.  Net sales for the quarter were $36,171,000 and group income was $3,116,000.  Net sales and unit volume were down for Cat’s Pride branded cat litter products primarily due to Walmart’s decision to reduce distribution of those products.  These declines were partially offset by 34% unit growth of Cat’s Pride Scoopable cat litter in our grocery retail partners based on market data provided by Information Resources, Inc. for the 12-week period ending January 31, 2010.  Net sales and unit volume were down for industrial and automotive products due to lower demand.</w:t>
            </w:r>
          </w:p>
        </w:tc>
      </w:tr>
    </w:tbl>
    <w:p>
      <w:pPr>
        <w:pStyle w:val="TextBody"/>
        <w:spacing w:before="0" w:after="0"/>
        <w:ind w:left="0" w:right="0" w:hanging="0"/>
        <w:rPr/>
      </w:pPr>
      <w:r>
        <w:rPr/>
      </w:r>
    </w:p>
    <w:p>
      <w:pPr>
        <w:pStyle w:val="TextBody"/>
        <w:spacing w:before="0" w:after="0"/>
        <w:ind w:left="1800" w:right="0" w:hanging="0"/>
        <w:jc w:val="left"/>
        <w:rPr>
          <w:rFonts w:ascii="Times New Roman" w:hAnsi="Times New Roman"/>
          <w:b/>
          <w:smallCaps/>
          <w:sz w:val="20"/>
        </w:rPr>
      </w:pPr>
      <w:r>
        <w:rPr>
          <w:rFonts w:ascii="Times New Roman" w:hAnsi="Times New Roman"/>
          <w:b/>
          <w:smallCaps/>
          <w:sz w:val="20"/>
        </w:rPr>
        <w:t>Financial Review</w:t>
      </w:r>
    </w:p>
    <w:p>
      <w:pPr>
        <w:pStyle w:val="TextBody"/>
        <w:spacing w:before="0" w:after="0"/>
        <w:ind w:left="1800" w:right="0" w:hanging="0"/>
        <w:jc w:val="left"/>
        <w:rPr>
          <w:rFonts w:ascii="Times New Roman" w:hAnsi="Times New Roman"/>
          <w:sz w:val="20"/>
        </w:rPr>
      </w:pPr>
      <w:r>
        <w:rPr>
          <w:rFonts w:ascii="Times New Roman" w:hAnsi="Times New Roman"/>
          <w:sz w:val="20"/>
        </w:rPr>
        <w:t>On December 8, 2009, Oil-Dri’s Board of Directors declared quarterly cash dividends of $0.15 per share of outstanding Common Stock and $0.1125 per share of outstanding Class B Stock.  The dividends were paid March 5, 2010 to stockholders of record at the close of business on February 19, 2010.</w:t>
      </w:r>
    </w:p>
    <w:p>
      <w:pPr>
        <w:pStyle w:val="TextBody"/>
        <w:spacing w:before="0" w:after="0"/>
        <w:ind w:left="0" w:right="0" w:hanging="0"/>
        <w:rPr/>
      </w:pPr>
      <w:r>
        <w:rPr/>
      </w:r>
    </w:p>
    <w:p>
      <w:pPr>
        <w:pStyle w:val="TextBody"/>
        <w:spacing w:before="0" w:after="0"/>
        <w:ind w:left="1800" w:right="0" w:hanging="0"/>
        <w:jc w:val="left"/>
        <w:rPr>
          <w:rFonts w:ascii="Times New Roman" w:hAnsi="Times New Roman"/>
          <w:sz w:val="20"/>
        </w:rPr>
      </w:pPr>
      <w:r>
        <w:rPr>
          <w:rFonts w:ascii="Times New Roman" w:hAnsi="Times New Roman"/>
          <w:sz w:val="20"/>
        </w:rPr>
        <w:t>At the January 31, 2010 closing price of $15.88 per share and assuming cash dividends continue at the same rate, the annual yield on the Company’s Common Stock is 3.8%.  The Company has paid cash dividends continuously since 1974 and has increased dividends annually for the last seven years.</w:t>
      </w:r>
    </w:p>
    <w:p>
      <w:pPr>
        <w:pStyle w:val="TextBody"/>
        <w:spacing w:before="0" w:after="0"/>
        <w:ind w:left="0" w:right="0" w:hanging="0"/>
        <w:rPr/>
      </w:pPr>
      <w:r>
        <w:rPr/>
      </w:r>
    </w:p>
    <w:p>
      <w:pPr>
        <w:pStyle w:val="TextBody"/>
        <w:spacing w:before="0" w:after="0"/>
        <w:ind w:left="1800" w:right="0" w:hanging="0"/>
        <w:jc w:val="left"/>
        <w:rPr>
          <w:rFonts w:ascii="Times New Roman" w:hAnsi="Times New Roman"/>
          <w:sz w:val="20"/>
        </w:rPr>
      </w:pPr>
      <w:r>
        <w:rPr>
          <w:rFonts w:ascii="Times New Roman" w:hAnsi="Times New Roman"/>
          <w:sz w:val="20"/>
        </w:rPr>
        <w:t>During the quarter the Company repurchased 34,000 shares of Common Stock at an average price of $15.83 per share.  The Company’s current repurchase authorization has 238,243 shares of Common Stock remaining.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 w:name="PGBRK4"/>
      <w:bookmarkStart w:id="53" w:name="PGBRK4"/>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 w:name="FTR4"/>
      <w:bookmarkStart w:id="55" w:name="FTR4"/>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56" w:name="GLFTR4"/>
      <w:bookmarkEnd w:id="5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57" w:name="PN4"/>
      <w:bookmarkStart w:id="58" w:name="PN4"/>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 w:name="HDR4"/>
      <w:bookmarkStart w:id="60" w:name="HDR4"/>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61" w:name="GLHDR4"/>
      <w:bookmarkEnd w:id="6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1800" w:right="0" w:hanging="0"/>
        <w:jc w:val="left"/>
        <w:rPr>
          <w:rFonts w:ascii="Times New Roman" w:hAnsi="Times New Roman"/>
          <w:sz w:val="20"/>
        </w:rPr>
      </w:pPr>
      <w:r>
        <w:rPr>
          <w:rFonts w:ascii="Times New Roman" w:hAnsi="Times New Roman"/>
          <w:sz w:val="20"/>
        </w:rPr>
        <w:t>Cash, cash equivalents and short-term investments at January 31, 2010 totaled $26,863,000.  Capital expenditures for the fiscal year totaled $4,818,000, which was $1,107,000 more than the fiscal year’s depreciation and amortization of $3,711,000. During the second quarter, the Company acquired approximately 800 acres of land in the vicinity of its Thomas County, Georgia production plant.  These purchases totaled $2,300,000.  The Company believes that this land contains high quality mineral reserves.</w:t>
      </w:r>
    </w:p>
    <w:p>
      <w:pPr>
        <w:pStyle w:val="TextBody"/>
        <w:spacing w:before="0" w:after="0"/>
        <w:ind w:left="0" w:right="0" w:hanging="0"/>
        <w:rPr/>
      </w:pPr>
      <w:r>
        <w:rPr/>
      </w:r>
    </w:p>
    <w:p>
      <w:pPr>
        <w:pStyle w:val="TextBody"/>
        <w:spacing w:before="0" w:after="0"/>
        <w:ind w:left="1800" w:right="0" w:hanging="0"/>
        <w:jc w:val="left"/>
        <w:rPr>
          <w:rFonts w:ascii="Times New Roman" w:hAnsi="Times New Roman"/>
          <w:sz w:val="20"/>
        </w:rPr>
      </w:pPr>
      <w:r>
        <w:rPr>
          <w:rFonts w:ascii="Times New Roman" w:hAnsi="Times New Roman"/>
          <w:sz w:val="20"/>
        </w:rPr>
        <w:t>The effective tax rate for the first six months of fiscal 2010 was 29% compared with 26% for the same period in fiscal 2009.  The increase in the rate is based on the Company’s projected level and composition of income.  The percentage of income attributable to new higher margin Business to Business products is greater this fiscal year.  </w:t>
      </w:r>
    </w:p>
    <w:p>
      <w:pPr>
        <w:pStyle w:val="TextBody"/>
        <w:spacing w:before="0" w:after="0"/>
        <w:ind w:left="0" w:right="0" w:hanging="0"/>
        <w:rPr/>
      </w:pPr>
      <w:r>
        <w:rPr/>
      </w:r>
    </w:p>
    <w:p>
      <w:pPr>
        <w:pStyle w:val="TextBody"/>
        <w:spacing w:before="0" w:after="0"/>
        <w:ind w:left="1800" w:right="0" w:hanging="0"/>
        <w:jc w:val="left"/>
        <w:rPr>
          <w:rFonts w:ascii="Times New Roman" w:hAnsi="Times New Roman"/>
          <w:sz w:val="20"/>
        </w:rPr>
      </w:pPr>
      <w:r>
        <w:rPr>
          <w:rFonts w:ascii="Times New Roman" w:hAnsi="Times New Roman"/>
          <w:sz w:val="20"/>
        </w:rPr>
        <w:t>Cash provided by operations was $13,763,000 for the six-month period primarily due to improvements in our working capital commensurate with our net sales declines.</w:t>
      </w:r>
    </w:p>
    <w:p>
      <w:pPr>
        <w:pStyle w:val="TextBody"/>
        <w:spacing w:before="0" w:after="0"/>
        <w:ind w:left="0" w:right="0" w:hanging="0"/>
        <w:rPr/>
      </w:pPr>
      <w:r>
        <w:rPr/>
      </w:r>
    </w:p>
    <w:p>
      <w:pPr>
        <w:pStyle w:val="TextBody"/>
        <w:spacing w:before="0" w:after="0"/>
        <w:ind w:left="1800" w:right="0" w:hanging="0"/>
        <w:jc w:val="left"/>
        <w:rPr>
          <w:rFonts w:ascii="Times New Roman" w:hAnsi="Times New Roman"/>
          <w:b/>
          <w:smallCaps/>
          <w:sz w:val="20"/>
        </w:rPr>
      </w:pPr>
      <w:r>
        <w:rPr>
          <w:rFonts w:ascii="Times New Roman" w:hAnsi="Times New Roman"/>
          <w:b/>
          <w:smallCaps/>
          <w:sz w:val="20"/>
        </w:rPr>
        <w:t>Looking Forward</w:t>
      </w:r>
    </w:p>
    <w:p>
      <w:pPr>
        <w:pStyle w:val="TextBody"/>
        <w:spacing w:before="0" w:after="0"/>
        <w:ind w:left="1800" w:right="0" w:hanging="0"/>
        <w:jc w:val="left"/>
        <w:rPr>
          <w:rFonts w:ascii="Times New Roman" w:hAnsi="Times New Roman"/>
          <w:sz w:val="20"/>
        </w:rPr>
      </w:pPr>
      <w:r>
        <w:rPr>
          <w:rFonts w:ascii="Times New Roman" w:hAnsi="Times New Roman"/>
          <w:sz w:val="20"/>
        </w:rPr>
        <w:t>Jaffee continued, “We are pleased that orders have been received from Walmart reinstating our Cat’s Pride Scoopable and Cat’s Pride Complete cat litter products in a limited number of stores.  While the new store count overall remains materially reduced from our store count at the end of fiscal year 2009, we believe that gaining these stores is recognition that Walmart shoppers are loyal to our Cat’s Pride brand.  Our customers will begin to see Cat’s Pride Scoopable and Cat’s Pride Complete in the reinstated Walmart stores during the third quarter.”</w:t>
      </w:r>
    </w:p>
    <w:p>
      <w:pPr>
        <w:pStyle w:val="TextBody"/>
        <w:spacing w:before="0" w:after="0"/>
        <w:ind w:left="0" w:right="0" w:hanging="0"/>
        <w:rPr/>
      </w:pPr>
      <w:r>
        <w:rPr/>
      </w:r>
    </w:p>
    <w:p>
      <w:pPr>
        <w:pStyle w:val="TextBody"/>
        <w:spacing w:before="0" w:after="0"/>
        <w:ind w:left="1800" w:right="0" w:hanging="0"/>
        <w:jc w:val="left"/>
        <w:rPr/>
      </w:pPr>
      <w:r>
        <w:rPr/>
        <w:t>“</w:t>
      </w:r>
      <w:r>
        <w:rPr>
          <w:rFonts w:ascii="Times New Roman" w:hAnsi="Times New Roman"/>
          <w:sz w:val="20"/>
        </w:rPr>
        <w:t>The Producer Price Index is up 5% versus last year, so manufacturers’ costs are on the rise.  We are hopeful that we can continue to manage these costs going forward in the second half of fiscal 2010.”</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w:t>
      </w:r>
    </w:p>
    <w:p>
      <w:pPr>
        <w:pStyle w:val="TextBody"/>
        <w:spacing w:before="0" w:after="0"/>
        <w:ind w:left="1800" w:right="0" w:hanging="0"/>
        <w:jc w:val="left"/>
        <w:rPr>
          <w:rFonts w:ascii="Times New Roman" w:hAnsi="Times New Roman"/>
          <w:sz w:val="20"/>
        </w:rPr>
      </w:pPr>
      <w:r>
        <w:rPr>
          <w:rFonts w:ascii="Times New Roman" w:hAnsi="Times New Roman"/>
          <w:sz w:val="20"/>
        </w:rPr>
        <w:t xml:space="preserve">The Company will offer a live webcast of the second quarter earnings teleconference on March 12, 2010 from 10:00 a.m. to 10:30 a.m., Chicago Time.  To listen to the call via the web, please visit </w:t>
      </w:r>
      <w:r>
        <w:rPr>
          <w:rFonts w:ascii="Times New Roman" w:hAnsi="Times New Roman"/>
          <w:sz w:val="20"/>
          <w:u w:val="single"/>
        </w:rPr>
        <w:t>www.streetevents.com</w:t>
      </w:r>
      <w:r>
        <w:rPr>
          <w:rFonts w:ascii="Times New Roman" w:hAnsi="Times New Roman"/>
          <w:sz w:val="20"/>
        </w:rPr>
        <w:t xml:space="preserve"> or </w:t>
      </w:r>
      <w:r>
        <w:rPr>
          <w:rFonts w:ascii="Times New Roman" w:hAnsi="Times New Roman"/>
          <w:sz w:val="20"/>
          <w:u w:val="single"/>
        </w:rPr>
        <w:t>www.oildri.com</w:t>
      </w:r>
      <w:r>
        <w:rPr>
          <w:rFonts w:ascii="Times New Roman" w:hAnsi="Times New Roman"/>
          <w:sz w:val="20"/>
        </w:rPr>
        <w:t>.  An archived recording of the call and written transcripts of all teleconferences are posted on the Oil-Dri website.</w:t>
      </w:r>
    </w:p>
    <w:p>
      <w:pPr>
        <w:pStyle w:val="TextBody"/>
        <w:spacing w:before="0" w:after="0"/>
        <w:ind w:left="0" w:right="0" w:hanging="0"/>
        <w:jc w:val="left"/>
        <w:rPr/>
      </w:pPr>
      <w:r>
        <w:rPr/>
        <w:t xml:space="preserve">    </w:t>
      </w:r>
    </w:p>
    <w:p>
      <w:pPr>
        <w:pStyle w:val="HorizontalLine"/>
        <w:pBdr>
          <w:bottom w:val="single" w:sz="6" w:space="0" w:color="808080"/>
        </w:pBdr>
        <w:rPr/>
      </w:pPr>
      <w:r>
        <w:rPr/>
      </w:r>
    </w:p>
    <w:p>
      <w:pPr>
        <w:pStyle w:val="HorizontalLine"/>
        <w:pBdr>
          <w:bottom w:val="single" w:sz="24"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62" w:name="PGBRK5"/>
      <w:bookmarkStart w:id="63" w:name="PGBRK5"/>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4" w:name="FTR5"/>
      <w:bookmarkStart w:id="65" w:name="FTR5"/>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color w:val="000000"/>
        </w:rPr>
      </w:pPr>
      <w:bookmarkStart w:id="66" w:name="GLFTR5"/>
      <w:bookmarkEnd w:id="6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67" w:name="PN5"/>
      <w:bookmarkStart w:id="68" w:name="PN5"/>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9" w:name="HDR5"/>
      <w:bookmarkStart w:id="70" w:name="HDR5"/>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color w:val="000000"/>
        </w:rPr>
      </w:pPr>
      <w:bookmarkStart w:id="71" w:name="GLHDR5"/>
      <w:bookmarkEnd w:id="7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xml:space="preserve">   </w:t>
      </w:r>
    </w:p>
    <w:p>
      <w:pPr>
        <w:pStyle w:val="TextBody"/>
        <w:spacing w:before="0" w:after="0"/>
        <w:ind w:left="1800" w:right="0" w:hanging="0"/>
        <w:jc w:val="both"/>
        <w:rPr>
          <w:rFonts w:ascii="Times New Roman" w:hAnsi="Times New Roman"/>
          <w:i/>
          <w:sz w:val="20"/>
        </w:rPr>
      </w:pPr>
      <w:r>
        <w:rPr>
          <w:rFonts w:ascii="Times New Roman" w:hAnsi="Times New Roman"/>
          <w:i/>
          <w:sz w:val="20"/>
        </w:rPr>
        <w:t>Calibrin, Cat’s Pride, and Pure-Flo, and are all registered trademarks of Oil-Dri Corporation of America.</w:t>
      </w:r>
    </w:p>
    <w:p>
      <w:pPr>
        <w:pStyle w:val="TextBody"/>
        <w:spacing w:before="0" w:after="0"/>
        <w:ind w:left="0" w:right="0" w:hanging="0"/>
        <w:rPr/>
      </w:pPr>
      <w:r>
        <w:rPr/>
      </w:r>
    </w:p>
    <w:p>
      <w:pPr>
        <w:pStyle w:val="TextBody"/>
        <w:spacing w:before="0" w:after="0"/>
        <w:ind w:left="1800" w:right="0" w:hanging="0"/>
        <w:jc w:val="both"/>
        <w:rPr>
          <w:rFonts w:ascii="Times New Roman" w:hAnsi="Times New Roman"/>
          <w:i/>
          <w:sz w:val="20"/>
        </w:rPr>
      </w:pPr>
      <w:r>
        <w:rPr>
          <w:rFonts w:ascii="Times New Roman" w:hAnsi="Times New Roman"/>
          <w:i/>
          <w:sz w:val="20"/>
        </w:rPr>
        <w:t>Oil-Dri Corporation of America is a leading supplier of specialty sorbent products for agricultural, horticultural, fluids purification, specialty markets, industrial and automotive, and is the world’s largest manufacturer of cat litter.</w:t>
      </w:r>
    </w:p>
    <w:p>
      <w:pPr>
        <w:pStyle w:val="TextBody"/>
        <w:spacing w:before="0" w:after="0"/>
        <w:ind w:left="0" w:right="0" w:hanging="0"/>
        <w:rPr/>
      </w:pPr>
      <w:r>
        <w:rPr/>
      </w:r>
    </w:p>
    <w:p>
      <w:pPr>
        <w:pStyle w:val="TextBody"/>
        <w:spacing w:before="0" w:after="0"/>
        <w:ind w:left="1800" w:right="0" w:hanging="0"/>
        <w:jc w:val="left"/>
        <w:rPr>
          <w:rFonts w:ascii="Times New Roman" w:hAnsi="Times New Roman"/>
          <w:i/>
          <w:sz w:val="20"/>
        </w:rPr>
      </w:pPr>
      <w:r>
        <w:rPr>
          <w:rFonts w:ascii="Times New Roman" w:hAnsi="Times New Roman"/>
          <w:i/>
          <w:sz w:val="20"/>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pStyle w:val="TextBody"/>
        <w:spacing w:before="0" w:after="0"/>
        <w:ind w:left="0" w:right="0" w:hanging="0"/>
        <w:rPr/>
      </w:pPr>
      <w:r>
        <w:rPr/>
      </w:r>
    </w:p>
    <w:p>
      <w:pPr>
        <w:pStyle w:val="TextBody"/>
        <w:spacing w:before="0" w:after="0"/>
        <w:ind w:left="1800" w:right="0" w:hanging="0"/>
        <w:jc w:val="left"/>
        <w:rPr>
          <w:rFonts w:ascii="Times New Roman" w:hAnsi="Times New Roman"/>
          <w:i/>
          <w:sz w:val="20"/>
        </w:rPr>
      </w:pPr>
      <w:r>
        <w:rPr>
          <w:rFonts w:ascii="Times New Roman" w:hAnsi="Times New Roman"/>
          <w:i/>
          <w:sz w:val="20"/>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 w:name="PGBRK6"/>
      <w:bookmarkStart w:id="73" w:name="PGBRK6"/>
      <w:bookmarkEnd w:id="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 w:name="FTR6"/>
      <w:bookmarkStart w:id="75" w:name="FTR6"/>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76" w:name="GLFTR6"/>
      <w:bookmarkEnd w:id="7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77" w:name="PN6"/>
      <w:bookmarkStart w:id="78" w:name="PN6"/>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 w:name="HDR6"/>
      <w:bookmarkStart w:id="80" w:name="HDR6"/>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81" w:name="GLHDR6"/>
      <w:bookmarkEnd w:id="8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82" w:name="RANGE_A1%3AF30"/>
      <w:bookmarkEnd w:id="82"/>
      <w:r>
        <w:rPr>
          <w:rFonts w:ascii="Times New Roman" w:hAnsi="Times New Roman"/>
          <w:b/>
          <w:sz w:val="20"/>
        </w:rPr>
        <w:t>OIL - DRI CORPORATION OF AMERICA</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Consolidated Statements of Income</w:t>
      </w:r>
    </w:p>
    <w:p>
      <w:pPr>
        <w:pStyle w:val="TextBody"/>
        <w:spacing w:before="0" w:after="0"/>
        <w:ind w:left="0" w:right="0" w:hanging="0"/>
        <w:jc w:val="left"/>
        <w:rPr>
          <w:rFonts w:ascii="Times New Roman" w:hAnsi="Times New Roman"/>
          <w:sz w:val="20"/>
        </w:rPr>
      </w:pPr>
      <w:r>
        <w:rPr>
          <w:rFonts w:ascii="Times New Roman" w:hAnsi="Times New Roman"/>
          <w:sz w:val="20"/>
        </w:rPr>
        <w:t>(in thousands, except for per share amounts)</w:t>
      </w:r>
    </w:p>
    <w:p>
      <w:pPr>
        <w:pStyle w:val="TextBody"/>
        <w:spacing w:before="0" w:after="0"/>
        <w:ind w:left="0" w:right="0" w:hanging="0"/>
        <w:jc w:val="left"/>
        <w:rPr>
          <w:rFonts w:ascii="Times New Roman" w:hAnsi="Times New Roman"/>
          <w:sz w:val="20"/>
        </w:rPr>
      </w:pPr>
      <w:r>
        <w:rPr>
          <w:rFonts w:ascii="Times New Roman" w:hAnsi="Times New Roman"/>
          <w:sz w:val="20"/>
        </w:rPr>
        <w:t>(unaudited)</w:t>
      </w:r>
    </w:p>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4165"/>
        <w:gridCol w:w="106"/>
        <w:gridCol w:w="150"/>
        <w:gridCol w:w="1065"/>
        <w:gridCol w:w="120"/>
        <w:gridCol w:w="106"/>
        <w:gridCol w:w="133"/>
        <w:gridCol w:w="1140"/>
        <w:gridCol w:w="191"/>
        <w:gridCol w:w="106"/>
        <w:gridCol w:w="150"/>
        <w:gridCol w:w="1065"/>
        <w:gridCol w:w="119"/>
        <w:gridCol w:w="106"/>
        <w:gridCol w:w="133"/>
        <w:gridCol w:w="1140"/>
        <w:gridCol w:w="210"/>
      </w:tblGrid>
      <w:tr>
        <w:trPr/>
        <w:tc>
          <w:tcPr>
            <w:tcW w:w="4165"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5724"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Second Quarter Ended January 31,</w:t>
            </w:r>
          </w:p>
        </w:tc>
        <w:tc>
          <w:tcPr>
            <w:tcW w:w="210" w:type="dxa"/>
            <w:tcBorders/>
            <w:shd w:fill="auto" w:val="clear"/>
            <w:vAlign w:val="bottom"/>
          </w:tcPr>
          <w:p>
            <w:pPr>
              <w:pStyle w:val="TableContents"/>
              <w:spacing w:before="0" w:after="283"/>
              <w:jc w:val="left"/>
              <w:rPr/>
            </w:pPr>
            <w:r>
              <w:rPr/>
              <w:t> </w:t>
            </w:r>
          </w:p>
        </w:tc>
      </w:tr>
      <w:tr>
        <w:trPr/>
        <w:tc>
          <w:tcPr>
            <w:tcW w:w="4165"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1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0"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7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of Sales</w:t>
            </w:r>
          </w:p>
        </w:tc>
        <w:tc>
          <w:tcPr>
            <w:tcW w:w="191"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1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9"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7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of Sales</w:t>
            </w:r>
          </w:p>
        </w:tc>
        <w:tc>
          <w:tcPr>
            <w:tcW w:w="210" w:type="dxa"/>
            <w:tcBorders/>
            <w:shd w:fill="auto" w:val="clear"/>
            <w:vAlign w:val="bottom"/>
          </w:tcPr>
          <w:p>
            <w:pPr>
              <w:pStyle w:val="TableContents"/>
              <w:spacing w:before="0" w:after="283"/>
              <w:jc w:val="left"/>
              <w:rPr/>
            </w:pPr>
            <w:r>
              <w:rPr/>
              <w:t> </w:t>
            </w:r>
          </w:p>
        </w:tc>
      </w:tr>
      <w:tr>
        <w:trPr/>
        <w:tc>
          <w:tcPr>
            <w:tcW w:w="4165"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Sales</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54,734</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9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59,130</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1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Cost of Sales</w:t>
            </w:r>
          </w:p>
        </w:tc>
        <w:tc>
          <w:tcPr>
            <w:tcW w:w="106"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(42,064</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76.9</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(47,217</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79.9</w:t>
            </w:r>
          </w:p>
        </w:tc>
        <w:tc>
          <w:tcPr>
            <w:tcW w:w="2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Gross Profit</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12,670</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23.1</w:t>
            </w:r>
          </w:p>
        </w:tc>
        <w:tc>
          <w:tcPr>
            <w:tcW w:w="19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11,913</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21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Expenses</w:t>
            </w:r>
          </w:p>
        </w:tc>
        <w:tc>
          <w:tcPr>
            <w:tcW w:w="106"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(9,187</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(8,342</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2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CCFFCC" w:val="clear"/>
            <w:vAlign w:val="bottom"/>
          </w:tcPr>
          <w:p>
            <w:pPr>
              <w:pStyle w:val="TableContents"/>
              <w:spacing w:before="0" w:after="283"/>
              <w:rPr/>
            </w:pPr>
            <w:r>
              <w:rPr/>
              <w:t xml:space="preserve">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Income</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3,483</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3,571</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2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Interest Expense</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(341</w:t>
            </w:r>
          </w:p>
        </w:tc>
        <w:tc>
          <w:tcPr>
            <w:tcW w:w="12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0.6</w:t>
            </w:r>
          </w:p>
        </w:tc>
        <w:tc>
          <w:tcPr>
            <w:tcW w:w="19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(478</w:t>
            </w:r>
          </w:p>
        </w:tc>
        <w:tc>
          <w:tcPr>
            <w:tcW w:w="11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0.8</w:t>
            </w:r>
          </w:p>
        </w:tc>
        <w:tc>
          <w:tcPr>
            <w:tcW w:w="21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Income</w:t>
            </w:r>
          </w:p>
        </w:tc>
        <w:tc>
          <w:tcPr>
            <w:tcW w:w="106"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CCFFCC" w:val="clear"/>
            <w:vAlign w:val="bottom"/>
          </w:tcPr>
          <w:p>
            <w:pPr>
              <w:pStyle w:val="TableContents"/>
              <w:spacing w:before="0" w:after="283"/>
              <w:rPr/>
            </w:pPr>
            <w:r>
              <w:rPr/>
              <w:t xml:space="preserve">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Before Income Taxes</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3,221</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3,178</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2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Taxes</w:t>
            </w:r>
          </w:p>
        </w:tc>
        <w:tc>
          <w:tcPr>
            <w:tcW w:w="106" w:type="dxa"/>
            <w:tcBorders/>
            <w:shd w:fill="CCFFCC" w:val="clear"/>
            <w:vAlign w:val="bottom"/>
          </w:tcPr>
          <w:p>
            <w:pPr>
              <w:pStyle w:val="TableContents"/>
              <w:spacing w:before="0" w:after="283"/>
              <w:jc w:val="right"/>
              <w:rPr/>
            </w:pPr>
            <w:r>
              <w:rPr/>
              <w:t> </w:t>
            </w:r>
          </w:p>
        </w:tc>
        <w:tc>
          <w:tcPr>
            <w:tcW w:w="15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(959</w:t>
            </w:r>
          </w:p>
        </w:tc>
        <w:tc>
          <w:tcPr>
            <w:tcW w:w="12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33"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9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5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(806</w:t>
            </w:r>
          </w:p>
        </w:tc>
        <w:tc>
          <w:tcPr>
            <w:tcW w:w="11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33"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1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r>
      <w:tr>
        <w:trPr/>
        <w:tc>
          <w:tcPr>
            <w:tcW w:w="4165"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06" w:type="dxa"/>
            <w:tcBorders/>
            <w:shd w:fill="CCFFCC" w:val="clear"/>
            <w:vAlign w:val="bottom"/>
          </w:tcPr>
          <w:p>
            <w:pPr>
              <w:pStyle w:val="TableContents"/>
              <w:spacing w:before="0" w:after="283"/>
              <w:jc w:val="right"/>
              <w:rPr/>
            </w:pPr>
            <w:r>
              <w:rPr/>
              <w:t> </w:t>
            </w:r>
          </w:p>
        </w:tc>
        <w:tc>
          <w:tcPr>
            <w:tcW w:w="150"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2,262</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33" w:type="dxa"/>
            <w:tcBorders>
              <w:bottom w:val="double" w:sz="8" w:space="0" w:color="000000"/>
            </w:tcBorders>
            <w:shd w:fill="CCFFCC" w:val="clear"/>
            <w:tcMar>
              <w:bottom w:w="28" w:type="dxa"/>
            </w:tcMar>
            <w:vAlign w:val="bottom"/>
          </w:tcPr>
          <w:p>
            <w:pPr>
              <w:pStyle w:val="TableContents"/>
              <w:spacing w:before="0" w:after="283"/>
              <w:jc w:val="left"/>
              <w:rPr/>
            </w:pPr>
            <w:r>
              <w:rPr/>
              <w:t> </w:t>
            </w:r>
          </w:p>
        </w:tc>
        <w:tc>
          <w:tcPr>
            <w:tcW w:w="1140"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9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50"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2,372</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33" w:type="dxa"/>
            <w:tcBorders>
              <w:bottom w:val="double" w:sz="8" w:space="0" w:color="000000"/>
            </w:tcBorders>
            <w:shd w:fill="CCFFCC" w:val="clear"/>
            <w:tcMar>
              <w:bottom w:w="28" w:type="dxa"/>
            </w:tcMar>
            <w:vAlign w:val="bottom"/>
          </w:tcPr>
          <w:p>
            <w:pPr>
              <w:pStyle w:val="TableContents"/>
              <w:spacing w:before="0" w:after="283"/>
              <w:jc w:val="left"/>
              <w:rPr/>
            </w:pPr>
            <w:r>
              <w:rPr/>
              <w:t> </w:t>
            </w:r>
          </w:p>
        </w:tc>
        <w:tc>
          <w:tcPr>
            <w:tcW w:w="1140"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21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r>
      <w:tr>
        <w:trPr/>
        <w:tc>
          <w:tcPr>
            <w:tcW w:w="4165"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 Per Share:</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Common</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0.34</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0.36</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r>
      <w:tr>
        <w:trPr/>
        <w:tc>
          <w:tcPr>
            <w:tcW w:w="4165"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Class B Common</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0.26</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0.27</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Diluted</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0.33</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r>
      <w:tr>
        <w:trPr/>
        <w:tc>
          <w:tcPr>
            <w:tcW w:w="4165"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Average Shares Outstanding:</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Common</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5,206</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5,131</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r>
      <w:tr>
        <w:trPr/>
        <w:tc>
          <w:tcPr>
            <w:tcW w:w="4165"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Class B Common</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1,890</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1,873</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Diluted</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7,269</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7,199</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5724" w:type="dxa"/>
            <w:gridSpan w:val="14"/>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Six Months Ended January 31,</w:t>
            </w:r>
          </w:p>
        </w:tc>
        <w:tc>
          <w:tcPr>
            <w:tcW w:w="210" w:type="dxa"/>
            <w:tcBorders/>
            <w:shd w:fill="FFFFFF"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15"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73"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of Sales</w:t>
            </w:r>
          </w:p>
        </w:tc>
        <w:tc>
          <w:tcPr>
            <w:tcW w:w="191"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15"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73"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of Sales</w:t>
            </w:r>
          </w:p>
        </w:tc>
        <w:tc>
          <w:tcPr>
            <w:tcW w:w="210" w:type="dxa"/>
            <w:tcBorders/>
            <w:shd w:fill="FFFFFF" w:val="clear"/>
            <w:vAlign w:val="bottom"/>
          </w:tcPr>
          <w:p>
            <w:pPr>
              <w:pStyle w:val="TableContents"/>
              <w:spacing w:before="0" w:after="283"/>
              <w:jc w:val="left"/>
              <w:rPr/>
            </w:pPr>
            <w:r>
              <w:rPr/>
              <w:t> </w:t>
            </w:r>
          </w:p>
        </w:tc>
      </w:tr>
      <w:tr>
        <w:trPr/>
        <w:tc>
          <w:tcPr>
            <w:tcW w:w="4165"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Sales</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108,138</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9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122,258</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1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Cost of Sales</w:t>
            </w:r>
          </w:p>
        </w:tc>
        <w:tc>
          <w:tcPr>
            <w:tcW w:w="106"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(83,145</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76.9</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(97,969</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80.1</w:t>
            </w:r>
          </w:p>
        </w:tc>
        <w:tc>
          <w:tcPr>
            <w:tcW w:w="2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Gross Profit</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24,993</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23.1</w:t>
            </w:r>
          </w:p>
        </w:tc>
        <w:tc>
          <w:tcPr>
            <w:tcW w:w="19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24,289</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21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Expenses</w:t>
            </w:r>
          </w:p>
        </w:tc>
        <w:tc>
          <w:tcPr>
            <w:tcW w:w="106"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(18,158</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(17,080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w:t>
            </w:r>
          </w:p>
        </w:tc>
        <w:tc>
          <w:tcPr>
            <w:tcW w:w="2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CCFFCC" w:val="clear"/>
            <w:vAlign w:val="bottom"/>
          </w:tcPr>
          <w:p>
            <w:pPr>
              <w:pStyle w:val="TableContents"/>
              <w:spacing w:before="0" w:after="283"/>
              <w:rPr/>
            </w:pPr>
            <w:r>
              <w:rPr/>
              <w:t xml:space="preserve">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Income</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6,835</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7,209</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2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Interest Expense</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(715</w:t>
            </w:r>
          </w:p>
        </w:tc>
        <w:tc>
          <w:tcPr>
            <w:tcW w:w="12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19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(983</w:t>
            </w:r>
          </w:p>
        </w:tc>
        <w:tc>
          <w:tcPr>
            <w:tcW w:w="11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0.8</w:t>
            </w:r>
          </w:p>
        </w:tc>
        <w:tc>
          <w:tcPr>
            <w:tcW w:w="21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Income</w:t>
            </w:r>
          </w:p>
        </w:tc>
        <w:tc>
          <w:tcPr>
            <w:tcW w:w="106"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2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CCFFCC" w:val="clear"/>
            <w:vAlign w:val="bottom"/>
          </w:tcPr>
          <w:p>
            <w:pPr>
              <w:pStyle w:val="TableContents"/>
              <w:spacing w:before="0" w:after="283"/>
              <w:rPr/>
            </w:pPr>
            <w:r>
              <w:rPr/>
              <w:t xml:space="preserve">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Before Income Taxes</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6,276</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6,255</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2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Taxes</w:t>
            </w:r>
          </w:p>
        </w:tc>
        <w:tc>
          <w:tcPr>
            <w:tcW w:w="106" w:type="dxa"/>
            <w:tcBorders/>
            <w:shd w:fill="CCFFCC" w:val="clear"/>
            <w:vAlign w:val="bottom"/>
          </w:tcPr>
          <w:p>
            <w:pPr>
              <w:pStyle w:val="TableContents"/>
              <w:spacing w:before="0" w:after="283"/>
              <w:jc w:val="right"/>
              <w:rPr/>
            </w:pPr>
            <w:r>
              <w:rPr/>
              <w:t> </w:t>
            </w:r>
          </w:p>
        </w:tc>
        <w:tc>
          <w:tcPr>
            <w:tcW w:w="15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(1,820</w:t>
            </w:r>
          </w:p>
        </w:tc>
        <w:tc>
          <w:tcPr>
            <w:tcW w:w="12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33"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9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5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(1,637</w:t>
            </w:r>
          </w:p>
        </w:tc>
        <w:tc>
          <w:tcPr>
            <w:tcW w:w="11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33"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21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06" w:type="dxa"/>
            <w:tcBorders/>
            <w:shd w:fill="FFFFFF" w:val="clear"/>
            <w:vAlign w:val="bottom"/>
          </w:tcPr>
          <w:p>
            <w:pPr>
              <w:pStyle w:val="TableContents"/>
              <w:spacing w:before="0" w:after="283"/>
              <w:jc w:val="right"/>
              <w:rPr/>
            </w:pPr>
            <w:r>
              <w:rPr/>
              <w:t> </w:t>
            </w:r>
          </w:p>
        </w:tc>
        <w:tc>
          <w:tcPr>
            <w:tcW w:w="15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4,456</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5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4,618</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2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CCFFCC" w:val="clear"/>
            <w:vAlign w:val="bottom"/>
          </w:tcPr>
          <w:p>
            <w:pPr>
              <w:pStyle w:val="TableContents"/>
              <w:spacing w:before="0" w:after="283"/>
              <w:rPr/>
            </w:pPr>
            <w:r>
              <w:rPr/>
              <w:t xml:space="preserve">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 Per Share*:</w:t>
            </w:r>
          </w:p>
        </w:tc>
        <w:tc>
          <w:tcPr>
            <w:tcW w:w="106"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r>
      <w:tr>
        <w:trPr/>
        <w:tc>
          <w:tcPr>
            <w:tcW w:w="4165"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Common</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0.67</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0.70</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Class B Common</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0.50</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0.53</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r>
      <w:tr>
        <w:trPr/>
        <w:tc>
          <w:tcPr>
            <w:tcW w:w="4165"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Diluted</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0.61</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0.64</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r>
      <w:tr>
        <w:trPr/>
        <w:tc>
          <w:tcPr>
            <w:tcW w:w="4165"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Average Shares Outstanding:</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Common</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5,200</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5,129</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r>
      <w:tr>
        <w:trPr/>
        <w:tc>
          <w:tcPr>
            <w:tcW w:w="4165"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Class B Common</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1,885</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1,868</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Diluted</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7,259</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7,196</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83" w:name="PGBRK7"/>
      <w:bookmarkStart w:id="84" w:name="PGBRK7"/>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85" w:name="FTR7"/>
      <w:bookmarkStart w:id="86" w:name="FTR7"/>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color w:val="000000"/>
        </w:rPr>
      </w:pPr>
      <w:bookmarkStart w:id="87" w:name="GLFTR7"/>
      <w:bookmarkEnd w:id="8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88" w:name="PN7"/>
      <w:bookmarkStart w:id="89" w:name="PN7"/>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90" w:name="HDR7"/>
      <w:bookmarkStart w:id="91" w:name="HDR7"/>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color w:val="000000"/>
        </w:rPr>
      </w:pPr>
      <w:bookmarkStart w:id="92" w:name="GLHDR7"/>
      <w:bookmarkEnd w:id="9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93" w:name="RANGE_A1%3AF39"/>
      <w:bookmarkEnd w:id="93"/>
      <w:r>
        <w:rPr>
          <w:rFonts w:ascii="Times New Roman" w:hAnsi="Times New Roman"/>
          <w:b/>
          <w:sz w:val="20"/>
        </w:rPr>
        <w:t>OIL - DRI CORPORATION OF AMERICA</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jc w:val="left"/>
        <w:rPr>
          <w:rFonts w:ascii="Times New Roman" w:hAnsi="Times New Roman"/>
          <w:sz w:val="20"/>
        </w:rPr>
      </w:pPr>
      <w:r>
        <w:rPr>
          <w:rFonts w:ascii="Times New Roman" w:hAnsi="Times New Roman"/>
          <w:sz w:val="20"/>
        </w:rPr>
        <w:t>(in thousands, except for per share amounts)</w:t>
      </w:r>
    </w:p>
    <w:p>
      <w:pPr>
        <w:pStyle w:val="TextBody"/>
        <w:spacing w:before="0" w:after="0"/>
        <w:ind w:left="0" w:right="0" w:hanging="0"/>
        <w:jc w:val="left"/>
        <w:rPr>
          <w:rFonts w:ascii="Times New Roman" w:hAnsi="Times New Roman"/>
          <w:sz w:val="20"/>
        </w:rPr>
      </w:pPr>
      <w:r>
        <w:rPr>
          <w:rFonts w:ascii="Times New Roman" w:hAnsi="Times New Roman"/>
          <w:sz w:val="20"/>
        </w:rPr>
        <w:t>(unaudited)</w:t>
      </w:r>
    </w:p>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7973"/>
        <w:gridCol w:w="79"/>
        <w:gridCol w:w="125"/>
        <w:gridCol w:w="826"/>
        <w:gridCol w:w="79"/>
        <w:gridCol w:w="79"/>
        <w:gridCol w:w="125"/>
        <w:gridCol w:w="826"/>
        <w:gridCol w:w="93"/>
      </w:tblGrid>
      <w:tr>
        <w:trPr/>
        <w:tc>
          <w:tcPr>
            <w:tcW w:w="7973" w:type="dxa"/>
            <w:tcBorders/>
            <w:shd w:fill="auto" w:val="clear"/>
            <w:vAlign w:val="bottom"/>
          </w:tcPr>
          <w:p>
            <w:pPr>
              <w:pStyle w:val="TableContents"/>
              <w:spacing w:before="0" w:after="283"/>
              <w:rPr/>
            </w:pPr>
            <w:r>
              <w:rPr/>
              <w:t xml:space="preserve">  </w:t>
            </w:r>
          </w:p>
        </w:tc>
        <w:tc>
          <w:tcPr>
            <w:tcW w:w="79" w:type="dxa"/>
            <w:tcBorders/>
            <w:shd w:fill="auto" w:val="clear"/>
            <w:vAlign w:val="bottom"/>
          </w:tcPr>
          <w:p>
            <w:pPr>
              <w:pStyle w:val="TableContents"/>
              <w:spacing w:before="0" w:after="283"/>
              <w:rPr/>
            </w:pPr>
            <w:r>
              <w:rPr/>
              <w:t> </w:t>
            </w:r>
          </w:p>
        </w:tc>
        <w:tc>
          <w:tcPr>
            <w:tcW w:w="206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 of January 31,</w:t>
            </w:r>
          </w:p>
        </w:tc>
        <w:tc>
          <w:tcPr>
            <w:tcW w:w="93" w:type="dxa"/>
            <w:tcBorders/>
            <w:shd w:fill="auto" w:val="clear"/>
            <w:vAlign w:val="bottom"/>
          </w:tcPr>
          <w:p>
            <w:pPr>
              <w:pStyle w:val="TableContents"/>
              <w:spacing w:before="0" w:after="283"/>
              <w:jc w:val="left"/>
              <w:rPr/>
            </w:pPr>
            <w:r>
              <w:rPr/>
              <w:t> </w:t>
            </w:r>
          </w:p>
        </w:tc>
      </w:tr>
      <w:tr>
        <w:trPr/>
        <w:tc>
          <w:tcPr>
            <w:tcW w:w="7973" w:type="dxa"/>
            <w:tcBorders/>
            <w:shd w:fill="auto" w:val="clear"/>
            <w:vAlign w:val="bottom"/>
          </w:tcPr>
          <w:p>
            <w:pPr>
              <w:pStyle w:val="TableContents"/>
              <w:spacing w:before="0" w:after="283"/>
              <w:rPr/>
            </w:pPr>
            <w:r>
              <w:rPr/>
              <w:t xml:space="preserve">  </w:t>
            </w:r>
          </w:p>
        </w:tc>
        <w:tc>
          <w:tcPr>
            <w:tcW w:w="79" w:type="dxa"/>
            <w:tcBorders/>
            <w:shd w:fill="auto" w:val="clear"/>
            <w:vAlign w:val="bottom"/>
          </w:tcPr>
          <w:p>
            <w:pPr>
              <w:pStyle w:val="TableContents"/>
              <w:spacing w:before="0" w:after="283"/>
              <w:rPr/>
            </w:pPr>
            <w:r>
              <w:rPr/>
              <w:t> </w:t>
            </w:r>
          </w:p>
        </w:tc>
        <w:tc>
          <w:tcPr>
            <w:tcW w:w="95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79" w:type="dxa"/>
            <w:tcBorders/>
            <w:shd w:fill="auto" w:val="clear"/>
            <w:vAlign w:val="bottom"/>
          </w:tcPr>
          <w:p>
            <w:pPr>
              <w:pStyle w:val="TableContents"/>
              <w:spacing w:before="0" w:after="283"/>
              <w:jc w:val="left"/>
              <w:rPr/>
            </w:pPr>
            <w:r>
              <w:rPr/>
              <w:t> </w:t>
            </w:r>
          </w:p>
        </w:tc>
        <w:tc>
          <w:tcPr>
            <w:tcW w:w="79" w:type="dxa"/>
            <w:tcBorders/>
            <w:shd w:fill="auto" w:val="clear"/>
            <w:vAlign w:val="bottom"/>
          </w:tcPr>
          <w:p>
            <w:pPr>
              <w:pStyle w:val="TableContents"/>
              <w:spacing w:before="0" w:after="283"/>
              <w:rPr/>
            </w:pPr>
            <w:r>
              <w:rPr/>
              <w:t> </w:t>
            </w:r>
          </w:p>
        </w:tc>
        <w:tc>
          <w:tcPr>
            <w:tcW w:w="95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93" w:type="dxa"/>
            <w:tcBorders/>
            <w:shd w:fill="auto" w:val="clear"/>
            <w:vAlign w:val="bottom"/>
          </w:tcPr>
          <w:p>
            <w:pPr>
              <w:pStyle w:val="TableContents"/>
              <w:spacing w:before="0" w:after="283"/>
              <w:jc w:val="left"/>
              <w:rPr/>
            </w:pPr>
            <w:r>
              <w:rPr/>
              <w:t> </w:t>
            </w:r>
          </w:p>
        </w:tc>
      </w:tr>
      <w:tr>
        <w:trPr/>
        <w:tc>
          <w:tcPr>
            <w:tcW w:w="7973" w:type="dxa"/>
            <w:tcBorders/>
            <w:shd w:fill="auto" w:val="clear"/>
            <w:vAlign w:val="bottom"/>
          </w:tcPr>
          <w:p>
            <w:pPr>
              <w:pStyle w:val="TableContents"/>
              <w:spacing w:before="0" w:after="283"/>
              <w:rPr/>
            </w:pPr>
            <w:r>
              <w:rPr/>
              <w:t xml:space="preserve">  </w:t>
            </w:r>
          </w:p>
        </w:tc>
        <w:tc>
          <w:tcPr>
            <w:tcW w:w="79" w:type="dxa"/>
            <w:tcBorders/>
            <w:shd w:fill="auto" w:val="clear"/>
            <w:vAlign w:val="bottom"/>
          </w:tcPr>
          <w:p>
            <w:pPr>
              <w:pStyle w:val="TableContents"/>
              <w:spacing w:before="0" w:after="283"/>
              <w:rPr/>
            </w:pPr>
            <w:r>
              <w:rPr/>
              <w:t> </w:t>
            </w:r>
          </w:p>
        </w:tc>
        <w:tc>
          <w:tcPr>
            <w:tcW w:w="951" w:type="dxa"/>
            <w:gridSpan w:val="2"/>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jc w:val="left"/>
              <w:rPr/>
            </w:pPr>
            <w:r>
              <w:rPr/>
              <w:t> </w:t>
            </w:r>
          </w:p>
        </w:tc>
        <w:tc>
          <w:tcPr>
            <w:tcW w:w="79" w:type="dxa"/>
            <w:tcBorders/>
            <w:shd w:fill="auto" w:val="clear"/>
            <w:vAlign w:val="bottom"/>
          </w:tcPr>
          <w:p>
            <w:pPr>
              <w:pStyle w:val="TableContents"/>
              <w:spacing w:before="0" w:after="283"/>
              <w:rPr/>
            </w:pPr>
            <w:r>
              <w:rPr/>
              <w:t> </w:t>
            </w:r>
          </w:p>
        </w:tc>
        <w:tc>
          <w:tcPr>
            <w:tcW w:w="951" w:type="dxa"/>
            <w:gridSpan w:val="2"/>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jc w:val="left"/>
              <w:rPr/>
            </w:pPr>
            <w:r>
              <w:rPr/>
              <w:t> </w:t>
            </w:r>
          </w:p>
        </w:tc>
      </w:tr>
      <w:tr>
        <w:trPr/>
        <w:tc>
          <w:tcPr>
            <w:tcW w:w="7973"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Assets</w:t>
            </w:r>
          </w:p>
        </w:tc>
        <w:tc>
          <w:tcPr>
            <w:tcW w:w="79" w:type="dxa"/>
            <w:tcBorders/>
            <w:shd w:fill="CCFFCC" w:val="clear"/>
            <w:vAlign w:val="bottom"/>
          </w:tcPr>
          <w:p>
            <w:pPr>
              <w:pStyle w:val="TableContents"/>
              <w:spacing w:before="0" w:after="283"/>
              <w:rPr/>
            </w:pPr>
            <w:r>
              <w:rPr/>
              <w:t> </w:t>
            </w:r>
          </w:p>
        </w:tc>
        <w:tc>
          <w:tcPr>
            <w:tcW w:w="951" w:type="dxa"/>
            <w:gridSpan w:val="2"/>
            <w:tcBorders/>
            <w:shd w:fill="CCFFCC" w:val="clear"/>
            <w:vAlign w:val="bottom"/>
          </w:tcPr>
          <w:p>
            <w:pPr>
              <w:pStyle w:val="TableContents"/>
              <w:spacing w:before="0" w:after="283"/>
              <w:rPr/>
            </w:pPr>
            <w:r>
              <w:rPr/>
              <w:t> </w:t>
            </w:r>
          </w:p>
        </w:tc>
        <w:tc>
          <w:tcPr>
            <w:tcW w:w="79" w:type="dxa"/>
            <w:tcBorders/>
            <w:shd w:fill="CCFFCC" w:val="clear"/>
            <w:vAlign w:val="bottom"/>
          </w:tcPr>
          <w:p>
            <w:pPr>
              <w:pStyle w:val="TableContents"/>
              <w:spacing w:before="0" w:after="283"/>
              <w:jc w:val="left"/>
              <w:rPr/>
            </w:pPr>
            <w:r>
              <w:rPr/>
              <w:t> </w:t>
            </w:r>
          </w:p>
        </w:tc>
        <w:tc>
          <w:tcPr>
            <w:tcW w:w="79" w:type="dxa"/>
            <w:tcBorders/>
            <w:shd w:fill="CCFFCC" w:val="clear"/>
            <w:vAlign w:val="bottom"/>
          </w:tcPr>
          <w:p>
            <w:pPr>
              <w:pStyle w:val="TableContents"/>
              <w:spacing w:before="0" w:after="283"/>
              <w:rPr/>
            </w:pPr>
            <w:r>
              <w:rPr/>
              <w:t> </w:t>
            </w:r>
          </w:p>
        </w:tc>
        <w:tc>
          <w:tcPr>
            <w:tcW w:w="951" w:type="dxa"/>
            <w:gridSpan w:val="2"/>
            <w:tcBorders/>
            <w:shd w:fill="CCFFCC" w:val="clear"/>
            <w:vAlign w:val="bottom"/>
          </w:tcPr>
          <w:p>
            <w:pPr>
              <w:pStyle w:val="TableContents"/>
              <w:spacing w:before="0" w:after="283"/>
              <w:rPr/>
            </w:pPr>
            <w:r>
              <w:rPr/>
              <w:t> </w:t>
            </w:r>
          </w:p>
        </w:tc>
        <w:tc>
          <w:tcPr>
            <w:tcW w:w="93" w:type="dxa"/>
            <w:tcBorders/>
            <w:shd w:fill="CCFFCC" w:val="clear"/>
            <w:vAlign w:val="bottom"/>
          </w:tcPr>
          <w:p>
            <w:pPr>
              <w:pStyle w:val="TableContents"/>
              <w:spacing w:before="0" w:after="283"/>
              <w:jc w:val="left"/>
              <w:rPr/>
            </w:pPr>
            <w:r>
              <w:rPr/>
              <w:t> </w:t>
            </w:r>
          </w:p>
        </w:tc>
      </w:tr>
      <w:tr>
        <w:trPr/>
        <w:tc>
          <w:tcPr>
            <w:tcW w:w="7973"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Cash and Cash Equivalents</w:t>
            </w:r>
          </w:p>
        </w:tc>
        <w:tc>
          <w:tcPr>
            <w:tcW w:w="7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20,864</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2,272</w:t>
            </w:r>
          </w:p>
        </w:tc>
        <w:tc>
          <w:tcPr>
            <w:tcW w:w="93" w:type="dxa"/>
            <w:tcBorders/>
            <w:shd w:fill="FFFFFF" w:val="clear"/>
            <w:vAlign w:val="bottom"/>
          </w:tcPr>
          <w:p>
            <w:pPr>
              <w:pStyle w:val="TableContents"/>
              <w:spacing w:before="0" w:after="283"/>
              <w:jc w:val="left"/>
              <w:rPr/>
            </w:pPr>
            <w:r>
              <w:rPr/>
              <w:t> </w:t>
            </w:r>
          </w:p>
        </w:tc>
      </w:tr>
      <w:tr>
        <w:trPr/>
        <w:tc>
          <w:tcPr>
            <w:tcW w:w="7973"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Investment in Treasury Securities</w:t>
            </w:r>
          </w:p>
        </w:tc>
        <w:tc>
          <w:tcPr>
            <w:tcW w:w="7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82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5,999</w:t>
            </w:r>
          </w:p>
        </w:tc>
        <w:tc>
          <w:tcPr>
            <w:tcW w:w="79" w:type="dxa"/>
            <w:tcBorders/>
            <w:shd w:fill="CCFFCC" w:val="clear"/>
            <w:vAlign w:val="bottom"/>
          </w:tcPr>
          <w:p>
            <w:pPr>
              <w:pStyle w:val="TableContents"/>
              <w:spacing w:before="0" w:after="283"/>
              <w:jc w:val="left"/>
              <w:rPr/>
            </w:pPr>
            <w:r>
              <w:rPr/>
              <w:t> </w:t>
            </w:r>
          </w:p>
        </w:tc>
        <w:tc>
          <w:tcPr>
            <w:tcW w:w="7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82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14,494</w:t>
            </w:r>
          </w:p>
        </w:tc>
        <w:tc>
          <w:tcPr>
            <w:tcW w:w="93" w:type="dxa"/>
            <w:tcBorders/>
            <w:shd w:fill="CCFFCC" w:val="clear"/>
            <w:vAlign w:val="bottom"/>
          </w:tcPr>
          <w:p>
            <w:pPr>
              <w:pStyle w:val="TableContents"/>
              <w:spacing w:before="0" w:after="283"/>
              <w:jc w:val="left"/>
              <w:rPr/>
            </w:pPr>
            <w:r>
              <w:rPr/>
              <w:t> </w:t>
            </w:r>
          </w:p>
        </w:tc>
      </w:tr>
      <w:tr>
        <w:trPr/>
        <w:tc>
          <w:tcPr>
            <w:tcW w:w="7973"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Accounts Receivable, net</w:t>
            </w:r>
          </w:p>
        </w:tc>
        <w:tc>
          <w:tcPr>
            <w:tcW w:w="7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27,210</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31,399</w:t>
            </w:r>
          </w:p>
        </w:tc>
        <w:tc>
          <w:tcPr>
            <w:tcW w:w="93" w:type="dxa"/>
            <w:tcBorders/>
            <w:shd w:fill="FFFFFF" w:val="clear"/>
            <w:vAlign w:val="bottom"/>
          </w:tcPr>
          <w:p>
            <w:pPr>
              <w:pStyle w:val="TableContents"/>
              <w:spacing w:before="0" w:after="283"/>
              <w:jc w:val="left"/>
              <w:rPr/>
            </w:pPr>
            <w:r>
              <w:rPr/>
              <w:t> </w:t>
            </w:r>
          </w:p>
        </w:tc>
      </w:tr>
      <w:tr>
        <w:trPr/>
        <w:tc>
          <w:tcPr>
            <w:tcW w:w="7973"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Inventories</w:t>
            </w:r>
          </w:p>
        </w:tc>
        <w:tc>
          <w:tcPr>
            <w:tcW w:w="7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82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16,985</w:t>
            </w:r>
          </w:p>
        </w:tc>
        <w:tc>
          <w:tcPr>
            <w:tcW w:w="79" w:type="dxa"/>
            <w:tcBorders/>
            <w:shd w:fill="CCFFCC" w:val="clear"/>
            <w:vAlign w:val="bottom"/>
          </w:tcPr>
          <w:p>
            <w:pPr>
              <w:pStyle w:val="TableContents"/>
              <w:spacing w:before="0" w:after="283"/>
              <w:jc w:val="left"/>
              <w:rPr/>
            </w:pPr>
            <w:r>
              <w:rPr/>
              <w:t> </w:t>
            </w:r>
          </w:p>
        </w:tc>
        <w:tc>
          <w:tcPr>
            <w:tcW w:w="7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82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19,235</w:t>
            </w:r>
          </w:p>
        </w:tc>
        <w:tc>
          <w:tcPr>
            <w:tcW w:w="93" w:type="dxa"/>
            <w:tcBorders/>
            <w:shd w:fill="CCFFCC" w:val="clear"/>
            <w:vAlign w:val="bottom"/>
          </w:tcPr>
          <w:p>
            <w:pPr>
              <w:pStyle w:val="TableContents"/>
              <w:spacing w:before="0" w:after="283"/>
              <w:jc w:val="left"/>
              <w:rPr/>
            </w:pPr>
            <w:r>
              <w:rPr/>
              <w:t> </w:t>
            </w:r>
          </w:p>
        </w:tc>
      </w:tr>
      <w:tr>
        <w:trPr/>
        <w:tc>
          <w:tcPr>
            <w:tcW w:w="7973"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Prepaid Expenses</w:t>
            </w:r>
          </w:p>
        </w:tc>
        <w:tc>
          <w:tcPr>
            <w:tcW w:w="7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6,975</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6,563</w:t>
            </w:r>
          </w:p>
        </w:tc>
        <w:tc>
          <w:tcPr>
            <w:tcW w:w="93" w:type="dxa"/>
            <w:tcBorders/>
            <w:shd w:fill="FFFFFF" w:val="clear"/>
            <w:vAlign w:val="bottom"/>
          </w:tcPr>
          <w:p>
            <w:pPr>
              <w:pStyle w:val="TableContents"/>
              <w:spacing w:before="0" w:after="283"/>
              <w:jc w:val="left"/>
              <w:rPr/>
            </w:pPr>
            <w:r>
              <w:rPr/>
              <w:t> </w:t>
            </w:r>
          </w:p>
        </w:tc>
      </w:tr>
      <w:tr>
        <w:trPr/>
        <w:tc>
          <w:tcPr>
            <w:tcW w:w="7973"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Total Current Assets</w:t>
            </w:r>
          </w:p>
        </w:tc>
        <w:tc>
          <w:tcPr>
            <w:tcW w:w="79"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78,033</w:t>
            </w:r>
          </w:p>
        </w:tc>
        <w:tc>
          <w:tcPr>
            <w:tcW w:w="79" w:type="dxa"/>
            <w:tcBorders/>
            <w:shd w:fill="CCFFCC" w:val="clear"/>
            <w:vAlign w:val="bottom"/>
          </w:tcPr>
          <w:p>
            <w:pPr>
              <w:pStyle w:val="TableContents"/>
              <w:spacing w:before="0" w:after="283"/>
              <w:jc w:val="left"/>
              <w:rPr/>
            </w:pPr>
            <w:r>
              <w:rPr/>
              <w:t> </w:t>
            </w:r>
          </w:p>
        </w:tc>
        <w:tc>
          <w:tcPr>
            <w:tcW w:w="79"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73,963</w:t>
            </w:r>
          </w:p>
        </w:tc>
        <w:tc>
          <w:tcPr>
            <w:tcW w:w="93" w:type="dxa"/>
            <w:tcBorders/>
            <w:shd w:fill="CCFFCC" w:val="clear"/>
            <w:vAlign w:val="bottom"/>
          </w:tcPr>
          <w:p>
            <w:pPr>
              <w:pStyle w:val="TableContents"/>
              <w:spacing w:before="0" w:after="283"/>
              <w:jc w:val="left"/>
              <w:rPr/>
            </w:pPr>
            <w:r>
              <w:rPr/>
              <w:t> </w:t>
            </w:r>
          </w:p>
        </w:tc>
      </w:tr>
      <w:tr>
        <w:trPr/>
        <w:tc>
          <w:tcPr>
            <w:tcW w:w="797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Property, Plant and Equipment</w:t>
            </w:r>
          </w:p>
        </w:tc>
        <w:tc>
          <w:tcPr>
            <w:tcW w:w="7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60,370</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55,196</w:t>
            </w:r>
          </w:p>
        </w:tc>
        <w:tc>
          <w:tcPr>
            <w:tcW w:w="93" w:type="dxa"/>
            <w:tcBorders/>
            <w:shd w:fill="FFFFFF" w:val="clear"/>
            <w:vAlign w:val="bottom"/>
          </w:tcPr>
          <w:p>
            <w:pPr>
              <w:pStyle w:val="TableContents"/>
              <w:spacing w:before="0" w:after="283"/>
              <w:jc w:val="left"/>
              <w:rPr/>
            </w:pPr>
            <w:r>
              <w:rPr/>
              <w:t> </w:t>
            </w:r>
          </w:p>
        </w:tc>
      </w:tr>
      <w:tr>
        <w:trPr/>
        <w:tc>
          <w:tcPr>
            <w:tcW w:w="7973"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Assets</w:t>
            </w:r>
          </w:p>
        </w:tc>
        <w:tc>
          <w:tcPr>
            <w:tcW w:w="79"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15,463</w:t>
            </w:r>
          </w:p>
        </w:tc>
        <w:tc>
          <w:tcPr>
            <w:tcW w:w="79" w:type="dxa"/>
            <w:tcBorders/>
            <w:shd w:fill="CCFFCC" w:val="clear"/>
            <w:vAlign w:val="bottom"/>
          </w:tcPr>
          <w:p>
            <w:pPr>
              <w:pStyle w:val="TableContents"/>
              <w:spacing w:before="0" w:after="283"/>
              <w:jc w:val="left"/>
              <w:rPr/>
            </w:pPr>
            <w:r>
              <w:rPr/>
              <w:t> </w:t>
            </w:r>
          </w:p>
        </w:tc>
        <w:tc>
          <w:tcPr>
            <w:tcW w:w="79"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14,432</w:t>
            </w:r>
          </w:p>
        </w:tc>
        <w:tc>
          <w:tcPr>
            <w:tcW w:w="93" w:type="dxa"/>
            <w:tcBorders/>
            <w:shd w:fill="CCFFCC" w:val="clear"/>
            <w:vAlign w:val="bottom"/>
          </w:tcPr>
          <w:p>
            <w:pPr>
              <w:pStyle w:val="TableContents"/>
              <w:spacing w:before="0" w:after="283"/>
              <w:jc w:val="left"/>
              <w:rPr/>
            </w:pPr>
            <w:r>
              <w:rPr/>
              <w:t> </w:t>
            </w:r>
          </w:p>
        </w:tc>
      </w:tr>
      <w:tr>
        <w:trPr/>
        <w:tc>
          <w:tcPr>
            <w:tcW w:w="797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Assets</w:t>
            </w:r>
          </w:p>
        </w:tc>
        <w:tc>
          <w:tcPr>
            <w:tcW w:w="79"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153,866</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143,591</w:t>
            </w:r>
          </w:p>
        </w:tc>
        <w:tc>
          <w:tcPr>
            <w:tcW w:w="93" w:type="dxa"/>
            <w:tcBorders/>
            <w:shd w:fill="FFFFFF" w:val="clear"/>
            <w:vAlign w:val="bottom"/>
          </w:tcPr>
          <w:p>
            <w:pPr>
              <w:pStyle w:val="TableContents"/>
              <w:spacing w:before="0" w:after="283"/>
              <w:jc w:val="left"/>
              <w:rPr/>
            </w:pPr>
            <w:r>
              <w:rPr/>
              <w:t> </w:t>
            </w:r>
          </w:p>
        </w:tc>
      </w:tr>
      <w:tr>
        <w:trPr/>
        <w:tc>
          <w:tcPr>
            <w:tcW w:w="7973" w:type="dxa"/>
            <w:tcBorders/>
            <w:shd w:fill="CCFFCC" w:val="clear"/>
            <w:vAlign w:val="bottom"/>
          </w:tcPr>
          <w:p>
            <w:pPr>
              <w:pStyle w:val="TableContents"/>
              <w:spacing w:before="0" w:after="283"/>
              <w:rPr/>
            </w:pPr>
            <w:r>
              <w:rPr/>
              <w:t xml:space="preserve">  </w:t>
            </w:r>
          </w:p>
        </w:tc>
        <w:tc>
          <w:tcPr>
            <w:tcW w:w="79"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826" w:type="dxa"/>
            <w:tcBorders/>
            <w:shd w:fill="CCFFCC" w:val="clear"/>
            <w:vAlign w:val="bottom"/>
          </w:tcPr>
          <w:p>
            <w:pPr>
              <w:pStyle w:val="TableContents"/>
              <w:spacing w:before="0" w:after="283"/>
              <w:jc w:val="right"/>
              <w:rPr/>
            </w:pPr>
            <w:r>
              <w:rPr/>
              <w:t> </w:t>
            </w:r>
          </w:p>
        </w:tc>
        <w:tc>
          <w:tcPr>
            <w:tcW w:w="79" w:type="dxa"/>
            <w:tcBorders/>
            <w:shd w:fill="CCFFCC" w:val="clear"/>
            <w:vAlign w:val="bottom"/>
          </w:tcPr>
          <w:p>
            <w:pPr>
              <w:pStyle w:val="TableContents"/>
              <w:spacing w:before="0" w:after="283"/>
              <w:jc w:val="left"/>
              <w:rPr/>
            </w:pPr>
            <w:r>
              <w:rPr/>
              <w:t> </w:t>
            </w:r>
          </w:p>
        </w:tc>
        <w:tc>
          <w:tcPr>
            <w:tcW w:w="79"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826" w:type="dxa"/>
            <w:tcBorders/>
            <w:shd w:fill="CCFFCC" w:val="clear"/>
            <w:vAlign w:val="bottom"/>
          </w:tcPr>
          <w:p>
            <w:pPr>
              <w:pStyle w:val="TableContents"/>
              <w:spacing w:before="0" w:after="283"/>
              <w:jc w:val="right"/>
              <w:rPr/>
            </w:pPr>
            <w:r>
              <w:rPr/>
              <w:t> </w:t>
            </w:r>
          </w:p>
        </w:tc>
        <w:tc>
          <w:tcPr>
            <w:tcW w:w="93" w:type="dxa"/>
            <w:tcBorders/>
            <w:shd w:fill="CCFFCC" w:val="clear"/>
            <w:vAlign w:val="bottom"/>
          </w:tcPr>
          <w:p>
            <w:pPr>
              <w:pStyle w:val="TableContents"/>
              <w:spacing w:before="0" w:after="283"/>
              <w:jc w:val="left"/>
              <w:rPr/>
            </w:pPr>
            <w:r>
              <w:rPr/>
              <w:t> </w:t>
            </w:r>
          </w:p>
        </w:tc>
      </w:tr>
      <w:tr>
        <w:trPr/>
        <w:tc>
          <w:tcPr>
            <w:tcW w:w="797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26" w:type="dxa"/>
            <w:tcBorders/>
            <w:shd w:fill="FFFFFF" w:val="clear"/>
            <w:vAlign w:val="bottom"/>
          </w:tcPr>
          <w:p>
            <w:pPr>
              <w:pStyle w:val="TableContents"/>
              <w:spacing w:before="0" w:after="283"/>
              <w:jc w:val="right"/>
              <w:rPr/>
            </w:pPr>
            <w:r>
              <w:rPr/>
              <w:t> </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26" w:type="dxa"/>
            <w:tcBorders/>
            <w:shd w:fill="FFFFFF" w:val="clear"/>
            <w:vAlign w:val="bottom"/>
          </w:tcPr>
          <w:p>
            <w:pPr>
              <w:pStyle w:val="TableContents"/>
              <w:spacing w:before="0" w:after="283"/>
              <w:jc w:val="right"/>
              <w:rPr/>
            </w:pPr>
            <w:r>
              <w:rPr/>
              <w:t> </w:t>
            </w:r>
          </w:p>
        </w:tc>
        <w:tc>
          <w:tcPr>
            <w:tcW w:w="93" w:type="dxa"/>
            <w:tcBorders/>
            <w:shd w:fill="FFFFFF" w:val="clear"/>
            <w:vAlign w:val="bottom"/>
          </w:tcPr>
          <w:p>
            <w:pPr>
              <w:pStyle w:val="TableContents"/>
              <w:spacing w:before="0" w:after="283"/>
              <w:jc w:val="left"/>
              <w:rPr/>
            </w:pPr>
            <w:r>
              <w:rPr/>
              <w:t> </w:t>
            </w:r>
          </w:p>
        </w:tc>
      </w:tr>
      <w:tr>
        <w:trPr/>
        <w:tc>
          <w:tcPr>
            <w:tcW w:w="7973"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Current Maturities of Notes Payable</w:t>
            </w:r>
          </w:p>
        </w:tc>
        <w:tc>
          <w:tcPr>
            <w:tcW w:w="7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4,500</w:t>
            </w:r>
          </w:p>
        </w:tc>
        <w:tc>
          <w:tcPr>
            <w:tcW w:w="79" w:type="dxa"/>
            <w:tcBorders/>
            <w:shd w:fill="CCFFCC" w:val="clear"/>
            <w:vAlign w:val="bottom"/>
          </w:tcPr>
          <w:p>
            <w:pPr>
              <w:pStyle w:val="TableContents"/>
              <w:spacing w:before="0" w:after="283"/>
              <w:jc w:val="left"/>
              <w:rPr/>
            </w:pPr>
            <w:r>
              <w:rPr/>
              <w:t> </w:t>
            </w:r>
          </w:p>
        </w:tc>
        <w:tc>
          <w:tcPr>
            <w:tcW w:w="7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1,700</w:t>
            </w:r>
          </w:p>
        </w:tc>
        <w:tc>
          <w:tcPr>
            <w:tcW w:w="93" w:type="dxa"/>
            <w:tcBorders/>
            <w:shd w:fill="CCFFCC" w:val="clear"/>
            <w:vAlign w:val="bottom"/>
          </w:tcPr>
          <w:p>
            <w:pPr>
              <w:pStyle w:val="TableContents"/>
              <w:spacing w:before="0" w:after="283"/>
              <w:jc w:val="left"/>
              <w:rPr/>
            </w:pPr>
            <w:r>
              <w:rPr/>
              <w:t> </w:t>
            </w:r>
          </w:p>
        </w:tc>
      </w:tr>
      <w:tr>
        <w:trPr/>
        <w:tc>
          <w:tcPr>
            <w:tcW w:w="7973"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Accounts Payable</w:t>
            </w:r>
          </w:p>
        </w:tc>
        <w:tc>
          <w:tcPr>
            <w:tcW w:w="7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5,450</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6,330</w:t>
            </w:r>
          </w:p>
        </w:tc>
        <w:tc>
          <w:tcPr>
            <w:tcW w:w="93" w:type="dxa"/>
            <w:tcBorders/>
            <w:shd w:fill="FFFFFF" w:val="clear"/>
            <w:vAlign w:val="bottom"/>
          </w:tcPr>
          <w:p>
            <w:pPr>
              <w:pStyle w:val="TableContents"/>
              <w:spacing w:before="0" w:after="283"/>
              <w:jc w:val="left"/>
              <w:rPr/>
            </w:pPr>
            <w:r>
              <w:rPr/>
              <w:t> </w:t>
            </w:r>
          </w:p>
        </w:tc>
      </w:tr>
      <w:tr>
        <w:trPr/>
        <w:tc>
          <w:tcPr>
            <w:tcW w:w="7973"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Dividends Payable</w:t>
            </w:r>
          </w:p>
        </w:tc>
        <w:tc>
          <w:tcPr>
            <w:tcW w:w="7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82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997</w:t>
            </w:r>
          </w:p>
        </w:tc>
        <w:tc>
          <w:tcPr>
            <w:tcW w:w="79" w:type="dxa"/>
            <w:tcBorders/>
            <w:shd w:fill="CCFFCC" w:val="clear"/>
            <w:vAlign w:val="bottom"/>
          </w:tcPr>
          <w:p>
            <w:pPr>
              <w:pStyle w:val="TableContents"/>
              <w:spacing w:before="0" w:after="283"/>
              <w:jc w:val="left"/>
              <w:rPr/>
            </w:pPr>
            <w:r>
              <w:rPr/>
              <w:t> </w:t>
            </w:r>
          </w:p>
        </w:tc>
        <w:tc>
          <w:tcPr>
            <w:tcW w:w="7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82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921</w:t>
            </w:r>
          </w:p>
        </w:tc>
        <w:tc>
          <w:tcPr>
            <w:tcW w:w="93" w:type="dxa"/>
            <w:tcBorders/>
            <w:shd w:fill="CCFFCC" w:val="clear"/>
            <w:vAlign w:val="bottom"/>
          </w:tcPr>
          <w:p>
            <w:pPr>
              <w:pStyle w:val="TableContents"/>
              <w:spacing w:before="0" w:after="283"/>
              <w:jc w:val="left"/>
              <w:rPr/>
            </w:pPr>
            <w:r>
              <w:rPr/>
              <w:t> </w:t>
            </w:r>
          </w:p>
        </w:tc>
      </w:tr>
      <w:tr>
        <w:trPr/>
        <w:tc>
          <w:tcPr>
            <w:tcW w:w="7973"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Accrued Expenses</w:t>
            </w:r>
          </w:p>
        </w:tc>
        <w:tc>
          <w:tcPr>
            <w:tcW w:w="7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15,053</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13,327</w:t>
            </w:r>
          </w:p>
        </w:tc>
        <w:tc>
          <w:tcPr>
            <w:tcW w:w="93" w:type="dxa"/>
            <w:tcBorders/>
            <w:shd w:fill="FFFFFF" w:val="clear"/>
            <w:vAlign w:val="bottom"/>
          </w:tcPr>
          <w:p>
            <w:pPr>
              <w:pStyle w:val="TableContents"/>
              <w:spacing w:before="0" w:after="283"/>
              <w:jc w:val="left"/>
              <w:rPr/>
            </w:pPr>
            <w:r>
              <w:rPr/>
              <w:t> </w:t>
            </w:r>
          </w:p>
        </w:tc>
      </w:tr>
      <w:tr>
        <w:trPr/>
        <w:tc>
          <w:tcPr>
            <w:tcW w:w="7973"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Total Current Liabilities</w:t>
            </w:r>
          </w:p>
        </w:tc>
        <w:tc>
          <w:tcPr>
            <w:tcW w:w="79"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26,000</w:t>
            </w:r>
          </w:p>
        </w:tc>
        <w:tc>
          <w:tcPr>
            <w:tcW w:w="79" w:type="dxa"/>
            <w:tcBorders/>
            <w:shd w:fill="CCFFCC" w:val="clear"/>
            <w:vAlign w:val="bottom"/>
          </w:tcPr>
          <w:p>
            <w:pPr>
              <w:pStyle w:val="TableContents"/>
              <w:spacing w:before="0" w:after="283"/>
              <w:jc w:val="left"/>
              <w:rPr/>
            </w:pPr>
            <w:r>
              <w:rPr/>
              <w:t> </w:t>
            </w:r>
          </w:p>
        </w:tc>
        <w:tc>
          <w:tcPr>
            <w:tcW w:w="79"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22,278</w:t>
            </w:r>
          </w:p>
        </w:tc>
        <w:tc>
          <w:tcPr>
            <w:tcW w:w="93" w:type="dxa"/>
            <w:tcBorders/>
            <w:shd w:fill="CCFFCC" w:val="clear"/>
            <w:vAlign w:val="bottom"/>
          </w:tcPr>
          <w:p>
            <w:pPr>
              <w:pStyle w:val="TableContents"/>
              <w:spacing w:before="0" w:after="283"/>
              <w:jc w:val="left"/>
              <w:rPr/>
            </w:pPr>
            <w:r>
              <w:rPr/>
              <w:t> </w:t>
            </w:r>
          </w:p>
        </w:tc>
      </w:tr>
      <w:tr>
        <w:trPr/>
        <w:tc>
          <w:tcPr>
            <w:tcW w:w="797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Long-Term Liabilities</w:t>
            </w:r>
          </w:p>
        </w:tc>
        <w:tc>
          <w:tcPr>
            <w:tcW w:w="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26" w:type="dxa"/>
            <w:tcBorders/>
            <w:shd w:fill="FFFFFF" w:val="clear"/>
            <w:vAlign w:val="bottom"/>
          </w:tcPr>
          <w:p>
            <w:pPr>
              <w:pStyle w:val="TableContents"/>
              <w:spacing w:before="0" w:after="283"/>
              <w:jc w:val="right"/>
              <w:rPr/>
            </w:pPr>
            <w:r>
              <w:rPr/>
              <w:t> </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26" w:type="dxa"/>
            <w:tcBorders/>
            <w:shd w:fill="FFFFFF" w:val="clear"/>
            <w:vAlign w:val="bottom"/>
          </w:tcPr>
          <w:p>
            <w:pPr>
              <w:pStyle w:val="TableContents"/>
              <w:spacing w:before="0" w:after="283"/>
              <w:jc w:val="right"/>
              <w:rPr/>
            </w:pPr>
            <w:r>
              <w:rPr/>
              <w:t> </w:t>
            </w:r>
          </w:p>
        </w:tc>
        <w:tc>
          <w:tcPr>
            <w:tcW w:w="93" w:type="dxa"/>
            <w:tcBorders/>
            <w:shd w:fill="FFFFFF" w:val="clear"/>
            <w:vAlign w:val="bottom"/>
          </w:tcPr>
          <w:p>
            <w:pPr>
              <w:pStyle w:val="TableContents"/>
              <w:spacing w:before="0" w:after="283"/>
              <w:jc w:val="left"/>
              <w:rPr/>
            </w:pPr>
            <w:r>
              <w:rPr/>
              <w:t> </w:t>
            </w:r>
          </w:p>
        </w:tc>
      </w:tr>
      <w:tr>
        <w:trPr/>
        <w:tc>
          <w:tcPr>
            <w:tcW w:w="7973"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Notes Payable</w:t>
            </w:r>
          </w:p>
        </w:tc>
        <w:tc>
          <w:tcPr>
            <w:tcW w:w="7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82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16,800</w:t>
            </w:r>
          </w:p>
        </w:tc>
        <w:tc>
          <w:tcPr>
            <w:tcW w:w="79" w:type="dxa"/>
            <w:tcBorders/>
            <w:shd w:fill="CCFFCC" w:val="clear"/>
            <w:vAlign w:val="bottom"/>
          </w:tcPr>
          <w:p>
            <w:pPr>
              <w:pStyle w:val="TableContents"/>
              <w:spacing w:before="0" w:after="283"/>
              <w:jc w:val="left"/>
              <w:rPr/>
            </w:pPr>
            <w:r>
              <w:rPr/>
              <w:t> </w:t>
            </w:r>
          </w:p>
        </w:tc>
        <w:tc>
          <w:tcPr>
            <w:tcW w:w="7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82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21,300</w:t>
            </w:r>
          </w:p>
        </w:tc>
        <w:tc>
          <w:tcPr>
            <w:tcW w:w="93" w:type="dxa"/>
            <w:tcBorders/>
            <w:shd w:fill="CCFFCC" w:val="clear"/>
            <w:vAlign w:val="bottom"/>
          </w:tcPr>
          <w:p>
            <w:pPr>
              <w:pStyle w:val="TableContents"/>
              <w:spacing w:before="0" w:after="283"/>
              <w:jc w:val="left"/>
              <w:rPr/>
            </w:pPr>
            <w:r>
              <w:rPr/>
              <w:t> </w:t>
            </w:r>
          </w:p>
        </w:tc>
      </w:tr>
      <w:tr>
        <w:trPr/>
        <w:tc>
          <w:tcPr>
            <w:tcW w:w="7973"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Other Noncurrent Liabilities</w:t>
            </w:r>
          </w:p>
        </w:tc>
        <w:tc>
          <w:tcPr>
            <w:tcW w:w="7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18,819</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10,380</w:t>
            </w:r>
          </w:p>
        </w:tc>
        <w:tc>
          <w:tcPr>
            <w:tcW w:w="93" w:type="dxa"/>
            <w:tcBorders/>
            <w:shd w:fill="FFFFFF" w:val="clear"/>
            <w:vAlign w:val="bottom"/>
          </w:tcPr>
          <w:p>
            <w:pPr>
              <w:pStyle w:val="TableContents"/>
              <w:spacing w:before="0" w:after="283"/>
              <w:jc w:val="left"/>
              <w:rPr/>
            </w:pPr>
            <w:r>
              <w:rPr/>
              <w:t> </w:t>
            </w:r>
          </w:p>
        </w:tc>
      </w:tr>
      <w:tr>
        <w:trPr/>
        <w:tc>
          <w:tcPr>
            <w:tcW w:w="7973"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Total Long-Term Liabilities</w:t>
            </w:r>
          </w:p>
        </w:tc>
        <w:tc>
          <w:tcPr>
            <w:tcW w:w="79"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35,619</w:t>
            </w:r>
          </w:p>
        </w:tc>
        <w:tc>
          <w:tcPr>
            <w:tcW w:w="79" w:type="dxa"/>
            <w:tcBorders/>
            <w:shd w:fill="CCFFCC" w:val="clear"/>
            <w:vAlign w:val="bottom"/>
          </w:tcPr>
          <w:p>
            <w:pPr>
              <w:pStyle w:val="TableContents"/>
              <w:spacing w:before="0" w:after="283"/>
              <w:jc w:val="left"/>
              <w:rPr/>
            </w:pPr>
            <w:r>
              <w:rPr/>
              <w:t> </w:t>
            </w:r>
          </w:p>
        </w:tc>
        <w:tc>
          <w:tcPr>
            <w:tcW w:w="79"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31,680</w:t>
            </w:r>
          </w:p>
        </w:tc>
        <w:tc>
          <w:tcPr>
            <w:tcW w:w="93" w:type="dxa"/>
            <w:tcBorders/>
            <w:shd w:fill="CCFFCC" w:val="clear"/>
            <w:vAlign w:val="bottom"/>
          </w:tcPr>
          <w:p>
            <w:pPr>
              <w:pStyle w:val="TableContents"/>
              <w:spacing w:before="0" w:after="283"/>
              <w:jc w:val="left"/>
              <w:rPr/>
            </w:pPr>
            <w:r>
              <w:rPr/>
              <w:t> </w:t>
            </w:r>
          </w:p>
        </w:tc>
      </w:tr>
      <w:tr>
        <w:trPr/>
        <w:tc>
          <w:tcPr>
            <w:tcW w:w="797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Stockholders' Equity</w:t>
            </w:r>
          </w:p>
        </w:tc>
        <w:tc>
          <w:tcPr>
            <w:tcW w:w="7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92,247</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89,633</w:t>
            </w:r>
          </w:p>
        </w:tc>
        <w:tc>
          <w:tcPr>
            <w:tcW w:w="93" w:type="dxa"/>
            <w:tcBorders/>
            <w:shd w:fill="FFFFFF" w:val="clear"/>
            <w:vAlign w:val="bottom"/>
          </w:tcPr>
          <w:p>
            <w:pPr>
              <w:pStyle w:val="TableContents"/>
              <w:spacing w:before="0" w:after="283"/>
              <w:jc w:val="left"/>
              <w:rPr/>
            </w:pPr>
            <w:r>
              <w:rPr/>
              <w:t> </w:t>
            </w:r>
          </w:p>
        </w:tc>
      </w:tr>
      <w:tr>
        <w:trPr/>
        <w:tc>
          <w:tcPr>
            <w:tcW w:w="7973"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Liabilities and Stockholders' Equity</w:t>
            </w:r>
          </w:p>
        </w:tc>
        <w:tc>
          <w:tcPr>
            <w:tcW w:w="79" w:type="dxa"/>
            <w:tcBorders/>
            <w:shd w:fill="CCFFCC" w:val="clear"/>
            <w:vAlign w:val="bottom"/>
          </w:tcPr>
          <w:p>
            <w:pPr>
              <w:pStyle w:val="TableContents"/>
              <w:spacing w:before="0" w:after="283"/>
              <w:jc w:val="right"/>
              <w:rPr/>
            </w:pPr>
            <w:r>
              <w:rPr/>
              <w:t> </w:t>
            </w:r>
          </w:p>
        </w:tc>
        <w:tc>
          <w:tcPr>
            <w:tcW w:w="125"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6"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153,866</w:t>
            </w:r>
          </w:p>
        </w:tc>
        <w:tc>
          <w:tcPr>
            <w:tcW w:w="79" w:type="dxa"/>
            <w:tcBorders/>
            <w:shd w:fill="CCFFCC" w:val="clear"/>
            <w:vAlign w:val="bottom"/>
          </w:tcPr>
          <w:p>
            <w:pPr>
              <w:pStyle w:val="TableContents"/>
              <w:spacing w:before="0" w:after="283"/>
              <w:jc w:val="left"/>
              <w:rPr/>
            </w:pPr>
            <w:r>
              <w:rPr/>
              <w:t> </w:t>
            </w:r>
          </w:p>
        </w:tc>
        <w:tc>
          <w:tcPr>
            <w:tcW w:w="79" w:type="dxa"/>
            <w:tcBorders/>
            <w:shd w:fill="CCFFCC" w:val="clear"/>
            <w:vAlign w:val="bottom"/>
          </w:tcPr>
          <w:p>
            <w:pPr>
              <w:pStyle w:val="TableContents"/>
              <w:spacing w:before="0" w:after="283"/>
              <w:jc w:val="right"/>
              <w:rPr/>
            </w:pPr>
            <w:r>
              <w:rPr/>
              <w:t> </w:t>
            </w:r>
          </w:p>
        </w:tc>
        <w:tc>
          <w:tcPr>
            <w:tcW w:w="125"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6"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143,591</w:t>
            </w:r>
          </w:p>
        </w:tc>
        <w:tc>
          <w:tcPr>
            <w:tcW w:w="93" w:type="dxa"/>
            <w:tcBorders/>
            <w:shd w:fill="CCFFCC" w:val="clear"/>
            <w:vAlign w:val="bottom"/>
          </w:tcPr>
          <w:p>
            <w:pPr>
              <w:pStyle w:val="TableContents"/>
              <w:spacing w:before="0" w:after="283"/>
              <w:jc w:val="left"/>
              <w:rPr/>
            </w:pPr>
            <w:r>
              <w:rPr/>
              <w:t> </w:t>
            </w:r>
          </w:p>
        </w:tc>
      </w:tr>
      <w:tr>
        <w:trPr/>
        <w:tc>
          <w:tcPr>
            <w:tcW w:w="7973" w:type="dxa"/>
            <w:tcBorders/>
            <w:shd w:fill="FFFFFF" w:val="clear"/>
            <w:vAlign w:val="bottom"/>
          </w:tcPr>
          <w:p>
            <w:pPr>
              <w:pStyle w:val="TableContents"/>
              <w:spacing w:before="0" w:after="283"/>
              <w:rPr/>
            </w:pPr>
            <w:r>
              <w:rPr/>
              <w:t xml:space="preserve">  </w:t>
            </w:r>
          </w:p>
        </w:tc>
        <w:tc>
          <w:tcPr>
            <w:tcW w:w="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26" w:type="dxa"/>
            <w:tcBorders/>
            <w:shd w:fill="FFFFFF" w:val="clear"/>
            <w:vAlign w:val="bottom"/>
          </w:tcPr>
          <w:p>
            <w:pPr>
              <w:pStyle w:val="TableContents"/>
              <w:spacing w:before="0" w:after="283"/>
              <w:jc w:val="right"/>
              <w:rPr/>
            </w:pPr>
            <w:r>
              <w:rPr/>
              <w:t> </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26" w:type="dxa"/>
            <w:tcBorders/>
            <w:shd w:fill="FFFFFF" w:val="clear"/>
            <w:vAlign w:val="bottom"/>
          </w:tcPr>
          <w:p>
            <w:pPr>
              <w:pStyle w:val="TableContents"/>
              <w:spacing w:before="0" w:after="283"/>
              <w:jc w:val="right"/>
              <w:rPr/>
            </w:pPr>
            <w:r>
              <w:rPr/>
              <w:t> </w:t>
            </w:r>
          </w:p>
        </w:tc>
        <w:tc>
          <w:tcPr>
            <w:tcW w:w="93" w:type="dxa"/>
            <w:tcBorders/>
            <w:shd w:fill="FFFFFF" w:val="clear"/>
            <w:vAlign w:val="bottom"/>
          </w:tcPr>
          <w:p>
            <w:pPr>
              <w:pStyle w:val="TableContents"/>
              <w:spacing w:before="0" w:after="283"/>
              <w:jc w:val="left"/>
              <w:rPr/>
            </w:pPr>
            <w:r>
              <w:rPr/>
              <w:t> </w:t>
            </w:r>
          </w:p>
        </w:tc>
      </w:tr>
      <w:tr>
        <w:trPr/>
        <w:tc>
          <w:tcPr>
            <w:tcW w:w="7973"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Book Value Per Share Outstanding</w:t>
            </w:r>
          </w:p>
        </w:tc>
        <w:tc>
          <w:tcPr>
            <w:tcW w:w="7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13.02</w:t>
            </w:r>
          </w:p>
        </w:tc>
        <w:tc>
          <w:tcPr>
            <w:tcW w:w="79" w:type="dxa"/>
            <w:tcBorders/>
            <w:shd w:fill="CCFFCC" w:val="clear"/>
            <w:vAlign w:val="bottom"/>
          </w:tcPr>
          <w:p>
            <w:pPr>
              <w:pStyle w:val="TableContents"/>
              <w:spacing w:before="0" w:after="283"/>
              <w:jc w:val="left"/>
              <w:rPr/>
            </w:pPr>
            <w:r>
              <w:rPr/>
              <w:t> </w:t>
            </w:r>
          </w:p>
        </w:tc>
        <w:tc>
          <w:tcPr>
            <w:tcW w:w="7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12.81</w:t>
            </w:r>
          </w:p>
        </w:tc>
        <w:tc>
          <w:tcPr>
            <w:tcW w:w="93" w:type="dxa"/>
            <w:tcBorders/>
            <w:shd w:fill="CCFFCC" w:val="clear"/>
            <w:vAlign w:val="bottom"/>
          </w:tcPr>
          <w:p>
            <w:pPr>
              <w:pStyle w:val="TableContents"/>
              <w:spacing w:before="0" w:after="283"/>
              <w:jc w:val="left"/>
              <w:rPr/>
            </w:pPr>
            <w:r>
              <w:rPr/>
              <w:t> </w:t>
            </w:r>
          </w:p>
        </w:tc>
      </w:tr>
      <w:tr>
        <w:trPr/>
        <w:tc>
          <w:tcPr>
            <w:tcW w:w="7973" w:type="dxa"/>
            <w:tcBorders/>
            <w:shd w:fill="FFFFFF" w:val="clear"/>
            <w:vAlign w:val="bottom"/>
          </w:tcPr>
          <w:p>
            <w:pPr>
              <w:pStyle w:val="TableContents"/>
              <w:spacing w:before="0" w:after="283"/>
              <w:rPr/>
            </w:pPr>
            <w:r>
              <w:rPr/>
              <w:t xml:space="preserve">  </w:t>
            </w:r>
          </w:p>
        </w:tc>
        <w:tc>
          <w:tcPr>
            <w:tcW w:w="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26" w:type="dxa"/>
            <w:tcBorders/>
            <w:shd w:fill="FFFFFF" w:val="clear"/>
            <w:vAlign w:val="bottom"/>
          </w:tcPr>
          <w:p>
            <w:pPr>
              <w:pStyle w:val="TableContents"/>
              <w:spacing w:before="0" w:after="283"/>
              <w:jc w:val="right"/>
              <w:rPr/>
            </w:pPr>
            <w:r>
              <w:rPr/>
              <w:t> </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26" w:type="dxa"/>
            <w:tcBorders/>
            <w:shd w:fill="FFFFFF" w:val="clear"/>
            <w:vAlign w:val="bottom"/>
          </w:tcPr>
          <w:p>
            <w:pPr>
              <w:pStyle w:val="TableContents"/>
              <w:spacing w:before="0" w:after="283"/>
              <w:jc w:val="right"/>
              <w:rPr/>
            </w:pPr>
            <w:r>
              <w:rPr/>
              <w:t> </w:t>
            </w:r>
          </w:p>
        </w:tc>
        <w:tc>
          <w:tcPr>
            <w:tcW w:w="93" w:type="dxa"/>
            <w:tcBorders/>
            <w:shd w:fill="FFFFFF" w:val="clear"/>
            <w:vAlign w:val="bottom"/>
          </w:tcPr>
          <w:p>
            <w:pPr>
              <w:pStyle w:val="TableContents"/>
              <w:spacing w:before="0" w:after="283"/>
              <w:jc w:val="left"/>
              <w:rPr/>
            </w:pPr>
            <w:r>
              <w:rPr/>
              <w:t> </w:t>
            </w:r>
          </w:p>
        </w:tc>
      </w:tr>
      <w:tr>
        <w:trPr/>
        <w:tc>
          <w:tcPr>
            <w:tcW w:w="7973"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Acquisitions of Property, Plant and Equipment                                  Second Quarter</w:t>
            </w:r>
          </w:p>
        </w:tc>
        <w:tc>
          <w:tcPr>
            <w:tcW w:w="7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3,491</w:t>
            </w:r>
          </w:p>
        </w:tc>
        <w:tc>
          <w:tcPr>
            <w:tcW w:w="79" w:type="dxa"/>
            <w:tcBorders/>
            <w:shd w:fill="CCFFCC" w:val="clear"/>
            <w:vAlign w:val="bottom"/>
          </w:tcPr>
          <w:p>
            <w:pPr>
              <w:pStyle w:val="TableContents"/>
              <w:spacing w:before="0" w:after="283"/>
              <w:jc w:val="left"/>
              <w:rPr/>
            </w:pPr>
            <w:r>
              <w:rPr/>
              <w:t> </w:t>
            </w:r>
          </w:p>
        </w:tc>
        <w:tc>
          <w:tcPr>
            <w:tcW w:w="7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4,205</w:t>
            </w:r>
          </w:p>
        </w:tc>
        <w:tc>
          <w:tcPr>
            <w:tcW w:w="93" w:type="dxa"/>
            <w:tcBorders/>
            <w:shd w:fill="CCFFCC" w:val="clear"/>
            <w:vAlign w:val="bottom"/>
          </w:tcPr>
          <w:p>
            <w:pPr>
              <w:pStyle w:val="TableContents"/>
              <w:spacing w:before="0" w:after="283"/>
              <w:jc w:val="left"/>
              <w:rPr/>
            </w:pPr>
            <w:r>
              <w:rPr/>
              <w:t> </w:t>
            </w:r>
          </w:p>
        </w:tc>
      </w:tr>
      <w:tr>
        <w:trPr/>
        <w:tc>
          <w:tcPr>
            <w:tcW w:w="7973"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Year to Date</w:t>
            </w:r>
          </w:p>
        </w:tc>
        <w:tc>
          <w:tcPr>
            <w:tcW w:w="7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4,818</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7,757</w:t>
            </w:r>
          </w:p>
        </w:tc>
        <w:tc>
          <w:tcPr>
            <w:tcW w:w="93" w:type="dxa"/>
            <w:tcBorders/>
            <w:shd w:fill="FFFFFF" w:val="clear"/>
            <w:vAlign w:val="bottom"/>
          </w:tcPr>
          <w:p>
            <w:pPr>
              <w:pStyle w:val="TableContents"/>
              <w:spacing w:before="0" w:after="283"/>
              <w:jc w:val="left"/>
              <w:rPr/>
            </w:pPr>
            <w:r>
              <w:rPr/>
              <w:t> </w:t>
            </w:r>
          </w:p>
        </w:tc>
      </w:tr>
      <w:tr>
        <w:trPr/>
        <w:tc>
          <w:tcPr>
            <w:tcW w:w="7973"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Depreciation and Amortization Charges                                              Second Quarter</w:t>
            </w:r>
          </w:p>
        </w:tc>
        <w:tc>
          <w:tcPr>
            <w:tcW w:w="7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1,822</w:t>
            </w:r>
          </w:p>
        </w:tc>
        <w:tc>
          <w:tcPr>
            <w:tcW w:w="79" w:type="dxa"/>
            <w:tcBorders/>
            <w:shd w:fill="CCFFCC" w:val="clear"/>
            <w:vAlign w:val="bottom"/>
          </w:tcPr>
          <w:p>
            <w:pPr>
              <w:pStyle w:val="TableContents"/>
              <w:spacing w:before="0" w:after="283"/>
              <w:jc w:val="left"/>
              <w:rPr/>
            </w:pPr>
            <w:r>
              <w:rPr/>
              <w:t> </w:t>
            </w:r>
          </w:p>
        </w:tc>
        <w:tc>
          <w:tcPr>
            <w:tcW w:w="7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1,799</w:t>
            </w:r>
          </w:p>
        </w:tc>
        <w:tc>
          <w:tcPr>
            <w:tcW w:w="93" w:type="dxa"/>
            <w:tcBorders/>
            <w:shd w:fill="CCFFCC" w:val="clear"/>
            <w:vAlign w:val="bottom"/>
          </w:tcPr>
          <w:p>
            <w:pPr>
              <w:pStyle w:val="TableContents"/>
              <w:spacing w:before="0" w:after="283"/>
              <w:jc w:val="left"/>
              <w:rPr/>
            </w:pPr>
            <w:r>
              <w:rPr/>
              <w:t> </w:t>
            </w:r>
          </w:p>
        </w:tc>
      </w:tr>
      <w:tr>
        <w:trPr/>
        <w:tc>
          <w:tcPr>
            <w:tcW w:w="7973" w:type="dxa"/>
            <w:tcBorders/>
            <w:shd w:fill="FFFFFF" w:val="clear"/>
            <w:vAlign w:val="bottom"/>
          </w:tcPr>
          <w:p>
            <w:pPr>
              <w:pStyle w:val="TableContents"/>
              <w:spacing w:before="0" w:after="0"/>
              <w:ind w:left="0" w:right="0" w:hanging="0"/>
              <w:jc w:val="left"/>
              <w:rPr/>
            </w:pPr>
            <w:r>
              <w:rPr/>
              <w:t xml:space="preserve">                                                                                                                  </w:t>
            </w:r>
            <w:r>
              <w:rPr>
                <w:rFonts w:ascii="times new roman" w:hAnsi="times new roman"/>
                <w:b/>
                <w:sz w:val="20"/>
              </w:rPr>
              <w:t>Year to Date</w:t>
            </w:r>
          </w:p>
        </w:tc>
        <w:tc>
          <w:tcPr>
            <w:tcW w:w="7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3,711</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3,684</w:t>
            </w:r>
          </w:p>
        </w:tc>
        <w:tc>
          <w:tcPr>
            <w:tcW w:w="93" w:type="dxa"/>
            <w:tcBorders/>
            <w:shd w:fill="FFFFFF" w:val="clear"/>
            <w:vAlign w:val="bottom"/>
          </w:tcPr>
          <w:p>
            <w:pPr>
              <w:pStyle w:val="TableContents"/>
              <w:spacing w:before="0" w:after="283"/>
              <w:jc w:val="left"/>
              <w:rPr/>
            </w:pPr>
            <w:r>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94" w:name="PGBRK8"/>
      <w:bookmarkStart w:id="95" w:name="PGBRK8"/>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96" w:name="FTR8"/>
      <w:bookmarkStart w:id="97" w:name="FTR8"/>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color w:val="000000"/>
        </w:rPr>
      </w:pPr>
      <w:bookmarkStart w:id="98" w:name="GLFTR8"/>
      <w:bookmarkEnd w:id="9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99" w:name="PN8"/>
      <w:bookmarkStart w:id="100" w:name="PN8"/>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01" w:name="HDR8"/>
      <w:bookmarkStart w:id="102" w:name="HDR8"/>
      <w:bookmarkEnd w:id="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color w:val="000000"/>
        </w:rPr>
      </w:pPr>
      <w:bookmarkStart w:id="103" w:name="GLHDR8"/>
      <w:bookmarkEnd w:id="10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104" w:name="RANGE_A1%3AK40"/>
      <w:bookmarkEnd w:id="104"/>
      <w:r>
        <w:rPr>
          <w:rFonts w:ascii="Times New Roman" w:hAnsi="Times New Roman"/>
          <w:b/>
          <w:sz w:val="20"/>
        </w:rPr>
        <w:t>OIL - DRI CORPORATION OF AMERICA</w:t>
      </w:r>
    </w:p>
    <w:p>
      <w:pPr>
        <w:pStyle w:val="TextBody"/>
        <w:spacing w:before="0" w:after="0"/>
        <w:ind w:left="0" w:right="0" w:hanging="0"/>
        <w:jc w:val="left"/>
        <w:rPr>
          <w:rFonts w:ascii="Times New Roman" w:hAnsi="Times New Roman"/>
          <w:b/>
          <w:sz w:val="20"/>
        </w:rPr>
      </w:pPr>
      <w:r>
        <w:rPr>
          <w:rFonts w:ascii="Times New Roman" w:hAnsi="Times New Roman"/>
          <w:b/>
          <w:sz w:val="20"/>
        </w:rPr>
        <w:t>Consolidated Statements of Cash Flows</w:t>
      </w:r>
    </w:p>
    <w:p>
      <w:pPr>
        <w:pStyle w:val="TextBody"/>
        <w:spacing w:before="0" w:after="0"/>
        <w:ind w:left="0" w:right="0" w:hanging="0"/>
        <w:jc w:val="left"/>
        <w:rPr>
          <w:rFonts w:ascii="Times New Roman" w:hAnsi="Times New Roman"/>
          <w:sz w:val="20"/>
        </w:rPr>
      </w:pPr>
      <w:r>
        <w:rPr>
          <w:rFonts w:ascii="Times New Roman" w:hAnsi="Times New Roman"/>
          <w:sz w:val="20"/>
        </w:rPr>
        <w:t>(in thousands)</w:t>
      </w:r>
    </w:p>
    <w:p>
      <w:pPr>
        <w:pStyle w:val="TextBody"/>
        <w:spacing w:before="0" w:after="0"/>
        <w:ind w:left="0" w:right="0" w:hanging="0"/>
        <w:jc w:val="left"/>
        <w:rPr>
          <w:rFonts w:ascii="Times New Roman" w:hAnsi="Times New Roman"/>
          <w:sz w:val="20"/>
        </w:rPr>
      </w:pPr>
      <w:r>
        <w:rPr>
          <w:rFonts w:ascii="Times New Roman" w:hAnsi="Times New Roman"/>
          <w:sz w:val="20"/>
        </w:rPr>
        <w:t>(unaudited)</w:t>
      </w:r>
    </w:p>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6903"/>
        <w:gridCol w:w="115"/>
        <w:gridCol w:w="184"/>
        <w:gridCol w:w="1220"/>
        <w:gridCol w:w="146"/>
        <w:gridCol w:w="130"/>
        <w:gridCol w:w="184"/>
        <w:gridCol w:w="1184"/>
        <w:gridCol w:w="139"/>
      </w:tblGrid>
      <w:tr>
        <w:trPr/>
        <w:tc>
          <w:tcPr>
            <w:tcW w:w="6903" w:type="dxa"/>
            <w:tcBorders/>
            <w:shd w:fill="auto" w:val="clear"/>
            <w:vAlign w:val="bottom"/>
          </w:tcPr>
          <w:p>
            <w:pPr>
              <w:pStyle w:val="TableContents"/>
              <w:spacing w:before="0" w:after="283"/>
              <w:rPr/>
            </w:pPr>
            <w:r>
              <w:rPr/>
              <w:t xml:space="preserve">  </w:t>
            </w:r>
          </w:p>
        </w:tc>
        <w:tc>
          <w:tcPr>
            <w:tcW w:w="115" w:type="dxa"/>
            <w:tcBorders/>
            <w:shd w:fill="auto" w:val="clear"/>
            <w:vAlign w:val="bottom"/>
          </w:tcPr>
          <w:p>
            <w:pPr>
              <w:pStyle w:val="TableContents"/>
              <w:spacing w:before="0" w:after="283"/>
              <w:rPr/>
            </w:pPr>
            <w:r>
              <w:rPr/>
              <w:t> </w:t>
            </w:r>
          </w:p>
        </w:tc>
        <w:tc>
          <w:tcPr>
            <w:tcW w:w="3048"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Six Months Ended</w:t>
            </w:r>
          </w:p>
        </w:tc>
        <w:tc>
          <w:tcPr>
            <w:tcW w:w="139" w:type="dxa"/>
            <w:tcBorders/>
            <w:shd w:fill="auto" w:val="clear"/>
            <w:vAlign w:val="bottom"/>
          </w:tcPr>
          <w:p>
            <w:pPr>
              <w:pStyle w:val="TableContents"/>
              <w:spacing w:before="0" w:after="283"/>
              <w:jc w:val="left"/>
              <w:rPr/>
            </w:pPr>
            <w:r>
              <w:rPr/>
              <w:t> </w:t>
            </w:r>
          </w:p>
        </w:tc>
      </w:tr>
      <w:tr>
        <w:trPr/>
        <w:tc>
          <w:tcPr>
            <w:tcW w:w="6903" w:type="dxa"/>
            <w:tcBorders/>
            <w:shd w:fill="auto" w:val="clear"/>
            <w:vAlign w:val="bottom"/>
          </w:tcPr>
          <w:p>
            <w:pPr>
              <w:pStyle w:val="TableContents"/>
              <w:spacing w:before="0" w:after="283"/>
              <w:rPr/>
            </w:pPr>
            <w:r>
              <w:rPr/>
              <w:t xml:space="preserve">  </w:t>
            </w:r>
          </w:p>
        </w:tc>
        <w:tc>
          <w:tcPr>
            <w:tcW w:w="115" w:type="dxa"/>
            <w:tcBorders/>
            <w:shd w:fill="auto" w:val="clear"/>
            <w:vAlign w:val="bottom"/>
          </w:tcPr>
          <w:p>
            <w:pPr>
              <w:pStyle w:val="TableContents"/>
              <w:spacing w:before="0" w:after="283"/>
              <w:rPr/>
            </w:pPr>
            <w:r>
              <w:rPr/>
              <w:t> </w:t>
            </w:r>
          </w:p>
        </w:tc>
        <w:tc>
          <w:tcPr>
            <w:tcW w:w="304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January 31,</w:t>
            </w:r>
          </w:p>
        </w:tc>
        <w:tc>
          <w:tcPr>
            <w:tcW w:w="139" w:type="dxa"/>
            <w:tcBorders/>
            <w:shd w:fill="auto" w:val="clear"/>
            <w:vAlign w:val="bottom"/>
          </w:tcPr>
          <w:p>
            <w:pPr>
              <w:pStyle w:val="TableContents"/>
              <w:spacing w:before="0" w:after="283"/>
              <w:jc w:val="left"/>
              <w:rPr/>
            </w:pPr>
            <w:r>
              <w:rPr/>
              <w:t> </w:t>
            </w:r>
          </w:p>
        </w:tc>
      </w:tr>
      <w:tr>
        <w:trPr/>
        <w:tc>
          <w:tcPr>
            <w:tcW w:w="690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15" w:type="dxa"/>
            <w:tcBorders/>
            <w:shd w:fill="FFFFFF" w:val="clear"/>
            <w:vAlign w:val="bottom"/>
          </w:tcPr>
          <w:p>
            <w:pPr>
              <w:pStyle w:val="TableContents"/>
              <w:spacing w:before="0" w:after="283"/>
              <w:rPr/>
            </w:pPr>
            <w:r>
              <w:rPr/>
              <w:t> </w:t>
            </w:r>
          </w:p>
        </w:tc>
        <w:tc>
          <w:tcPr>
            <w:tcW w:w="1404"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rPr/>
            </w:pPr>
            <w:r>
              <w:rPr/>
              <w:t> </w:t>
            </w:r>
          </w:p>
        </w:tc>
        <w:tc>
          <w:tcPr>
            <w:tcW w:w="1368"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39" w:type="dxa"/>
            <w:tcBorders/>
            <w:shd w:fill="FFFFFF" w:val="clear"/>
            <w:vAlign w:val="bottom"/>
          </w:tcPr>
          <w:p>
            <w:pPr>
              <w:pStyle w:val="TableContents"/>
              <w:spacing w:before="0" w:after="283"/>
              <w:jc w:val="left"/>
              <w:rPr/>
            </w:pPr>
            <w:r>
              <w:rPr/>
              <w:t> </w:t>
            </w:r>
          </w:p>
        </w:tc>
      </w:tr>
      <w:tr>
        <w:trPr/>
        <w:tc>
          <w:tcPr>
            <w:tcW w:w="6903"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w:t>
            </w:r>
          </w:p>
        </w:tc>
        <w:tc>
          <w:tcPr>
            <w:tcW w:w="1404" w:type="dxa"/>
            <w:gridSpan w:val="2"/>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rPr/>
            </w:pPr>
            <w:r>
              <w:rPr/>
              <w:t> </w:t>
            </w:r>
          </w:p>
        </w:tc>
        <w:tc>
          <w:tcPr>
            <w:tcW w:w="1368" w:type="dxa"/>
            <w:gridSpan w:val="2"/>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r>
      <w:tr>
        <w:trPr/>
        <w:tc>
          <w:tcPr>
            <w:tcW w:w="6903"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15" w:type="dxa"/>
            <w:tcBorders/>
            <w:shd w:fill="CCFFCC" w:val="clear"/>
            <w:vAlign w:val="bottom"/>
          </w:tcPr>
          <w:p>
            <w:pPr>
              <w:pStyle w:val="TableContents"/>
              <w:spacing w:before="0" w:after="283"/>
              <w:jc w:val="right"/>
              <w:rPr/>
            </w:pPr>
            <w:r>
              <w:rPr/>
              <w:t> </w:t>
            </w:r>
          </w:p>
        </w:tc>
        <w:tc>
          <w:tcPr>
            <w:tcW w:w="184"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4,456</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jc w:val="right"/>
              <w:rPr/>
            </w:pPr>
            <w:r>
              <w:rPr/>
              <w:t> </w:t>
            </w:r>
          </w:p>
        </w:tc>
        <w:tc>
          <w:tcPr>
            <w:tcW w:w="184"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4"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4,618</w:t>
            </w:r>
          </w:p>
        </w:tc>
        <w:tc>
          <w:tcPr>
            <w:tcW w:w="139" w:type="dxa"/>
            <w:tcBorders/>
            <w:shd w:fill="CCFFCC" w:val="clear"/>
            <w:vAlign w:val="bottom"/>
          </w:tcPr>
          <w:p>
            <w:pPr>
              <w:pStyle w:val="TableContents"/>
              <w:spacing w:before="0" w:after="283"/>
              <w:jc w:val="left"/>
              <w:rPr/>
            </w:pPr>
            <w:r>
              <w:rPr/>
              <w:t> </w:t>
            </w:r>
          </w:p>
        </w:tc>
      </w:tr>
      <w:tr>
        <w:trPr/>
        <w:tc>
          <w:tcPr>
            <w:tcW w:w="6903"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jc w:val="left"/>
              <w:rPr/>
            </w:pPr>
            <w:r>
              <w:rPr/>
              <w:t> </w:t>
            </w:r>
          </w:p>
        </w:tc>
        <w:tc>
          <w:tcPr>
            <w:tcW w:w="1220"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jc w:val="left"/>
              <w:rPr/>
            </w:pPr>
            <w:r>
              <w:rPr/>
              <w:t> </w:t>
            </w:r>
          </w:p>
        </w:tc>
        <w:tc>
          <w:tcPr>
            <w:tcW w:w="1184"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r>
      <w:tr>
        <w:trPr/>
        <w:tc>
          <w:tcPr>
            <w:tcW w:w="6903"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Adjustments to reconcile net income to net cash provided by operating activities:</w:t>
            </w:r>
          </w:p>
        </w:tc>
        <w:tc>
          <w:tcPr>
            <w:tcW w:w="115" w:type="dxa"/>
            <w:tcBorders/>
            <w:shd w:fill="CCFFCC" w:val="clear"/>
            <w:vAlign w:val="bottom"/>
          </w:tcPr>
          <w:p>
            <w:pPr>
              <w:pStyle w:val="TableContents"/>
              <w:spacing w:before="0" w:after="283"/>
              <w:rPr/>
            </w:pPr>
            <w:r>
              <w:rPr/>
              <w:t> </w:t>
            </w:r>
          </w:p>
        </w:tc>
        <w:tc>
          <w:tcPr>
            <w:tcW w:w="184" w:type="dxa"/>
            <w:tcBorders/>
            <w:shd w:fill="CCFFCC" w:val="clear"/>
            <w:vAlign w:val="bottom"/>
          </w:tcPr>
          <w:p>
            <w:pPr>
              <w:pStyle w:val="TableContents"/>
              <w:spacing w:before="0" w:after="283"/>
              <w:jc w:val="left"/>
              <w:rPr/>
            </w:pPr>
            <w:r>
              <w:rPr/>
              <w:t> </w:t>
            </w:r>
          </w:p>
        </w:tc>
        <w:tc>
          <w:tcPr>
            <w:tcW w:w="1220" w:type="dxa"/>
            <w:tcBorders/>
            <w:shd w:fill="CCFFCC" w:val="clear"/>
            <w:vAlign w:val="bottom"/>
          </w:tcPr>
          <w:p>
            <w:pPr>
              <w:pStyle w:val="TableContents"/>
              <w:spacing w:before="0" w:after="283"/>
              <w:jc w:val="right"/>
              <w:rPr/>
            </w:pPr>
            <w:r>
              <w:rPr/>
              <w:t> </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rPr/>
            </w:pPr>
            <w:r>
              <w:rPr/>
              <w:t> </w:t>
            </w:r>
          </w:p>
        </w:tc>
        <w:tc>
          <w:tcPr>
            <w:tcW w:w="184" w:type="dxa"/>
            <w:tcBorders/>
            <w:shd w:fill="CCFFCC" w:val="clear"/>
            <w:vAlign w:val="bottom"/>
          </w:tcPr>
          <w:p>
            <w:pPr>
              <w:pStyle w:val="TableContents"/>
              <w:spacing w:before="0" w:after="283"/>
              <w:jc w:val="left"/>
              <w:rPr/>
            </w:pPr>
            <w:r>
              <w:rPr/>
              <w:t> </w:t>
            </w:r>
          </w:p>
        </w:tc>
        <w:tc>
          <w:tcPr>
            <w:tcW w:w="1184" w:type="dxa"/>
            <w:tcBorders/>
            <w:shd w:fill="CCFFCC" w:val="clear"/>
            <w:vAlign w:val="bottom"/>
          </w:tcPr>
          <w:p>
            <w:pPr>
              <w:pStyle w:val="TableContents"/>
              <w:spacing w:before="0" w:after="283"/>
              <w:jc w:val="right"/>
              <w:rPr/>
            </w:pPr>
            <w:r>
              <w:rPr/>
              <w:t> </w:t>
            </w:r>
          </w:p>
        </w:tc>
        <w:tc>
          <w:tcPr>
            <w:tcW w:w="139" w:type="dxa"/>
            <w:tcBorders/>
            <w:shd w:fill="CCFFCC" w:val="clear"/>
            <w:vAlign w:val="bottom"/>
          </w:tcPr>
          <w:p>
            <w:pPr>
              <w:pStyle w:val="TableContents"/>
              <w:spacing w:before="0" w:after="283"/>
              <w:jc w:val="left"/>
              <w:rPr/>
            </w:pPr>
            <w:r>
              <w:rPr/>
              <w:t> </w:t>
            </w:r>
          </w:p>
        </w:tc>
      </w:tr>
      <w:tr>
        <w:trPr/>
        <w:tc>
          <w:tcPr>
            <w:tcW w:w="6903"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Depreciation and Amortization</w:t>
            </w:r>
          </w:p>
        </w:tc>
        <w:tc>
          <w:tcPr>
            <w:tcW w:w="115"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12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3,711</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11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3,684</w:t>
            </w:r>
          </w:p>
        </w:tc>
        <w:tc>
          <w:tcPr>
            <w:tcW w:w="139" w:type="dxa"/>
            <w:tcBorders/>
            <w:shd w:fill="FFFFFF" w:val="clear"/>
            <w:vAlign w:val="bottom"/>
          </w:tcPr>
          <w:p>
            <w:pPr>
              <w:pStyle w:val="TableContents"/>
              <w:spacing w:before="0" w:after="283"/>
              <w:jc w:val="left"/>
              <w:rPr/>
            </w:pPr>
            <w:r>
              <w:rPr/>
              <w:t> </w:t>
            </w:r>
          </w:p>
        </w:tc>
      </w:tr>
      <w:tr>
        <w:trPr/>
        <w:tc>
          <w:tcPr>
            <w:tcW w:w="6903"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Decrease (Increase) in Accounts Receivable</w:t>
            </w:r>
          </w:p>
        </w:tc>
        <w:tc>
          <w:tcPr>
            <w:tcW w:w="115" w:type="dxa"/>
            <w:tcBorders/>
            <w:shd w:fill="CCFFCC" w:val="clear"/>
            <w:vAlign w:val="bottom"/>
          </w:tcPr>
          <w:p>
            <w:pPr>
              <w:pStyle w:val="TableContents"/>
              <w:spacing w:before="0" w:after="283"/>
              <w:jc w:val="right"/>
              <w:rPr/>
            </w:pPr>
            <w:r>
              <w:rPr/>
              <w:t> </w:t>
            </w:r>
          </w:p>
        </w:tc>
        <w:tc>
          <w:tcPr>
            <w:tcW w:w="184" w:type="dxa"/>
            <w:tcBorders/>
            <w:shd w:fill="CCFFCC" w:val="clear"/>
            <w:vAlign w:val="bottom"/>
          </w:tcPr>
          <w:p>
            <w:pPr>
              <w:pStyle w:val="TableContents"/>
              <w:spacing w:before="0" w:after="283"/>
              <w:jc w:val="left"/>
              <w:rPr/>
            </w:pPr>
            <w:r>
              <w:rPr/>
              <w:t> </w:t>
            </w:r>
          </w:p>
        </w:tc>
        <w:tc>
          <w:tcPr>
            <w:tcW w:w="122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1,842</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jc w:val="right"/>
              <w:rPr/>
            </w:pPr>
            <w:r>
              <w:rPr/>
              <w:t> </w:t>
            </w:r>
          </w:p>
        </w:tc>
        <w:tc>
          <w:tcPr>
            <w:tcW w:w="184" w:type="dxa"/>
            <w:tcBorders/>
            <w:shd w:fill="CCFFCC" w:val="clear"/>
            <w:vAlign w:val="bottom"/>
          </w:tcPr>
          <w:p>
            <w:pPr>
              <w:pStyle w:val="TableContents"/>
              <w:spacing w:before="0" w:after="283"/>
              <w:jc w:val="left"/>
              <w:rPr/>
            </w:pPr>
            <w:r>
              <w:rPr/>
              <w:t> </w:t>
            </w:r>
          </w:p>
        </w:tc>
        <w:tc>
          <w:tcPr>
            <w:tcW w:w="1184"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(89</w:t>
            </w:r>
          </w:p>
        </w:tc>
        <w:tc>
          <w:tcPr>
            <w:tcW w:w="13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3"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Decrease (Increase) in Inventories</w:t>
            </w:r>
          </w:p>
        </w:tc>
        <w:tc>
          <w:tcPr>
            <w:tcW w:w="115"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12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810</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11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(1,491</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3"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Increase (Decrease) in Accounts Payable</w:t>
            </w:r>
          </w:p>
        </w:tc>
        <w:tc>
          <w:tcPr>
            <w:tcW w:w="115" w:type="dxa"/>
            <w:tcBorders/>
            <w:shd w:fill="CCFFCC" w:val="clear"/>
            <w:vAlign w:val="bottom"/>
          </w:tcPr>
          <w:p>
            <w:pPr>
              <w:pStyle w:val="TableContents"/>
              <w:spacing w:before="0" w:after="283"/>
              <w:jc w:val="right"/>
              <w:rPr/>
            </w:pPr>
            <w:r>
              <w:rPr/>
              <w:t> </w:t>
            </w:r>
          </w:p>
        </w:tc>
        <w:tc>
          <w:tcPr>
            <w:tcW w:w="184" w:type="dxa"/>
            <w:tcBorders/>
            <w:shd w:fill="CCFFCC" w:val="clear"/>
            <w:vAlign w:val="bottom"/>
          </w:tcPr>
          <w:p>
            <w:pPr>
              <w:pStyle w:val="TableContents"/>
              <w:spacing w:before="0" w:after="283"/>
              <w:jc w:val="left"/>
              <w:rPr/>
            </w:pPr>
            <w:r>
              <w:rPr/>
              <w:t> </w:t>
            </w:r>
          </w:p>
        </w:tc>
        <w:tc>
          <w:tcPr>
            <w:tcW w:w="122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285</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jc w:val="right"/>
              <w:rPr/>
            </w:pPr>
            <w:r>
              <w:rPr/>
              <w:t> </w:t>
            </w:r>
          </w:p>
        </w:tc>
        <w:tc>
          <w:tcPr>
            <w:tcW w:w="184" w:type="dxa"/>
            <w:tcBorders/>
            <w:shd w:fill="CCFFCC" w:val="clear"/>
            <w:vAlign w:val="bottom"/>
          </w:tcPr>
          <w:p>
            <w:pPr>
              <w:pStyle w:val="TableContents"/>
              <w:spacing w:before="0" w:after="283"/>
              <w:jc w:val="left"/>
              <w:rPr/>
            </w:pPr>
            <w:r>
              <w:rPr/>
              <w:t> </w:t>
            </w:r>
          </w:p>
        </w:tc>
        <w:tc>
          <w:tcPr>
            <w:tcW w:w="1184"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(972</w:t>
            </w:r>
          </w:p>
        </w:tc>
        <w:tc>
          <w:tcPr>
            <w:tcW w:w="13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3"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Increase (Decrease) in Accrued Expenses</w:t>
            </w:r>
          </w:p>
        </w:tc>
        <w:tc>
          <w:tcPr>
            <w:tcW w:w="115"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12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783</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11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(2,784</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3"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Other</w:t>
            </w:r>
          </w:p>
        </w:tc>
        <w:tc>
          <w:tcPr>
            <w:tcW w:w="115" w:type="dxa"/>
            <w:tcBorders/>
            <w:shd w:fill="CCFFCC" w:val="clear"/>
            <w:vAlign w:val="bottom"/>
          </w:tcPr>
          <w:p>
            <w:pPr>
              <w:pStyle w:val="TableContents"/>
              <w:spacing w:before="0" w:after="283"/>
              <w:jc w:val="right"/>
              <w:rPr/>
            </w:pPr>
            <w:r>
              <w:rPr/>
              <w:t> </w:t>
            </w:r>
          </w:p>
        </w:tc>
        <w:tc>
          <w:tcPr>
            <w:tcW w:w="184"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20"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1,876</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jc w:val="right"/>
              <w:rPr/>
            </w:pPr>
            <w:r>
              <w:rPr/>
              <w:t> </w:t>
            </w:r>
          </w:p>
        </w:tc>
        <w:tc>
          <w:tcPr>
            <w:tcW w:w="184"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84"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(1,020</w:t>
            </w:r>
          </w:p>
        </w:tc>
        <w:tc>
          <w:tcPr>
            <w:tcW w:w="13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3"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Total Adjustments</w:t>
            </w:r>
          </w:p>
        </w:tc>
        <w:tc>
          <w:tcPr>
            <w:tcW w:w="115" w:type="dxa"/>
            <w:tcBorders/>
            <w:shd w:fill="FFFFFF" w:val="clear"/>
            <w:vAlign w:val="bottom"/>
          </w:tcPr>
          <w:p>
            <w:pPr>
              <w:pStyle w:val="TableContents"/>
              <w:spacing w:before="0" w:after="283"/>
              <w:jc w:val="right"/>
              <w:rPr/>
            </w:pPr>
            <w:r>
              <w:rPr/>
              <w:t> </w:t>
            </w:r>
          </w:p>
        </w:tc>
        <w:tc>
          <w:tcPr>
            <w:tcW w:w="18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9,307</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8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8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(2,672</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3"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Net Cash Provided by Operating Activities</w:t>
            </w:r>
          </w:p>
        </w:tc>
        <w:tc>
          <w:tcPr>
            <w:tcW w:w="115" w:type="dxa"/>
            <w:tcBorders/>
            <w:shd w:fill="CCFFCC" w:val="clear"/>
            <w:vAlign w:val="bottom"/>
          </w:tcPr>
          <w:p>
            <w:pPr>
              <w:pStyle w:val="TableContents"/>
              <w:spacing w:before="0" w:after="283"/>
              <w:jc w:val="right"/>
              <w:rPr/>
            </w:pPr>
            <w:r>
              <w:rPr/>
              <w:t> </w:t>
            </w:r>
          </w:p>
        </w:tc>
        <w:tc>
          <w:tcPr>
            <w:tcW w:w="184"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20"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13,763</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jc w:val="right"/>
              <w:rPr/>
            </w:pPr>
            <w:r>
              <w:rPr/>
              <w:t> </w:t>
            </w:r>
          </w:p>
        </w:tc>
        <w:tc>
          <w:tcPr>
            <w:tcW w:w="184"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84"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1,946</w:t>
            </w:r>
          </w:p>
        </w:tc>
        <w:tc>
          <w:tcPr>
            <w:tcW w:w="139" w:type="dxa"/>
            <w:tcBorders/>
            <w:shd w:fill="CCFFCC" w:val="clear"/>
            <w:vAlign w:val="bottom"/>
          </w:tcPr>
          <w:p>
            <w:pPr>
              <w:pStyle w:val="TableContents"/>
              <w:spacing w:before="0" w:after="283"/>
              <w:jc w:val="left"/>
              <w:rPr/>
            </w:pPr>
            <w:r>
              <w:rPr/>
              <w:t> </w:t>
            </w:r>
          </w:p>
        </w:tc>
      </w:tr>
      <w:tr>
        <w:trPr/>
        <w:tc>
          <w:tcPr>
            <w:tcW w:w="6903"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jc w:val="left"/>
              <w:rPr/>
            </w:pPr>
            <w:r>
              <w:rPr/>
              <w:t> </w:t>
            </w:r>
          </w:p>
        </w:tc>
        <w:tc>
          <w:tcPr>
            <w:tcW w:w="1220"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jc w:val="left"/>
              <w:rPr/>
            </w:pPr>
            <w:r>
              <w:rPr/>
              <w:t> </w:t>
            </w:r>
          </w:p>
        </w:tc>
        <w:tc>
          <w:tcPr>
            <w:tcW w:w="1184"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r>
      <w:tr>
        <w:trPr/>
        <w:tc>
          <w:tcPr>
            <w:tcW w:w="6903"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15" w:type="dxa"/>
            <w:tcBorders/>
            <w:shd w:fill="CCFFCC" w:val="clear"/>
            <w:vAlign w:val="bottom"/>
          </w:tcPr>
          <w:p>
            <w:pPr>
              <w:pStyle w:val="TableContents"/>
              <w:spacing w:before="0" w:after="283"/>
              <w:rPr/>
            </w:pPr>
            <w:r>
              <w:rPr/>
              <w:t> </w:t>
            </w:r>
          </w:p>
        </w:tc>
        <w:tc>
          <w:tcPr>
            <w:tcW w:w="184" w:type="dxa"/>
            <w:tcBorders/>
            <w:shd w:fill="CCFFCC" w:val="clear"/>
            <w:vAlign w:val="bottom"/>
          </w:tcPr>
          <w:p>
            <w:pPr>
              <w:pStyle w:val="TableContents"/>
              <w:spacing w:before="0" w:after="283"/>
              <w:jc w:val="left"/>
              <w:rPr/>
            </w:pPr>
            <w:r>
              <w:rPr/>
              <w:t> </w:t>
            </w:r>
          </w:p>
        </w:tc>
        <w:tc>
          <w:tcPr>
            <w:tcW w:w="1220" w:type="dxa"/>
            <w:tcBorders/>
            <w:shd w:fill="CCFFCC" w:val="clear"/>
            <w:vAlign w:val="bottom"/>
          </w:tcPr>
          <w:p>
            <w:pPr>
              <w:pStyle w:val="TableContents"/>
              <w:spacing w:before="0" w:after="283"/>
              <w:jc w:val="right"/>
              <w:rPr/>
            </w:pPr>
            <w:r>
              <w:rPr/>
              <w:t> </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rPr/>
            </w:pPr>
            <w:r>
              <w:rPr/>
              <w:t> </w:t>
            </w:r>
          </w:p>
        </w:tc>
        <w:tc>
          <w:tcPr>
            <w:tcW w:w="184" w:type="dxa"/>
            <w:tcBorders/>
            <w:shd w:fill="CCFFCC" w:val="clear"/>
            <w:vAlign w:val="bottom"/>
          </w:tcPr>
          <w:p>
            <w:pPr>
              <w:pStyle w:val="TableContents"/>
              <w:spacing w:before="0" w:after="283"/>
              <w:jc w:val="left"/>
              <w:rPr/>
            </w:pPr>
            <w:r>
              <w:rPr/>
              <w:t> </w:t>
            </w:r>
          </w:p>
        </w:tc>
        <w:tc>
          <w:tcPr>
            <w:tcW w:w="1184" w:type="dxa"/>
            <w:tcBorders/>
            <w:shd w:fill="CCFFCC" w:val="clear"/>
            <w:vAlign w:val="bottom"/>
          </w:tcPr>
          <w:p>
            <w:pPr>
              <w:pStyle w:val="TableContents"/>
              <w:spacing w:before="0" w:after="283"/>
              <w:jc w:val="right"/>
              <w:rPr/>
            </w:pPr>
            <w:r>
              <w:rPr/>
              <w:t> </w:t>
            </w:r>
          </w:p>
        </w:tc>
        <w:tc>
          <w:tcPr>
            <w:tcW w:w="139" w:type="dxa"/>
            <w:tcBorders/>
            <w:shd w:fill="CCFFCC" w:val="clear"/>
            <w:vAlign w:val="bottom"/>
          </w:tcPr>
          <w:p>
            <w:pPr>
              <w:pStyle w:val="TableContents"/>
              <w:spacing w:before="0" w:after="283"/>
              <w:jc w:val="left"/>
              <w:rPr/>
            </w:pPr>
            <w:r>
              <w:rPr/>
              <w:t> </w:t>
            </w:r>
          </w:p>
        </w:tc>
      </w:tr>
      <w:tr>
        <w:trPr/>
        <w:tc>
          <w:tcPr>
            <w:tcW w:w="6903"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Capital Expenditures</w:t>
            </w:r>
          </w:p>
        </w:tc>
        <w:tc>
          <w:tcPr>
            <w:tcW w:w="115"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12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(4,818</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11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(7,757</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3"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Net Dispositions of Investment Securities</w:t>
            </w:r>
          </w:p>
        </w:tc>
        <w:tc>
          <w:tcPr>
            <w:tcW w:w="115" w:type="dxa"/>
            <w:tcBorders/>
            <w:shd w:fill="CCFFCC" w:val="clear"/>
            <w:vAlign w:val="bottom"/>
          </w:tcPr>
          <w:p>
            <w:pPr>
              <w:pStyle w:val="TableContents"/>
              <w:spacing w:before="0" w:after="283"/>
              <w:jc w:val="right"/>
              <w:rPr/>
            </w:pPr>
            <w:r>
              <w:rPr/>
              <w:t> </w:t>
            </w:r>
          </w:p>
        </w:tc>
        <w:tc>
          <w:tcPr>
            <w:tcW w:w="184" w:type="dxa"/>
            <w:tcBorders/>
            <w:shd w:fill="CCFFCC" w:val="clear"/>
            <w:vAlign w:val="bottom"/>
          </w:tcPr>
          <w:p>
            <w:pPr>
              <w:pStyle w:val="TableContents"/>
              <w:spacing w:before="0" w:after="283"/>
              <w:jc w:val="left"/>
              <w:rPr/>
            </w:pPr>
            <w:r>
              <w:rPr/>
              <w:t> </w:t>
            </w:r>
          </w:p>
        </w:tc>
        <w:tc>
          <w:tcPr>
            <w:tcW w:w="122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2,005</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jc w:val="right"/>
              <w:rPr/>
            </w:pPr>
            <w:r>
              <w:rPr/>
              <w:t> </w:t>
            </w:r>
          </w:p>
        </w:tc>
        <w:tc>
          <w:tcPr>
            <w:tcW w:w="184" w:type="dxa"/>
            <w:tcBorders/>
            <w:shd w:fill="CCFFCC" w:val="clear"/>
            <w:vAlign w:val="bottom"/>
          </w:tcPr>
          <w:p>
            <w:pPr>
              <w:pStyle w:val="TableContents"/>
              <w:spacing w:before="0" w:after="283"/>
              <w:jc w:val="left"/>
              <w:rPr/>
            </w:pPr>
            <w:r>
              <w:rPr/>
              <w:t> </w:t>
            </w:r>
          </w:p>
        </w:tc>
        <w:tc>
          <w:tcPr>
            <w:tcW w:w="1184"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6,531</w:t>
            </w:r>
          </w:p>
        </w:tc>
        <w:tc>
          <w:tcPr>
            <w:tcW w:w="139" w:type="dxa"/>
            <w:tcBorders/>
            <w:shd w:fill="CCFFCC" w:val="clear"/>
            <w:vAlign w:val="bottom"/>
          </w:tcPr>
          <w:p>
            <w:pPr>
              <w:pStyle w:val="TableContents"/>
              <w:spacing w:before="0" w:after="283"/>
              <w:jc w:val="left"/>
              <w:rPr/>
            </w:pPr>
            <w:r>
              <w:rPr/>
              <w:t> </w:t>
            </w:r>
          </w:p>
        </w:tc>
      </w:tr>
      <w:tr>
        <w:trPr/>
        <w:tc>
          <w:tcPr>
            <w:tcW w:w="6903"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Other</w:t>
            </w:r>
          </w:p>
        </w:tc>
        <w:tc>
          <w:tcPr>
            <w:tcW w:w="115" w:type="dxa"/>
            <w:tcBorders/>
            <w:shd w:fill="FFFFFF" w:val="clear"/>
            <w:vAlign w:val="bottom"/>
          </w:tcPr>
          <w:p>
            <w:pPr>
              <w:pStyle w:val="TableContents"/>
              <w:spacing w:before="0" w:after="283"/>
              <w:jc w:val="right"/>
              <w:rPr/>
            </w:pPr>
            <w:r>
              <w:rPr/>
              <w:t> </w:t>
            </w:r>
          </w:p>
        </w:tc>
        <w:tc>
          <w:tcPr>
            <w:tcW w:w="18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337</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8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8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39" w:type="dxa"/>
            <w:tcBorders/>
            <w:shd w:fill="FFFFFF" w:val="clear"/>
            <w:vAlign w:val="bottom"/>
          </w:tcPr>
          <w:p>
            <w:pPr>
              <w:pStyle w:val="TableContents"/>
              <w:spacing w:before="0" w:after="283"/>
              <w:jc w:val="left"/>
              <w:rPr/>
            </w:pPr>
            <w:r>
              <w:rPr/>
              <w:t> </w:t>
            </w:r>
          </w:p>
        </w:tc>
      </w:tr>
      <w:tr>
        <w:trPr/>
        <w:tc>
          <w:tcPr>
            <w:tcW w:w="6903"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Net Cash Used in Investing Activities</w:t>
            </w:r>
          </w:p>
        </w:tc>
        <w:tc>
          <w:tcPr>
            <w:tcW w:w="115" w:type="dxa"/>
            <w:tcBorders/>
            <w:shd w:fill="CCFFCC" w:val="clear"/>
            <w:vAlign w:val="bottom"/>
          </w:tcPr>
          <w:p>
            <w:pPr>
              <w:pStyle w:val="TableContents"/>
              <w:spacing w:before="0" w:after="283"/>
              <w:jc w:val="right"/>
              <w:rPr/>
            </w:pPr>
            <w:r>
              <w:rPr/>
              <w:t> </w:t>
            </w:r>
          </w:p>
        </w:tc>
        <w:tc>
          <w:tcPr>
            <w:tcW w:w="184"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20"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(2,476</w:t>
            </w:r>
          </w:p>
        </w:tc>
        <w:tc>
          <w:tcPr>
            <w:tcW w:w="146"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CCFFCC" w:val="clear"/>
            <w:vAlign w:val="bottom"/>
          </w:tcPr>
          <w:p>
            <w:pPr>
              <w:pStyle w:val="TableContents"/>
              <w:spacing w:before="0" w:after="283"/>
              <w:jc w:val="right"/>
              <w:rPr/>
            </w:pPr>
            <w:r>
              <w:rPr/>
              <w:t> </w:t>
            </w:r>
          </w:p>
        </w:tc>
        <w:tc>
          <w:tcPr>
            <w:tcW w:w="184"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84"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(1,215</w:t>
            </w:r>
          </w:p>
        </w:tc>
        <w:tc>
          <w:tcPr>
            <w:tcW w:w="13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3"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jc w:val="left"/>
              <w:rPr/>
            </w:pPr>
            <w:r>
              <w:rPr/>
              <w:t> </w:t>
            </w:r>
          </w:p>
        </w:tc>
        <w:tc>
          <w:tcPr>
            <w:tcW w:w="1220"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jc w:val="left"/>
              <w:rPr/>
            </w:pPr>
            <w:r>
              <w:rPr/>
              <w:t> </w:t>
            </w:r>
          </w:p>
        </w:tc>
        <w:tc>
          <w:tcPr>
            <w:tcW w:w="1184"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r>
      <w:tr>
        <w:trPr/>
        <w:tc>
          <w:tcPr>
            <w:tcW w:w="6903"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15" w:type="dxa"/>
            <w:tcBorders/>
            <w:shd w:fill="CCFFCC" w:val="clear"/>
            <w:vAlign w:val="bottom"/>
          </w:tcPr>
          <w:p>
            <w:pPr>
              <w:pStyle w:val="TableContents"/>
              <w:spacing w:before="0" w:after="283"/>
              <w:rPr/>
            </w:pPr>
            <w:r>
              <w:rPr/>
              <w:t> </w:t>
            </w:r>
          </w:p>
        </w:tc>
        <w:tc>
          <w:tcPr>
            <w:tcW w:w="184" w:type="dxa"/>
            <w:tcBorders/>
            <w:shd w:fill="CCFFCC" w:val="clear"/>
            <w:vAlign w:val="bottom"/>
          </w:tcPr>
          <w:p>
            <w:pPr>
              <w:pStyle w:val="TableContents"/>
              <w:spacing w:before="0" w:after="283"/>
              <w:jc w:val="left"/>
              <w:rPr/>
            </w:pPr>
            <w:r>
              <w:rPr/>
              <w:t> </w:t>
            </w:r>
          </w:p>
        </w:tc>
        <w:tc>
          <w:tcPr>
            <w:tcW w:w="1220" w:type="dxa"/>
            <w:tcBorders/>
            <w:shd w:fill="CCFFCC" w:val="clear"/>
            <w:vAlign w:val="bottom"/>
          </w:tcPr>
          <w:p>
            <w:pPr>
              <w:pStyle w:val="TableContents"/>
              <w:spacing w:before="0" w:after="283"/>
              <w:jc w:val="right"/>
              <w:rPr/>
            </w:pPr>
            <w:r>
              <w:rPr/>
              <w:t> </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rPr/>
            </w:pPr>
            <w:r>
              <w:rPr/>
              <w:t> </w:t>
            </w:r>
          </w:p>
        </w:tc>
        <w:tc>
          <w:tcPr>
            <w:tcW w:w="184" w:type="dxa"/>
            <w:tcBorders/>
            <w:shd w:fill="CCFFCC" w:val="clear"/>
            <w:vAlign w:val="bottom"/>
          </w:tcPr>
          <w:p>
            <w:pPr>
              <w:pStyle w:val="TableContents"/>
              <w:spacing w:before="0" w:after="283"/>
              <w:jc w:val="left"/>
              <w:rPr/>
            </w:pPr>
            <w:r>
              <w:rPr/>
              <w:t> </w:t>
            </w:r>
          </w:p>
        </w:tc>
        <w:tc>
          <w:tcPr>
            <w:tcW w:w="1184" w:type="dxa"/>
            <w:tcBorders/>
            <w:shd w:fill="CCFFCC" w:val="clear"/>
            <w:vAlign w:val="bottom"/>
          </w:tcPr>
          <w:p>
            <w:pPr>
              <w:pStyle w:val="TableContents"/>
              <w:spacing w:before="0" w:after="283"/>
              <w:jc w:val="right"/>
              <w:rPr/>
            </w:pPr>
            <w:r>
              <w:rPr/>
              <w:t> </w:t>
            </w:r>
          </w:p>
        </w:tc>
        <w:tc>
          <w:tcPr>
            <w:tcW w:w="139" w:type="dxa"/>
            <w:tcBorders/>
            <w:shd w:fill="CCFFCC" w:val="clear"/>
            <w:vAlign w:val="bottom"/>
          </w:tcPr>
          <w:p>
            <w:pPr>
              <w:pStyle w:val="TableContents"/>
              <w:spacing w:before="0" w:after="283"/>
              <w:jc w:val="left"/>
              <w:rPr/>
            </w:pPr>
            <w:r>
              <w:rPr/>
              <w:t> </w:t>
            </w:r>
          </w:p>
        </w:tc>
      </w:tr>
      <w:tr>
        <w:trPr/>
        <w:tc>
          <w:tcPr>
            <w:tcW w:w="6903"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Principal payments on Long-Term Debt</w:t>
            </w:r>
          </w:p>
        </w:tc>
        <w:tc>
          <w:tcPr>
            <w:tcW w:w="115"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12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11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(4,080</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3"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Dividends Paid</w:t>
            </w:r>
          </w:p>
        </w:tc>
        <w:tc>
          <w:tcPr>
            <w:tcW w:w="115" w:type="dxa"/>
            <w:tcBorders/>
            <w:shd w:fill="CCFFCC" w:val="clear"/>
            <w:vAlign w:val="bottom"/>
          </w:tcPr>
          <w:p>
            <w:pPr>
              <w:pStyle w:val="TableContents"/>
              <w:spacing w:before="0" w:after="283"/>
              <w:jc w:val="right"/>
              <w:rPr/>
            </w:pPr>
            <w:r>
              <w:rPr/>
              <w:t> </w:t>
            </w:r>
          </w:p>
        </w:tc>
        <w:tc>
          <w:tcPr>
            <w:tcW w:w="184" w:type="dxa"/>
            <w:tcBorders/>
            <w:shd w:fill="CCFFCC" w:val="clear"/>
            <w:vAlign w:val="bottom"/>
          </w:tcPr>
          <w:p>
            <w:pPr>
              <w:pStyle w:val="TableContents"/>
              <w:spacing w:before="0" w:after="283"/>
              <w:jc w:val="left"/>
              <w:rPr/>
            </w:pPr>
            <w:r>
              <w:rPr/>
              <w:t> </w:t>
            </w:r>
          </w:p>
        </w:tc>
        <w:tc>
          <w:tcPr>
            <w:tcW w:w="122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(1,991</w:t>
            </w:r>
          </w:p>
        </w:tc>
        <w:tc>
          <w:tcPr>
            <w:tcW w:w="146"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CCFFCC" w:val="clear"/>
            <w:vAlign w:val="bottom"/>
          </w:tcPr>
          <w:p>
            <w:pPr>
              <w:pStyle w:val="TableContents"/>
              <w:spacing w:before="0" w:after="283"/>
              <w:jc w:val="right"/>
              <w:rPr/>
            </w:pPr>
            <w:r>
              <w:rPr/>
              <w:t> </w:t>
            </w:r>
          </w:p>
        </w:tc>
        <w:tc>
          <w:tcPr>
            <w:tcW w:w="184" w:type="dxa"/>
            <w:tcBorders/>
            <w:shd w:fill="CCFFCC" w:val="clear"/>
            <w:vAlign w:val="bottom"/>
          </w:tcPr>
          <w:p>
            <w:pPr>
              <w:pStyle w:val="TableContents"/>
              <w:spacing w:before="0" w:after="283"/>
              <w:jc w:val="left"/>
              <w:rPr/>
            </w:pPr>
            <w:r>
              <w:rPr/>
              <w:t> </w:t>
            </w:r>
          </w:p>
        </w:tc>
        <w:tc>
          <w:tcPr>
            <w:tcW w:w="1184"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(1,838</w:t>
            </w:r>
          </w:p>
        </w:tc>
        <w:tc>
          <w:tcPr>
            <w:tcW w:w="13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3"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Purchase of Treasury Stock</w:t>
            </w:r>
          </w:p>
        </w:tc>
        <w:tc>
          <w:tcPr>
            <w:tcW w:w="115"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12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(538</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11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(649</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3"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Other</w:t>
            </w:r>
          </w:p>
        </w:tc>
        <w:tc>
          <w:tcPr>
            <w:tcW w:w="115" w:type="dxa"/>
            <w:tcBorders/>
            <w:shd w:fill="CCFFCC" w:val="clear"/>
            <w:vAlign w:val="bottom"/>
          </w:tcPr>
          <w:p>
            <w:pPr>
              <w:pStyle w:val="TableContents"/>
              <w:spacing w:before="0" w:after="283"/>
              <w:jc w:val="right"/>
              <w:rPr/>
            </w:pPr>
            <w:r>
              <w:rPr/>
              <w:t> </w:t>
            </w:r>
          </w:p>
        </w:tc>
        <w:tc>
          <w:tcPr>
            <w:tcW w:w="184"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20"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463</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jc w:val="right"/>
              <w:rPr/>
            </w:pPr>
            <w:r>
              <w:rPr/>
              <w:t> </w:t>
            </w:r>
          </w:p>
        </w:tc>
        <w:tc>
          <w:tcPr>
            <w:tcW w:w="184"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84"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162</w:t>
            </w:r>
          </w:p>
        </w:tc>
        <w:tc>
          <w:tcPr>
            <w:tcW w:w="139" w:type="dxa"/>
            <w:tcBorders/>
            <w:shd w:fill="CCFFCC" w:val="clear"/>
            <w:vAlign w:val="bottom"/>
          </w:tcPr>
          <w:p>
            <w:pPr>
              <w:pStyle w:val="TableContents"/>
              <w:spacing w:before="0" w:after="283"/>
              <w:jc w:val="left"/>
              <w:rPr/>
            </w:pPr>
            <w:r>
              <w:rPr/>
              <w:t> </w:t>
            </w:r>
          </w:p>
        </w:tc>
      </w:tr>
      <w:tr>
        <w:trPr/>
        <w:tc>
          <w:tcPr>
            <w:tcW w:w="6903"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Net Cash Used in Financing Activities</w:t>
            </w:r>
          </w:p>
        </w:tc>
        <w:tc>
          <w:tcPr>
            <w:tcW w:w="115" w:type="dxa"/>
            <w:tcBorders/>
            <w:shd w:fill="FFFFFF" w:val="clear"/>
            <w:vAlign w:val="bottom"/>
          </w:tcPr>
          <w:p>
            <w:pPr>
              <w:pStyle w:val="TableContents"/>
              <w:spacing w:before="0" w:after="283"/>
              <w:jc w:val="right"/>
              <w:rPr/>
            </w:pPr>
            <w:r>
              <w:rPr/>
              <w:t> </w:t>
            </w:r>
          </w:p>
        </w:tc>
        <w:tc>
          <w:tcPr>
            <w:tcW w:w="18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(2,266</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FFFFFF" w:val="clear"/>
            <w:vAlign w:val="bottom"/>
          </w:tcPr>
          <w:p>
            <w:pPr>
              <w:pStyle w:val="TableContents"/>
              <w:spacing w:before="0" w:after="283"/>
              <w:jc w:val="right"/>
              <w:rPr/>
            </w:pPr>
            <w:r>
              <w:rPr/>
              <w:t> </w:t>
            </w:r>
          </w:p>
        </w:tc>
        <w:tc>
          <w:tcPr>
            <w:tcW w:w="18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8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(6,405</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3" w:type="dxa"/>
            <w:tcBorders/>
            <w:shd w:fill="CCFFCC" w:val="clear"/>
            <w:vAlign w:val="bottom"/>
          </w:tcPr>
          <w:p>
            <w:pPr>
              <w:pStyle w:val="TableContents"/>
              <w:spacing w:before="0" w:after="283"/>
              <w:rPr/>
            </w:pPr>
            <w:r>
              <w:rPr/>
              <w:t xml:space="preserve">  </w:t>
            </w:r>
          </w:p>
        </w:tc>
        <w:tc>
          <w:tcPr>
            <w:tcW w:w="115" w:type="dxa"/>
            <w:tcBorders/>
            <w:shd w:fill="CCFFCC" w:val="clear"/>
            <w:vAlign w:val="bottom"/>
          </w:tcPr>
          <w:p>
            <w:pPr>
              <w:pStyle w:val="TableContents"/>
              <w:spacing w:before="0" w:after="283"/>
              <w:rPr/>
            </w:pPr>
            <w:r>
              <w:rPr/>
              <w:t> </w:t>
            </w:r>
          </w:p>
        </w:tc>
        <w:tc>
          <w:tcPr>
            <w:tcW w:w="184" w:type="dxa"/>
            <w:tcBorders/>
            <w:shd w:fill="CCFFCC" w:val="clear"/>
            <w:vAlign w:val="bottom"/>
          </w:tcPr>
          <w:p>
            <w:pPr>
              <w:pStyle w:val="TableContents"/>
              <w:spacing w:before="0" w:after="283"/>
              <w:jc w:val="left"/>
              <w:rPr/>
            </w:pPr>
            <w:r>
              <w:rPr/>
              <w:t> </w:t>
            </w:r>
          </w:p>
        </w:tc>
        <w:tc>
          <w:tcPr>
            <w:tcW w:w="1220" w:type="dxa"/>
            <w:tcBorders/>
            <w:shd w:fill="CCFFCC" w:val="clear"/>
            <w:vAlign w:val="bottom"/>
          </w:tcPr>
          <w:p>
            <w:pPr>
              <w:pStyle w:val="TableContents"/>
              <w:spacing w:before="0" w:after="283"/>
              <w:jc w:val="right"/>
              <w:rPr/>
            </w:pPr>
            <w:r>
              <w:rPr/>
              <w:t> </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rPr/>
            </w:pPr>
            <w:r>
              <w:rPr/>
              <w:t> </w:t>
            </w:r>
          </w:p>
        </w:tc>
        <w:tc>
          <w:tcPr>
            <w:tcW w:w="184" w:type="dxa"/>
            <w:tcBorders/>
            <w:shd w:fill="CCFFCC" w:val="clear"/>
            <w:vAlign w:val="bottom"/>
          </w:tcPr>
          <w:p>
            <w:pPr>
              <w:pStyle w:val="TableContents"/>
              <w:spacing w:before="0" w:after="283"/>
              <w:jc w:val="left"/>
              <w:rPr/>
            </w:pPr>
            <w:r>
              <w:rPr/>
              <w:t> </w:t>
            </w:r>
          </w:p>
        </w:tc>
        <w:tc>
          <w:tcPr>
            <w:tcW w:w="1184" w:type="dxa"/>
            <w:tcBorders/>
            <w:shd w:fill="CCFFCC" w:val="clear"/>
            <w:vAlign w:val="bottom"/>
          </w:tcPr>
          <w:p>
            <w:pPr>
              <w:pStyle w:val="TableContents"/>
              <w:spacing w:before="0" w:after="283"/>
              <w:jc w:val="right"/>
              <w:rPr/>
            </w:pPr>
            <w:r>
              <w:rPr/>
              <w:t> </w:t>
            </w:r>
          </w:p>
        </w:tc>
        <w:tc>
          <w:tcPr>
            <w:tcW w:w="139" w:type="dxa"/>
            <w:tcBorders/>
            <w:shd w:fill="CCFFCC" w:val="clear"/>
            <w:vAlign w:val="bottom"/>
          </w:tcPr>
          <w:p>
            <w:pPr>
              <w:pStyle w:val="TableContents"/>
              <w:spacing w:before="0" w:after="283"/>
              <w:jc w:val="left"/>
              <w:rPr/>
            </w:pPr>
            <w:r>
              <w:rPr/>
              <w:t> </w:t>
            </w:r>
          </w:p>
        </w:tc>
      </w:tr>
      <w:tr>
        <w:trPr/>
        <w:tc>
          <w:tcPr>
            <w:tcW w:w="690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Effect of exchange rate changes on cash and cash equivalents</w:t>
            </w:r>
          </w:p>
        </w:tc>
        <w:tc>
          <w:tcPr>
            <w:tcW w:w="115"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12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11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1,098</w:t>
            </w:r>
          </w:p>
        </w:tc>
        <w:tc>
          <w:tcPr>
            <w:tcW w:w="139" w:type="dxa"/>
            <w:tcBorders/>
            <w:shd w:fill="FFFFFF" w:val="clear"/>
            <w:vAlign w:val="bottom"/>
          </w:tcPr>
          <w:p>
            <w:pPr>
              <w:pStyle w:val="TableContents"/>
              <w:spacing w:before="0" w:after="283"/>
              <w:jc w:val="left"/>
              <w:rPr/>
            </w:pPr>
            <w:r>
              <w:rPr/>
              <w:t> </w:t>
            </w:r>
          </w:p>
        </w:tc>
      </w:tr>
      <w:tr>
        <w:trPr/>
        <w:tc>
          <w:tcPr>
            <w:tcW w:w="6903" w:type="dxa"/>
            <w:tcBorders/>
            <w:shd w:fill="CCFFCC" w:val="clear"/>
            <w:vAlign w:val="bottom"/>
          </w:tcPr>
          <w:p>
            <w:pPr>
              <w:pStyle w:val="TableContents"/>
              <w:spacing w:before="0" w:after="283"/>
              <w:rPr/>
            </w:pPr>
            <w:r>
              <w:rPr/>
              <w:t xml:space="preserve">  </w:t>
            </w:r>
          </w:p>
        </w:tc>
        <w:tc>
          <w:tcPr>
            <w:tcW w:w="115" w:type="dxa"/>
            <w:tcBorders/>
            <w:shd w:fill="CCFFCC" w:val="clear"/>
            <w:vAlign w:val="bottom"/>
          </w:tcPr>
          <w:p>
            <w:pPr>
              <w:pStyle w:val="TableContents"/>
              <w:spacing w:before="0" w:after="283"/>
              <w:rPr/>
            </w:pPr>
            <w:r>
              <w:rPr/>
              <w:t> </w:t>
            </w:r>
          </w:p>
        </w:tc>
        <w:tc>
          <w:tcPr>
            <w:tcW w:w="184" w:type="dxa"/>
            <w:tcBorders/>
            <w:shd w:fill="CCFFCC" w:val="clear"/>
            <w:vAlign w:val="bottom"/>
          </w:tcPr>
          <w:p>
            <w:pPr>
              <w:pStyle w:val="TableContents"/>
              <w:spacing w:before="0" w:after="283"/>
              <w:jc w:val="left"/>
              <w:rPr/>
            </w:pPr>
            <w:r>
              <w:rPr/>
              <w:t> </w:t>
            </w:r>
          </w:p>
        </w:tc>
        <w:tc>
          <w:tcPr>
            <w:tcW w:w="1220" w:type="dxa"/>
            <w:tcBorders/>
            <w:shd w:fill="CCFFCC" w:val="clear"/>
            <w:vAlign w:val="bottom"/>
          </w:tcPr>
          <w:p>
            <w:pPr>
              <w:pStyle w:val="TableContents"/>
              <w:spacing w:before="0" w:after="283"/>
              <w:jc w:val="right"/>
              <w:rPr/>
            </w:pPr>
            <w:r>
              <w:rPr/>
              <w:t> </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rPr/>
            </w:pPr>
            <w:r>
              <w:rPr/>
              <w:t> </w:t>
            </w:r>
          </w:p>
        </w:tc>
        <w:tc>
          <w:tcPr>
            <w:tcW w:w="184" w:type="dxa"/>
            <w:tcBorders/>
            <w:shd w:fill="CCFFCC" w:val="clear"/>
            <w:vAlign w:val="bottom"/>
          </w:tcPr>
          <w:p>
            <w:pPr>
              <w:pStyle w:val="TableContents"/>
              <w:spacing w:before="0" w:after="283"/>
              <w:jc w:val="left"/>
              <w:rPr/>
            </w:pPr>
            <w:r>
              <w:rPr/>
              <w:t> </w:t>
            </w:r>
          </w:p>
        </w:tc>
        <w:tc>
          <w:tcPr>
            <w:tcW w:w="1184" w:type="dxa"/>
            <w:tcBorders/>
            <w:shd w:fill="CCFFCC" w:val="clear"/>
            <w:vAlign w:val="bottom"/>
          </w:tcPr>
          <w:p>
            <w:pPr>
              <w:pStyle w:val="TableContents"/>
              <w:spacing w:before="0" w:after="283"/>
              <w:jc w:val="right"/>
              <w:rPr/>
            </w:pPr>
            <w:r>
              <w:rPr/>
              <w:t> </w:t>
            </w:r>
          </w:p>
        </w:tc>
        <w:tc>
          <w:tcPr>
            <w:tcW w:w="139" w:type="dxa"/>
            <w:tcBorders/>
            <w:shd w:fill="CCFFCC" w:val="clear"/>
            <w:vAlign w:val="bottom"/>
          </w:tcPr>
          <w:p>
            <w:pPr>
              <w:pStyle w:val="TableContents"/>
              <w:spacing w:before="0" w:after="283"/>
              <w:jc w:val="left"/>
              <w:rPr/>
            </w:pPr>
            <w:r>
              <w:rPr/>
              <w:t> </w:t>
            </w:r>
          </w:p>
        </w:tc>
      </w:tr>
      <w:tr>
        <w:trPr/>
        <w:tc>
          <w:tcPr>
            <w:tcW w:w="690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Increase (Decrease) in Cash and Cash Equivalents</w:t>
            </w:r>
          </w:p>
        </w:tc>
        <w:tc>
          <w:tcPr>
            <w:tcW w:w="115"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12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9,025</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11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(4,576</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3"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and Cash Equivalents, Beginning of Year</w:t>
            </w:r>
          </w:p>
        </w:tc>
        <w:tc>
          <w:tcPr>
            <w:tcW w:w="115" w:type="dxa"/>
            <w:tcBorders/>
            <w:shd w:fill="CCFFCC" w:val="clear"/>
            <w:vAlign w:val="bottom"/>
          </w:tcPr>
          <w:p>
            <w:pPr>
              <w:pStyle w:val="TableContents"/>
              <w:spacing w:before="0" w:after="283"/>
              <w:jc w:val="right"/>
              <w:rPr/>
            </w:pPr>
            <w:r>
              <w:rPr/>
              <w:t> </w:t>
            </w:r>
          </w:p>
        </w:tc>
        <w:tc>
          <w:tcPr>
            <w:tcW w:w="184"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20"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11,839</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jc w:val="right"/>
              <w:rPr/>
            </w:pPr>
            <w:r>
              <w:rPr/>
              <w:t> </w:t>
            </w:r>
          </w:p>
        </w:tc>
        <w:tc>
          <w:tcPr>
            <w:tcW w:w="184"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84"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6,848</w:t>
            </w:r>
          </w:p>
        </w:tc>
        <w:tc>
          <w:tcPr>
            <w:tcW w:w="139" w:type="dxa"/>
            <w:tcBorders/>
            <w:shd w:fill="CCFFCC" w:val="clear"/>
            <w:vAlign w:val="bottom"/>
          </w:tcPr>
          <w:p>
            <w:pPr>
              <w:pStyle w:val="TableContents"/>
              <w:spacing w:before="0" w:after="283"/>
              <w:jc w:val="left"/>
              <w:rPr/>
            </w:pPr>
            <w:r>
              <w:rPr/>
              <w:t> </w:t>
            </w:r>
          </w:p>
        </w:tc>
      </w:tr>
      <w:tr>
        <w:trPr/>
        <w:tc>
          <w:tcPr>
            <w:tcW w:w="690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and Cash Equivalents, January 31</w:t>
            </w:r>
          </w:p>
        </w:tc>
        <w:tc>
          <w:tcPr>
            <w:tcW w:w="115" w:type="dxa"/>
            <w:tcBorders/>
            <w:shd w:fill="FFFFFF" w:val="clear"/>
            <w:vAlign w:val="bottom"/>
          </w:tcPr>
          <w:p>
            <w:pPr>
              <w:pStyle w:val="TableContents"/>
              <w:spacing w:before="0" w:after="283"/>
              <w:jc w:val="right"/>
              <w:rPr/>
            </w:pPr>
            <w:r>
              <w:rPr/>
              <w:t> </w:t>
            </w:r>
          </w:p>
        </w:tc>
        <w:tc>
          <w:tcPr>
            <w:tcW w:w="18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20,864</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8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2,272</w:t>
            </w:r>
          </w:p>
        </w:tc>
        <w:tc>
          <w:tcPr>
            <w:tcW w:w="139" w:type="dxa"/>
            <w:tcBorders/>
            <w:shd w:fill="FFFFFF" w:val="clear"/>
            <w:vAlign w:val="bottom"/>
          </w:tcPr>
          <w:p>
            <w:pPr>
              <w:pStyle w:val="TableContents"/>
              <w:spacing w:before="0" w:after="283"/>
              <w:jc w:val="left"/>
              <w:rPr/>
            </w:pPr>
            <w:r>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05" w:name="PGBRK9"/>
      <w:bookmarkStart w:id="106" w:name="PGBRK9"/>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07" w:name="FTR9"/>
      <w:bookmarkStart w:id="108" w:name="FTR9"/>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color w:val="000000"/>
        </w:rPr>
      </w:pPr>
      <w:bookmarkStart w:id="109" w:name="GLFTR9"/>
      <w:bookmarkEnd w:id="109"/>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110" w:name="PN9"/>
      <w:bookmarkStart w:id="111" w:name="PN9"/>
      <w:bookmarkEnd w:id="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12" w:name="HDR9"/>
      <w:bookmarkStart w:id="113" w:name="HDR9"/>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83"/>
        <w:jc w:val="right"/>
        <w:rPr>
          <w:color w:val="000000"/>
        </w:rPr>
      </w:pPr>
      <w:bookmarkStart w:id="114" w:name="GLHDR9"/>
      <w:bookmarkEnd w:id="114"/>
      <w:r>
        <w:rPr>
          <w:color w:val="000000"/>
        </w:rPr>
        <w:t xml:space="preserve">  </w:t>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2370</Words>
  <CharactersWithSpaces>16131</CharactersWithSpaces>
  <Paragraphs>1534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