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4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SELIG ALLAN H</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40" w:type="dxa"/>
            <w:vAlign w:val="bottom"/>
            <w:gridSpan w:val="5"/>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Oil-Dri Corp of America</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ODC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3"/>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3"/>
            <w:vMerge w:val="continue"/>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5"/>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4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40" w:type="dxa"/>
            <w:vAlign w:val="bottom"/>
            <w:gridSpan w:val="5"/>
            <w:vMerge w:val="continue"/>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MAJOR LEAGUE BASEBALL</w:t>
            </w:r>
          </w:p>
        </w:tc>
        <w:tc>
          <w:tcPr>
            <w:tcW w:w="1340" w:type="dxa"/>
            <w:vAlign w:val="bottom"/>
          </w:tcPr>
          <w:p>
            <w:pPr>
              <w:spacing w:after="0"/>
              <w:rPr>
                <w:sz w:val="19"/>
                <w:szCs w:val="19"/>
                <w:color w:val="auto"/>
              </w:rPr>
            </w:pPr>
          </w:p>
        </w:tc>
        <w:tc>
          <w:tcPr>
            <w:tcW w:w="1540" w:type="dxa"/>
            <w:vAlign w:val="bottom"/>
            <w:gridSpan w:val="5"/>
          </w:tcPr>
          <w:p>
            <w:pPr>
              <w:ind w:left="160"/>
              <w:spacing w:after="0"/>
              <w:rPr>
                <w:sz w:val="20"/>
                <w:szCs w:val="20"/>
                <w:color w:val="auto"/>
              </w:rPr>
            </w:pPr>
            <w:r>
              <w:rPr>
                <w:rFonts w:ascii="Arial" w:cs="Arial" w:eastAsia="Arial" w:hAnsi="Arial"/>
                <w:sz w:val="17"/>
                <w:szCs w:val="17"/>
                <w:color w:val="0000FF"/>
              </w:rPr>
              <w:t>04/14/2020</w:t>
            </w: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3"/>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833 EAST MICHIGAN STREET, SUITE 1400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8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80" w:type="dxa"/>
            <w:vAlign w:val="bottom"/>
            <w:gridSpan w:val="6"/>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spacing w:after="0"/>
              <w:rPr>
                <w:sz w:val="20"/>
                <w:szCs w:val="20"/>
                <w:color w:val="auto"/>
              </w:rPr>
            </w:pPr>
            <w:r>
              <w:rPr>
                <w:rFonts w:ascii="Arial" w:cs="Arial" w:eastAsia="Arial" w:hAnsi="Arial"/>
                <w:sz w:val="17"/>
                <w:szCs w:val="17"/>
                <w:color w:val="0000FF"/>
              </w:rPr>
              <w:t>MILWAUKEE  WI</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53202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20" w:type="dxa"/>
            <w:vAlign w:val="bottom"/>
            <w:tcBorders>
              <w:bottom w:val="single" w:sz="8" w:color="2C2C2C"/>
            </w:tcBorders>
            <w:gridSpan w:val="7"/>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4"/>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4"/>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4"/>
          </w:tcPr>
          <w:p>
            <w:pPr>
              <w:ind w:left="800"/>
              <w:spacing w:after="0"/>
              <w:rPr>
                <w:sz w:val="20"/>
                <w:szCs w:val="20"/>
                <w:color w:val="auto"/>
              </w:rPr>
            </w:pPr>
            <w:r>
              <w:rPr>
                <w:rFonts w:ascii="Arial" w:cs="Arial" w:eastAsia="Arial" w:hAnsi="Arial"/>
                <w:sz w:val="17"/>
                <w:szCs w:val="17"/>
                <w:color w:val="0000FF"/>
              </w:rPr>
              <w:t>04/14/2020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w w:val="91"/>
              </w:rPr>
              <w:t>P</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1,000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4"/>
          </w:tcPr>
          <w:p>
            <w:pPr>
              <w:ind w:left="12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33.41</w:t>
            </w:r>
            <w:r>
              <w:rPr>
                <w:rFonts w:ascii="Arial" w:cs="Arial" w:eastAsia="Arial" w:hAnsi="Arial"/>
                <w:sz w:val="22"/>
                <w:szCs w:val="22"/>
                <w:color w:val="008000"/>
                <w:w w:val="97"/>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40,000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2"/>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transaction was executed in multiple trades at prices ranging from $32.86 to $34.11. The price reported above reflects the weighted average sale price rounded to the nearest cent. The reporting person hereby undertakes to provide upon request to the SEC staff, the issuer or a security holder of the issuer full information regarding the number of shares and prices at which the transaction was effected.</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Laura G. Scheland by</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04/15/2020</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4"/>
              </w:rPr>
              <w:t>Power of Attorney</w:t>
            </w:r>
          </w:p>
        </w:tc>
        <w:tc>
          <w:tcPr>
            <w:tcW w:w="420" w:type="dxa"/>
            <w:vAlign w:val="bottom"/>
            <w:tcBorders>
              <w:top w:val="single" w:sz="8" w:color="auto"/>
            </w:tcBorders>
            <w:vMerge w:val="restart"/>
          </w:tcPr>
          <w:p>
            <w:pPr>
              <w:spacing w:after="0"/>
              <w:rPr>
                <w:sz w:val="7"/>
                <w:szCs w:val="7"/>
                <w:color w:val="auto"/>
              </w:rPr>
            </w:pPr>
          </w:p>
        </w:tc>
        <w:tc>
          <w:tcPr>
            <w:tcW w:w="3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420" w:type="dxa"/>
            <w:vAlign w:val="bottom"/>
            <w:tcBorders>
              <w:top w:val="single" w:sz="8" w:color="auto"/>
            </w:tcBorders>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3319" TargetMode="External"/><Relationship Id="rId14" Type="http://schemas.openxmlformats.org/officeDocument/2006/relationships/hyperlink" Target="http://www.sec.gov/cgi-bin/browse-edgar?action=getcompany&amp;CIK=0000074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2020-04-15T15:23:23Z</dcterms:created>
  <dcterms:modified xsi:type="dcterms:W3CDTF">2020-04-15T15:23:23Z</dcterms:modified>
</cp:coreProperties>
</file>