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SCHEDULE 13D</w:t>
      </w:r>
    </w:p>
    <w:p>
      <w:pPr>
        <w:spacing w:after="0" w:line="23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 (Amendment No. 27)</w:t>
      </w:r>
    </w:p>
    <w:p>
      <w:pPr>
        <w:spacing w:after="0" w:line="200" w:lineRule="exact"/>
        <w:rPr>
          <w:sz w:val="24"/>
          <w:szCs w:val="24"/>
          <w:color w:val="auto"/>
        </w:rPr>
      </w:pPr>
    </w:p>
    <w:p>
      <w:pPr>
        <w:spacing w:after="0" w:line="200" w:lineRule="exact"/>
        <w:rPr>
          <w:sz w:val="24"/>
          <w:szCs w:val="24"/>
          <w:color w:val="auto"/>
        </w:rPr>
      </w:pPr>
    </w:p>
    <w:p>
      <w:pPr>
        <w:spacing w:after="0" w:line="32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Oil-Dri Corporation of America</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(Name of Issuer)</w:t>
      </w: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Common Stock Par Value $0.10 Per Share</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(Title of Class of Securities)</w:t>
      </w:r>
    </w:p>
    <w:p>
      <w:pPr>
        <w:spacing w:after="0" w:line="200" w:lineRule="exact"/>
        <w:rPr>
          <w:sz w:val="24"/>
          <w:szCs w:val="24"/>
          <w:color w:val="auto"/>
        </w:rPr>
      </w:pPr>
    </w:p>
    <w:p>
      <w:pPr>
        <w:spacing w:after="0" w:line="258" w:lineRule="exact"/>
        <w:rPr>
          <w:sz w:val="24"/>
          <w:szCs w:val="24"/>
          <w:color w:val="auto"/>
        </w:rPr>
      </w:pPr>
    </w:p>
    <w:p>
      <w:pPr>
        <w:ind w:left="3680"/>
        <w:spacing w:after="0"/>
        <w:rPr>
          <w:sz w:val="20"/>
          <w:szCs w:val="20"/>
          <w:color w:val="auto"/>
        </w:rPr>
      </w:pPr>
      <w:r>
        <w:rPr>
          <w:rFonts w:ascii="Arial" w:cs="Arial" w:eastAsia="Arial" w:hAnsi="Arial"/>
          <w:sz w:val="22"/>
          <w:szCs w:val="22"/>
          <w:color w:val="auto"/>
        </w:rPr>
        <w:t>_________</w:t>
      </w:r>
      <w:r>
        <w:rPr>
          <w:rFonts w:ascii="Arial" w:cs="Arial" w:eastAsia="Arial" w:hAnsi="Arial"/>
          <w:sz w:val="22"/>
          <w:szCs w:val="22"/>
          <w:u w:val="single" w:color="auto"/>
          <w:color w:val="auto"/>
        </w:rPr>
        <w:t>677864100</w:t>
      </w:r>
      <w:r>
        <w:rPr>
          <w:rFonts w:ascii="Arial" w:cs="Arial" w:eastAsia="Arial" w:hAnsi="Arial"/>
          <w:sz w:val="22"/>
          <w:szCs w:val="22"/>
          <w:color w:val="auto"/>
        </w:rPr>
        <w:t>_________</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22"/>
          <w:szCs w:val="22"/>
          <w:u w:val="single" w:color="auto"/>
          <w:color w:val="auto"/>
        </w:rPr>
        <w:t>(CUSIP Number)</w:t>
      </w: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David Goldman</w:t>
      </w:r>
    </w:p>
    <w:p>
      <w:pPr>
        <w:jc w:val="center"/>
        <w:ind w:right="-19"/>
        <w:spacing w:after="0" w:line="238" w:lineRule="auto"/>
        <w:rPr>
          <w:sz w:val="20"/>
          <w:szCs w:val="20"/>
          <w:color w:val="auto"/>
        </w:rPr>
      </w:pPr>
      <w:r>
        <w:rPr>
          <w:rFonts w:ascii="Arial" w:cs="Arial" w:eastAsia="Arial" w:hAnsi="Arial"/>
          <w:sz w:val="22"/>
          <w:szCs w:val="22"/>
          <w:color w:val="auto"/>
        </w:rPr>
        <w:t>GAMCO Investors, Inc.</w:t>
      </w:r>
    </w:p>
    <w:p>
      <w:pPr>
        <w:jc w:val="center"/>
        <w:ind w:right="-19"/>
        <w:spacing w:after="0" w:line="230" w:lineRule="auto"/>
        <w:rPr>
          <w:sz w:val="20"/>
          <w:szCs w:val="20"/>
          <w:color w:val="auto"/>
        </w:rPr>
      </w:pPr>
      <w:r>
        <w:rPr>
          <w:rFonts w:ascii="Arial" w:cs="Arial" w:eastAsia="Arial" w:hAnsi="Arial"/>
          <w:sz w:val="22"/>
          <w:szCs w:val="22"/>
          <w:color w:val="auto"/>
        </w:rPr>
        <w:t>One Corporate Center</w:t>
      </w:r>
    </w:p>
    <w:p>
      <w:pPr>
        <w:jc w:val="center"/>
        <w:ind w:right="-19"/>
        <w:spacing w:after="0" w:line="231" w:lineRule="auto"/>
        <w:rPr>
          <w:sz w:val="20"/>
          <w:szCs w:val="20"/>
          <w:color w:val="auto"/>
        </w:rPr>
      </w:pPr>
      <w:r>
        <w:rPr>
          <w:rFonts w:ascii="Arial" w:cs="Arial" w:eastAsia="Arial" w:hAnsi="Arial"/>
          <w:sz w:val="22"/>
          <w:szCs w:val="22"/>
          <w:color w:val="auto"/>
        </w:rPr>
        <w:t>Rye, New York 10580-1435</w:t>
      </w:r>
    </w:p>
    <w:p>
      <w:pPr>
        <w:jc w:val="center"/>
        <w:ind w:right="-19"/>
        <w:spacing w:after="0" w:line="231" w:lineRule="auto"/>
        <w:rPr>
          <w:sz w:val="20"/>
          <w:szCs w:val="20"/>
          <w:color w:val="auto"/>
        </w:rPr>
      </w:pPr>
      <w:r>
        <w:rPr>
          <w:rFonts w:ascii="Arial" w:cs="Arial" w:eastAsia="Arial" w:hAnsi="Arial"/>
          <w:sz w:val="22"/>
          <w:szCs w:val="22"/>
          <w:color w:val="auto"/>
        </w:rPr>
        <w:t>(914) 921-5000</w:t>
      </w:r>
    </w:p>
    <w:p>
      <w:pPr>
        <w:jc w:val="center"/>
        <w:ind w:right="-79"/>
        <w:spacing w:after="0"/>
        <w:rPr>
          <w:sz w:val="20"/>
          <w:szCs w:val="20"/>
          <w:color w:val="auto"/>
        </w:rPr>
      </w:pPr>
      <w:r>
        <w:rPr>
          <w:rFonts w:ascii="Arial" w:cs="Arial" w:eastAsia="Arial" w:hAnsi="Arial"/>
          <w:sz w:val="22"/>
          <w:szCs w:val="22"/>
          <w:color w:val="auto"/>
        </w:rPr>
        <w:t>(Name, Address and Telephone Number of Person Authorized to Receive Notices and Communications)</w:t>
      </w:r>
    </w:p>
    <w:p>
      <w:pPr>
        <w:spacing w:after="0" w:line="200" w:lineRule="exact"/>
        <w:rPr>
          <w:sz w:val="24"/>
          <w:szCs w:val="24"/>
          <w:color w:val="auto"/>
        </w:rPr>
      </w:pPr>
    </w:p>
    <w:p>
      <w:pPr>
        <w:spacing w:after="0" w:line="258" w:lineRule="exact"/>
        <w:rPr>
          <w:sz w:val="24"/>
          <w:szCs w:val="24"/>
          <w:color w:val="auto"/>
        </w:rPr>
      </w:pPr>
    </w:p>
    <w:p>
      <w:pPr>
        <w:ind w:left="2640"/>
        <w:spacing w:after="0"/>
        <w:rPr>
          <w:sz w:val="20"/>
          <w:szCs w:val="20"/>
          <w:color w:val="auto"/>
        </w:rPr>
      </w:pPr>
      <w:r>
        <w:rPr>
          <w:rFonts w:ascii="Arial" w:cs="Arial" w:eastAsia="Arial" w:hAnsi="Arial"/>
          <w:sz w:val="22"/>
          <w:szCs w:val="22"/>
          <w:color w:val="auto"/>
        </w:rPr>
        <w:t>____________________</w:t>
      </w:r>
      <w:r>
        <w:rPr>
          <w:rFonts w:ascii="Arial" w:cs="Arial" w:eastAsia="Arial" w:hAnsi="Arial"/>
          <w:sz w:val="22"/>
          <w:szCs w:val="22"/>
          <w:u w:val="single" w:color="auto"/>
          <w:color w:val="auto"/>
        </w:rPr>
        <w:t>November 11, 2019</w:t>
      </w:r>
      <w:r>
        <w:rPr>
          <w:rFonts w:ascii="Arial" w:cs="Arial" w:eastAsia="Arial" w:hAnsi="Arial"/>
          <w:sz w:val="22"/>
          <w:szCs w:val="22"/>
          <w:color w:val="auto"/>
        </w:rPr>
        <w:t>_____________________</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(Date of Event which Requires Filing of this Statement)</w:t>
      </w:r>
    </w:p>
    <w:p>
      <w:pPr>
        <w:spacing w:after="0" w:line="200" w:lineRule="exact"/>
        <w:rPr>
          <w:sz w:val="24"/>
          <w:szCs w:val="24"/>
          <w:color w:val="auto"/>
        </w:rPr>
      </w:pPr>
    </w:p>
    <w:p>
      <w:pPr>
        <w:spacing w:after="0" w:line="258" w:lineRule="exact"/>
        <w:rPr>
          <w:sz w:val="24"/>
          <w:szCs w:val="24"/>
          <w:color w:val="auto"/>
        </w:rPr>
      </w:pPr>
    </w:p>
    <w:p>
      <w:pPr>
        <w:spacing w:after="0" w:line="328" w:lineRule="auto"/>
        <w:rPr>
          <w:sz w:val="20"/>
          <w:szCs w:val="20"/>
          <w:color w:val="auto"/>
        </w:rPr>
      </w:pPr>
      <w:r>
        <w:rPr>
          <w:rFonts w:ascii="Arial" w:cs="Arial" w:eastAsia="Arial" w:hAnsi="Arial"/>
          <w:sz w:val="19"/>
          <w:szCs w:val="19"/>
          <w:color w:val="auto"/>
        </w:rPr>
        <w:t>If the filing person has previously filed a statement on Schedule 13G to report the acquisition that is the subject of this Schedule 13D, and is filing this schedule because of §§ 240.13d-1(e), 240.13d-1(f) or 240.13d-1(g), check the following box .</w:t>
      </w:r>
    </w:p>
    <w:p>
      <w:pPr>
        <w:spacing w:after="0" w:line="310"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t>CUSIP No. 677864100</w:t>
      </w:r>
    </w:p>
    <w:p>
      <w:pPr>
        <w:spacing w:after="0" w:line="14" w:lineRule="exact"/>
        <w:rPr>
          <w:sz w:val="20"/>
          <w:szCs w:val="20"/>
          <w:color w:val="auto"/>
        </w:rPr>
      </w:pPr>
    </w:p>
    <w:p>
      <w:pPr>
        <w:ind w:left="840" w:hanging="458"/>
        <w:spacing w:after="0"/>
        <w:tabs>
          <w:tab w:leader="none" w:pos="84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Names of reporting persons</w:t>
      </w:r>
    </w:p>
    <w:p>
      <w:pPr>
        <w:spacing w:after="0" w:line="7" w:lineRule="exact"/>
        <w:rPr>
          <w:rFonts w:ascii="Arial" w:cs="Arial" w:eastAsia="Arial" w:hAnsi="Arial"/>
          <w:sz w:val="18"/>
          <w:szCs w:val="18"/>
          <w:b w:val="1"/>
          <w:bCs w:val="1"/>
          <w:color w:val="auto"/>
        </w:rPr>
      </w:pPr>
    </w:p>
    <w:p>
      <w:pPr>
        <w:ind w:left="8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I.R.S. identification nos. of above persons (entities only)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60" w:type="dxa"/>
            <w:vAlign w:val="bottom"/>
            <w:tcBorders>
              <w:bottom w:val="single" w:sz="8" w:color="auto"/>
            </w:tcBorders>
          </w:tcPr>
          <w:p>
            <w:pPr>
              <w:spacing w:after="0"/>
              <w:rPr>
                <w:sz w:val="20"/>
                <w:szCs w:val="20"/>
                <w:color w:val="auto"/>
              </w:rPr>
            </w:pPr>
          </w:p>
        </w:tc>
        <w:tc>
          <w:tcPr>
            <w:tcW w:w="366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Gabelli Funds, LLC</w:t>
            </w:r>
          </w:p>
        </w:tc>
        <w:tc>
          <w:tcPr>
            <w:tcW w:w="7100" w:type="dxa"/>
            <w:vAlign w:val="bottom"/>
            <w:tcBorders>
              <w:bottom w:val="single" w:sz="8" w:color="auto"/>
            </w:tcBorders>
          </w:tcPr>
          <w:p>
            <w:pPr>
              <w:ind w:left="1920"/>
              <w:spacing w:after="0"/>
              <w:rPr>
                <w:sz w:val="20"/>
                <w:szCs w:val="20"/>
                <w:color w:val="auto"/>
              </w:rPr>
            </w:pPr>
            <w:r>
              <w:rPr>
                <w:rFonts w:ascii="Arial" w:cs="Arial" w:eastAsia="Arial" w:hAnsi="Arial"/>
                <w:sz w:val="18"/>
                <w:szCs w:val="18"/>
                <w:b w:val="1"/>
                <w:bCs w:val="1"/>
                <w:color w:val="auto"/>
              </w:rPr>
              <w:t>I.D. No. 13-4044523</w:t>
            </w:r>
          </w:p>
        </w:tc>
      </w:tr>
      <w:tr>
        <w:trPr>
          <w:trHeight w:val="234"/>
        </w:trPr>
        <w:tc>
          <w:tcPr>
            <w:tcW w:w="660" w:type="dxa"/>
            <w:vAlign w:val="bottom"/>
          </w:tcPr>
          <w:p>
            <w:pPr>
              <w:jc w:val="right"/>
              <w:ind w:right="90"/>
              <w:spacing w:after="0"/>
              <w:rPr>
                <w:sz w:val="20"/>
                <w:szCs w:val="20"/>
                <w:color w:val="auto"/>
              </w:rPr>
            </w:pPr>
            <w:r>
              <w:rPr>
                <w:rFonts w:ascii="Arial" w:cs="Arial" w:eastAsia="Arial" w:hAnsi="Arial"/>
                <w:sz w:val="18"/>
                <w:szCs w:val="18"/>
                <w:b w:val="1"/>
                <w:bCs w:val="1"/>
                <w:color w:val="auto"/>
              </w:rPr>
              <w:t>2</w:t>
            </w:r>
          </w:p>
        </w:tc>
        <w:tc>
          <w:tcPr>
            <w:tcW w:w="10760" w:type="dxa"/>
            <w:vAlign w:val="bottom"/>
            <w:gridSpan w:val="2"/>
          </w:tcPr>
          <w:p>
            <w:pPr>
              <w:ind w:left="180"/>
              <w:spacing w:after="0"/>
              <w:rPr>
                <w:sz w:val="20"/>
                <w:szCs w:val="20"/>
                <w:color w:val="auto"/>
              </w:rPr>
            </w:pPr>
            <w:r>
              <w:rPr>
                <w:rFonts w:ascii="Arial" w:cs="Arial" w:eastAsia="Arial" w:hAnsi="Arial"/>
                <w:sz w:val="18"/>
                <w:szCs w:val="18"/>
                <w:b w:val="1"/>
                <w:bCs w:val="1"/>
                <w:color w:val="auto"/>
              </w:rPr>
              <w:t xml:space="preserve">Check the appropriate box if a member of a group </w:t>
            </w:r>
            <w:r>
              <w:rPr>
                <w:rFonts w:ascii="Arial" w:cs="Arial" w:eastAsia="Arial" w:hAnsi="Arial"/>
                <w:sz w:val="14"/>
                <w:szCs w:val="14"/>
                <w:b w:val="1"/>
                <w:bCs w:val="1"/>
                <w:color w:val="auto"/>
              </w:rPr>
              <w:t>(SEE INSTRUCTIONS)</w:t>
            </w:r>
            <w:r>
              <w:rPr>
                <w:rFonts w:ascii="Arial" w:cs="Arial" w:eastAsia="Arial" w:hAnsi="Arial"/>
                <w:sz w:val="18"/>
                <w:szCs w:val="18"/>
                <w:b w:val="1"/>
                <w:bCs w:val="1"/>
                <w:color w:val="auto"/>
              </w:rPr>
              <w:t xml:space="preserve">   (a)</w:t>
            </w:r>
          </w:p>
        </w:tc>
      </w:tr>
    </w:tbl>
    <w:p>
      <w:pPr>
        <w:spacing w:after="0" w:line="396"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ind w:left="840" w:hanging="458"/>
        <w:spacing w:after="0"/>
        <w:tabs>
          <w:tab w:leader="none" w:pos="8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ind w:left="840" w:hanging="458"/>
        <w:spacing w:after="0"/>
        <w:tabs>
          <w:tab w:leader="none" w:pos="8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Source of funds </w:t>
      </w:r>
      <w:r>
        <w:rPr>
          <w:rFonts w:ascii="Arial" w:cs="Arial" w:eastAsia="Arial" w:hAnsi="Arial"/>
          <w:sz w:val="14"/>
          <w:szCs w:val="14"/>
          <w:b w:val="1"/>
          <w:bCs w:val="1"/>
          <w:color w:val="auto"/>
        </w:rPr>
        <w:t>(SEE INSTRUCTIONS)</w:t>
      </w:r>
    </w:p>
    <w:p>
      <w:pPr>
        <w:spacing w:after="0" w:line="27"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00-Funds of investment advisory clients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4" w:lineRule="exact"/>
        <w:rPr>
          <w:sz w:val="20"/>
          <w:szCs w:val="20"/>
          <w:color w:val="auto"/>
        </w:rPr>
      </w:pPr>
    </w:p>
    <w:p>
      <w:pPr>
        <w:ind w:left="840" w:hanging="458"/>
        <w:spacing w:after="0"/>
        <w:tabs>
          <w:tab w:leader="none" w:pos="8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Check box if disclosure of legal proceedings is required pursuant to items 2 (d) or 2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980" w:right="7840" w:hanging="598"/>
        <w:spacing w:after="0" w:line="282" w:lineRule="auto"/>
        <w:tabs>
          <w:tab w:leader="none" w:pos="845"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or place of organization New York</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4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 Of</w:t>
            </w:r>
          </w:p>
        </w:tc>
        <w:tc>
          <w:tcPr>
            <w:tcW w:w="14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 7</w:t>
            </w:r>
          </w:p>
        </w:tc>
        <w:tc>
          <w:tcPr>
            <w:tcW w:w="6560" w:type="dxa"/>
            <w:vAlign w:val="bottom"/>
            <w:tcBorders>
              <w:top w:val="single" w:sz="8" w:color="auto"/>
            </w:tcBorders>
          </w:tcPr>
          <w:p>
            <w:pPr>
              <w:ind w:left="118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ind w:left="1180"/>
              <w:spacing w:after="0"/>
              <w:rPr>
                <w:sz w:val="20"/>
                <w:szCs w:val="20"/>
                <w:color w:val="auto"/>
              </w:rPr>
            </w:pPr>
            <w:r>
              <w:rPr>
                <w:rFonts w:ascii="Arial" w:cs="Arial" w:eastAsia="Arial" w:hAnsi="Arial"/>
                <w:sz w:val="18"/>
                <w:szCs w:val="18"/>
                <w:b w:val="1"/>
                <w:bCs w:val="1"/>
                <w:color w:val="auto"/>
              </w:rPr>
              <w:t>119,500  (Item 5)</w:t>
            </w:r>
          </w:p>
        </w:tc>
        <w:tc>
          <w:tcPr>
            <w:tcW w:w="0" w:type="dxa"/>
            <w:vAlign w:val="bottom"/>
          </w:tcPr>
          <w:p>
            <w:pPr>
              <w:spacing w:after="0"/>
              <w:rPr>
                <w:sz w:val="1"/>
                <w:szCs w:val="1"/>
                <w:color w:val="auto"/>
              </w:rPr>
            </w:pPr>
          </w:p>
        </w:tc>
      </w:tr>
      <w:tr>
        <w:trPr>
          <w:trHeight w:val="241"/>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Beneficially</w:t>
            </w:r>
          </w:p>
        </w:tc>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440" w:type="dxa"/>
            <w:vAlign w:val="bottom"/>
            <w:vMerge w:val="continue"/>
          </w:tcPr>
          <w:p>
            <w:pPr>
              <w:spacing w:after="0"/>
              <w:rPr>
                <w:sz w:val="17"/>
                <w:szCs w:val="17"/>
                <w:color w:val="auto"/>
              </w:rPr>
            </w:pPr>
          </w:p>
        </w:tc>
        <w:tc>
          <w:tcPr>
            <w:tcW w:w="1420" w:type="dxa"/>
            <w:vAlign w:val="bottom"/>
          </w:tcPr>
          <w:p>
            <w:pPr>
              <w:spacing w:after="0" w:line="198" w:lineRule="exact"/>
              <w:rPr>
                <w:sz w:val="20"/>
                <w:szCs w:val="20"/>
                <w:color w:val="auto"/>
              </w:rPr>
            </w:pPr>
            <w:r>
              <w:rPr>
                <w:rFonts w:ascii="Arial" w:cs="Arial" w:eastAsia="Arial" w:hAnsi="Arial"/>
                <w:sz w:val="18"/>
                <w:szCs w:val="18"/>
                <w:b w:val="1"/>
                <w:bCs w:val="1"/>
                <w:color w:val="auto"/>
              </w:rPr>
              <w:t>: 8</w:t>
            </w:r>
          </w:p>
        </w:tc>
        <w:tc>
          <w:tcPr>
            <w:tcW w:w="6560" w:type="dxa"/>
            <w:vAlign w:val="bottom"/>
          </w:tcPr>
          <w:p>
            <w:pPr>
              <w:ind w:left="1180"/>
              <w:spacing w:after="0" w:line="198" w:lineRule="exact"/>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Owned</w:t>
            </w: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vMerge w:val="continue"/>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ind w:left="1180"/>
              <w:spacing w:after="0"/>
              <w:rPr>
                <w:sz w:val="20"/>
                <w:szCs w:val="20"/>
                <w:color w:val="auto"/>
              </w:rPr>
            </w:pPr>
            <w:r>
              <w:rPr>
                <w:rFonts w:ascii="Arial" w:cs="Arial" w:eastAsia="Arial" w:hAnsi="Arial"/>
                <w:sz w:val="18"/>
                <w:szCs w:val="18"/>
                <w:b w:val="1"/>
                <w:bCs w:val="1"/>
                <w:color w:val="auto"/>
              </w:rPr>
              <w:t>None</w:t>
            </w:r>
          </w:p>
        </w:tc>
        <w:tc>
          <w:tcPr>
            <w:tcW w:w="0" w:type="dxa"/>
            <w:vAlign w:val="bottom"/>
          </w:tcPr>
          <w:p>
            <w:pPr>
              <w:spacing w:after="0"/>
              <w:rPr>
                <w:sz w:val="1"/>
                <w:szCs w:val="1"/>
                <w:color w:val="auto"/>
              </w:rPr>
            </w:pPr>
          </w:p>
        </w:tc>
      </w:tr>
      <w:tr>
        <w:trPr>
          <w:trHeight w:val="241"/>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By Each</w:t>
            </w:r>
          </w:p>
        </w:tc>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440" w:type="dxa"/>
            <w:vAlign w:val="bottom"/>
            <w:vMerge w:val="continue"/>
          </w:tcPr>
          <w:p>
            <w:pPr>
              <w:spacing w:after="0"/>
              <w:rPr>
                <w:sz w:val="17"/>
                <w:szCs w:val="17"/>
                <w:color w:val="auto"/>
              </w:rPr>
            </w:pPr>
          </w:p>
        </w:tc>
        <w:tc>
          <w:tcPr>
            <w:tcW w:w="1420" w:type="dxa"/>
            <w:vAlign w:val="bottom"/>
          </w:tcPr>
          <w:p>
            <w:pPr>
              <w:spacing w:after="0" w:line="198" w:lineRule="exact"/>
              <w:rPr>
                <w:sz w:val="20"/>
                <w:szCs w:val="20"/>
                <w:color w:val="auto"/>
              </w:rPr>
            </w:pPr>
            <w:r>
              <w:rPr>
                <w:rFonts w:ascii="Arial" w:cs="Arial" w:eastAsia="Arial" w:hAnsi="Arial"/>
                <w:sz w:val="18"/>
                <w:szCs w:val="18"/>
                <w:b w:val="1"/>
                <w:bCs w:val="1"/>
                <w:color w:val="auto"/>
              </w:rPr>
              <w:t>: 9</w:t>
            </w:r>
          </w:p>
        </w:tc>
        <w:tc>
          <w:tcPr>
            <w:tcW w:w="6560" w:type="dxa"/>
            <w:vAlign w:val="bottom"/>
          </w:tcPr>
          <w:p>
            <w:pPr>
              <w:ind w:left="1180"/>
              <w:spacing w:after="0" w:line="198"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Reporting</w:t>
            </w: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vMerge w:val="continue"/>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ind w:left="1180"/>
              <w:spacing w:after="0"/>
              <w:rPr>
                <w:sz w:val="20"/>
                <w:szCs w:val="20"/>
                <w:color w:val="auto"/>
              </w:rPr>
            </w:pPr>
            <w:r>
              <w:rPr>
                <w:rFonts w:ascii="Arial" w:cs="Arial" w:eastAsia="Arial" w:hAnsi="Arial"/>
                <w:sz w:val="18"/>
                <w:szCs w:val="18"/>
                <w:b w:val="1"/>
                <w:bCs w:val="1"/>
                <w:color w:val="auto"/>
              </w:rPr>
              <w:t>119,500  (Item 5)</w:t>
            </w:r>
          </w:p>
        </w:tc>
        <w:tc>
          <w:tcPr>
            <w:tcW w:w="0" w:type="dxa"/>
            <w:vAlign w:val="bottom"/>
          </w:tcPr>
          <w:p>
            <w:pPr>
              <w:spacing w:after="0"/>
              <w:rPr>
                <w:sz w:val="1"/>
                <w:szCs w:val="1"/>
                <w:color w:val="auto"/>
              </w:rPr>
            </w:pPr>
          </w:p>
        </w:tc>
      </w:tr>
      <w:tr>
        <w:trPr>
          <w:trHeight w:val="241"/>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5"/>
              </w:rPr>
              <w:t>Person</w:t>
            </w:r>
          </w:p>
        </w:tc>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3440" w:type="dxa"/>
            <w:vAlign w:val="bottom"/>
            <w:vMerge w:val="continue"/>
          </w:tcPr>
          <w:p>
            <w:pPr>
              <w:spacing w:after="0"/>
              <w:rPr>
                <w:sz w:val="11"/>
                <w:szCs w:val="11"/>
                <w:color w:val="auto"/>
              </w:rPr>
            </w:pPr>
          </w:p>
        </w:tc>
        <w:tc>
          <w:tcPr>
            <w:tcW w:w="1420" w:type="dxa"/>
            <w:vAlign w:val="bottom"/>
            <w:vMerge w:val="restart"/>
          </w:tcPr>
          <w:p>
            <w:pPr>
              <w:spacing w:after="0" w:line="198" w:lineRule="exact"/>
              <w:rPr>
                <w:sz w:val="20"/>
                <w:szCs w:val="20"/>
                <w:color w:val="auto"/>
              </w:rPr>
            </w:pPr>
            <w:r>
              <w:rPr>
                <w:rFonts w:ascii="Arial" w:cs="Arial" w:eastAsia="Arial" w:hAnsi="Arial"/>
                <w:sz w:val="18"/>
                <w:szCs w:val="18"/>
                <w:b w:val="1"/>
                <w:bCs w:val="1"/>
                <w:color w:val="auto"/>
              </w:rPr>
              <w:t>:10</w:t>
            </w:r>
          </w:p>
        </w:tc>
        <w:tc>
          <w:tcPr>
            <w:tcW w:w="6560" w:type="dxa"/>
            <w:vAlign w:val="bottom"/>
            <w:vMerge w:val="restart"/>
          </w:tcPr>
          <w:p>
            <w:pPr>
              <w:ind w:left="1180"/>
              <w:spacing w:after="0" w:line="198" w:lineRule="exact"/>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63"/>
        </w:trPr>
        <w:tc>
          <w:tcPr>
            <w:tcW w:w="3440" w:type="dxa"/>
            <w:vAlign w:val="bottom"/>
          </w:tcPr>
          <w:p>
            <w:pPr>
              <w:spacing w:after="0"/>
              <w:rPr>
                <w:sz w:val="5"/>
                <w:szCs w:val="5"/>
                <w:color w:val="auto"/>
              </w:rPr>
            </w:pPr>
          </w:p>
        </w:tc>
        <w:tc>
          <w:tcPr>
            <w:tcW w:w="1420" w:type="dxa"/>
            <w:vAlign w:val="bottom"/>
            <w:vMerge w:val="continue"/>
          </w:tcPr>
          <w:p>
            <w:pPr>
              <w:spacing w:after="0"/>
              <w:rPr>
                <w:sz w:val="5"/>
                <w:szCs w:val="5"/>
                <w:color w:val="auto"/>
              </w:rPr>
            </w:pPr>
          </w:p>
        </w:tc>
        <w:tc>
          <w:tcPr>
            <w:tcW w:w="6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With</w:t>
            </w: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3440" w:type="dxa"/>
            <w:vAlign w:val="bottom"/>
            <w:vMerge w:val="continue"/>
          </w:tcPr>
          <w:p>
            <w:pPr>
              <w:spacing w:after="0"/>
              <w:rPr>
                <w:sz w:val="13"/>
                <w:szCs w:val="13"/>
                <w:color w:val="auto"/>
              </w:rPr>
            </w:pPr>
          </w:p>
        </w:tc>
        <w:tc>
          <w:tcPr>
            <w:tcW w:w="142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vMerge w:val="restart"/>
          </w:tcPr>
          <w:p>
            <w:pPr>
              <w:ind w:left="1180"/>
              <w:spacing w:after="0"/>
              <w:rPr>
                <w:sz w:val="20"/>
                <w:szCs w:val="20"/>
                <w:color w:val="auto"/>
              </w:rPr>
            </w:pPr>
            <w:r>
              <w:rPr>
                <w:rFonts w:ascii="Arial" w:cs="Arial" w:eastAsia="Arial" w:hAnsi="Arial"/>
                <w:sz w:val="18"/>
                <w:szCs w:val="18"/>
                <w:b w:val="1"/>
                <w:bCs w:val="1"/>
                <w:color w:val="auto"/>
              </w:rPr>
              <w:t>None</w:t>
            </w:r>
          </w:p>
        </w:tc>
        <w:tc>
          <w:tcPr>
            <w:tcW w:w="0" w:type="dxa"/>
            <w:vAlign w:val="bottom"/>
          </w:tcPr>
          <w:p>
            <w:pPr>
              <w:spacing w:after="0"/>
              <w:rPr>
                <w:sz w:val="1"/>
                <w:szCs w:val="1"/>
                <w:color w:val="auto"/>
              </w:rPr>
            </w:pPr>
          </w:p>
        </w:tc>
      </w:tr>
      <w:tr>
        <w:trPr>
          <w:trHeight w:val="63"/>
        </w:trPr>
        <w:tc>
          <w:tcPr>
            <w:tcW w:w="3440" w:type="dxa"/>
            <w:vAlign w:val="bottom"/>
          </w:tcPr>
          <w:p>
            <w:pPr>
              <w:spacing w:after="0"/>
              <w:rPr>
                <w:sz w:val="5"/>
                <w:szCs w:val="5"/>
                <w:color w:val="auto"/>
              </w:rPr>
            </w:pPr>
          </w:p>
        </w:tc>
        <w:tc>
          <w:tcPr>
            <w:tcW w:w="1420" w:type="dxa"/>
            <w:vAlign w:val="bottom"/>
            <w:vMerge w:val="continue"/>
          </w:tcPr>
          <w:p>
            <w:pPr>
              <w:spacing w:after="0"/>
              <w:rPr>
                <w:sz w:val="5"/>
                <w:szCs w:val="5"/>
                <w:color w:val="auto"/>
              </w:rPr>
            </w:pPr>
          </w:p>
        </w:tc>
        <w:tc>
          <w:tcPr>
            <w:tcW w:w="6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3440" w:type="dxa"/>
            <w:vAlign w:val="bottom"/>
          </w:tcPr>
          <w:p>
            <w:pPr>
              <w:spacing w:after="0"/>
              <w:rPr>
                <w:sz w:val="20"/>
                <w:szCs w:val="20"/>
                <w:color w:val="auto"/>
              </w:rPr>
            </w:pP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840" w:right="5720" w:hanging="832"/>
        <w:spacing w:after="0" w:line="514" w:lineRule="auto"/>
        <w:tabs>
          <w:tab w:leader="none" w:pos="8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Aggregate amount beneficially owned by each reporting person 119,500 (Item 5)</w:t>
      </w:r>
    </w:p>
    <w:p>
      <w:pPr>
        <w:ind w:left="840" w:hanging="832"/>
        <w:spacing w:after="0"/>
        <w:tabs>
          <w:tab w:leader="none" w:pos="840" w:val="left"/>
        </w:tabs>
        <w:numPr>
          <w:ilvl w:val="0"/>
          <w:numId w:val="6"/>
        </w:numPr>
        <w:rPr>
          <w:rFonts w:ascii="Arial" w:cs="Arial" w:eastAsia="Arial" w:hAnsi="Arial"/>
          <w:sz w:val="29"/>
          <w:szCs w:val="29"/>
          <w:b w:val="1"/>
          <w:bCs w:val="1"/>
          <w:color w:val="auto"/>
          <w:vertAlign w:val="superscript"/>
        </w:rPr>
      </w:pPr>
      <w:r>
        <w:rPr>
          <w:rFonts w:ascii="Arial" w:cs="Arial" w:eastAsia="Arial" w:hAnsi="Arial"/>
          <w:sz w:val="18"/>
          <w:szCs w:val="18"/>
          <w:b w:val="1"/>
          <w:bCs w:val="1"/>
          <w:color w:val="auto"/>
        </w:rPr>
        <w:t>Check box if the aggregate amount in row (11) excludes certain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840"/>
        <w:spacing w:after="0"/>
        <w:rPr>
          <w:sz w:val="20"/>
          <w:szCs w:val="20"/>
          <w:color w:val="auto"/>
        </w:rPr>
      </w:pPr>
      <w:r>
        <w:rPr>
          <w:rFonts w:ascii="Arial" w:cs="Arial" w:eastAsia="Arial" w:hAnsi="Arial"/>
          <w:sz w:val="14"/>
          <w:szCs w:val="14"/>
          <w:b w:val="1"/>
          <w:bCs w:val="1"/>
          <w:color w:val="auto"/>
        </w:rPr>
        <w:t>(SEE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840" w:right="6700" w:hanging="832"/>
        <w:spacing w:after="0" w:line="363" w:lineRule="auto"/>
        <w:tabs>
          <w:tab w:leader="none" w:pos="840" w:val="left"/>
        </w:tabs>
        <w:numPr>
          <w:ilvl w:val="0"/>
          <w:numId w:val="7"/>
        </w:numPr>
        <w:rPr>
          <w:rFonts w:ascii="Arial" w:cs="Arial" w:eastAsia="Arial" w:hAnsi="Arial"/>
          <w:sz w:val="29"/>
          <w:szCs w:val="29"/>
          <w:b w:val="1"/>
          <w:bCs w:val="1"/>
          <w:color w:val="auto"/>
          <w:vertAlign w:val="superscript"/>
        </w:rPr>
      </w:pPr>
      <w:r>
        <w:rPr>
          <w:rFonts w:ascii="Arial" w:cs="Arial" w:eastAsia="Arial" w:hAnsi="Arial"/>
          <w:sz w:val="18"/>
          <w:szCs w:val="18"/>
          <w:b w:val="1"/>
          <w:bCs w:val="1"/>
          <w:color w:val="auto"/>
        </w:rPr>
        <w:t>Percent of class represented by amount in row (11) 2.22%</w:t>
      </w:r>
    </w:p>
    <w:p>
      <w:pPr>
        <w:ind w:left="840" w:hanging="832"/>
        <w:spacing w:after="0"/>
        <w:tabs>
          <w:tab w:leader="none" w:pos="840" w:val="left"/>
        </w:tabs>
        <w:numPr>
          <w:ilvl w:val="0"/>
          <w:numId w:val="7"/>
        </w:numPr>
        <w:rPr>
          <w:rFonts w:ascii="Arial" w:cs="Arial" w:eastAsia="Arial" w:hAnsi="Arial"/>
          <w:sz w:val="29"/>
          <w:szCs w:val="29"/>
          <w:b w:val="1"/>
          <w:bCs w:val="1"/>
          <w:color w:val="auto"/>
          <w:vertAlign w:val="superscript"/>
        </w:rPr>
      </w:pPr>
      <w:r>
        <w:rPr>
          <w:rFonts w:ascii="Arial" w:cs="Arial" w:eastAsia="Arial" w:hAnsi="Arial"/>
          <w:sz w:val="18"/>
          <w:szCs w:val="18"/>
          <w:b w:val="1"/>
          <w:bCs w:val="1"/>
          <w:color w:val="auto"/>
        </w:rPr>
        <w:t xml:space="preserve">Type of reporting person </w:t>
      </w:r>
      <w:r>
        <w:rPr>
          <w:rFonts w:ascii="Arial" w:cs="Arial" w:eastAsia="Arial" w:hAnsi="Arial"/>
          <w:sz w:val="14"/>
          <w:szCs w:val="14"/>
          <w:b w:val="1"/>
          <w:bCs w:val="1"/>
          <w:color w:val="auto"/>
        </w:rPr>
        <w:t>(SEE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1020"/>
        <w:spacing w:after="0"/>
        <w:rPr>
          <w:sz w:val="20"/>
          <w:szCs w:val="20"/>
          <w:color w:val="auto"/>
        </w:rPr>
      </w:pPr>
      <w:r>
        <w:rPr>
          <w:rFonts w:ascii="Arial" w:cs="Arial" w:eastAsia="Arial" w:hAnsi="Arial"/>
          <w:sz w:val="18"/>
          <w:szCs w:val="18"/>
          <w:b w:val="1"/>
          <w:bCs w:val="1"/>
          <w:color w:val="auto"/>
        </w:rPr>
        <w:t>IA,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 w:name="page3"/>
    <w:bookmarkEnd w:id="2"/>
    <w:p>
      <w:pPr>
        <w:spacing w:after="0"/>
        <w:rPr>
          <w:sz w:val="20"/>
          <w:szCs w:val="20"/>
          <w:color w:val="auto"/>
        </w:rPr>
      </w:pPr>
      <w:r>
        <w:rPr>
          <w:rFonts w:ascii="Arial" w:cs="Arial" w:eastAsia="Arial" w:hAnsi="Arial"/>
          <w:sz w:val="22"/>
          <w:szCs w:val="22"/>
          <w:color w:val="auto"/>
        </w:rPr>
        <w:t>CUSIP No. 677864100</w:t>
      </w:r>
    </w:p>
    <w:p>
      <w:pPr>
        <w:spacing w:after="0" w:line="13" w:lineRule="exact"/>
        <w:rPr>
          <w:sz w:val="20"/>
          <w:szCs w:val="20"/>
          <w:color w:val="auto"/>
        </w:rPr>
      </w:pPr>
    </w:p>
    <w:p>
      <w:pPr>
        <w:ind w:left="840" w:hanging="458"/>
        <w:spacing w:after="0"/>
        <w:tabs>
          <w:tab w:leader="none" w:pos="8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Names of reporting persons</w:t>
      </w:r>
    </w:p>
    <w:p>
      <w:pPr>
        <w:spacing w:after="0" w:line="7" w:lineRule="exact"/>
        <w:rPr>
          <w:rFonts w:ascii="Arial" w:cs="Arial" w:eastAsia="Arial" w:hAnsi="Arial"/>
          <w:sz w:val="18"/>
          <w:szCs w:val="18"/>
          <w:b w:val="1"/>
          <w:bCs w:val="1"/>
          <w:color w:val="auto"/>
        </w:rPr>
      </w:pPr>
    </w:p>
    <w:p>
      <w:pPr>
        <w:ind w:left="8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I.R.S. identification nos. of above persons (entities only)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60" w:type="dxa"/>
            <w:vAlign w:val="bottom"/>
            <w:tcBorders>
              <w:bottom w:val="single" w:sz="8" w:color="auto"/>
            </w:tcBorders>
          </w:tcPr>
          <w:p>
            <w:pPr>
              <w:spacing w:after="0"/>
              <w:rPr>
                <w:sz w:val="20"/>
                <w:szCs w:val="20"/>
                <w:color w:val="auto"/>
              </w:rPr>
            </w:pPr>
          </w:p>
        </w:tc>
        <w:tc>
          <w:tcPr>
            <w:tcW w:w="570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GAMCO Asset Management, Inc.</w:t>
            </w:r>
          </w:p>
        </w:tc>
        <w:tc>
          <w:tcPr>
            <w:tcW w:w="5060" w:type="dxa"/>
            <w:vAlign w:val="bottom"/>
            <w:tcBorders>
              <w:bottom w:val="single" w:sz="8" w:color="auto"/>
            </w:tcBorders>
          </w:tcPr>
          <w:p>
            <w:pPr>
              <w:ind w:left="980"/>
              <w:spacing w:after="0"/>
              <w:rPr>
                <w:sz w:val="20"/>
                <w:szCs w:val="20"/>
                <w:color w:val="auto"/>
              </w:rPr>
            </w:pPr>
            <w:r>
              <w:rPr>
                <w:rFonts w:ascii="Arial" w:cs="Arial" w:eastAsia="Arial" w:hAnsi="Arial"/>
                <w:sz w:val="18"/>
                <w:szCs w:val="18"/>
                <w:b w:val="1"/>
                <w:bCs w:val="1"/>
                <w:color w:val="auto"/>
              </w:rPr>
              <w:t>I.D. No. 13-4044521</w:t>
            </w:r>
          </w:p>
        </w:tc>
      </w:tr>
      <w:tr>
        <w:trPr>
          <w:trHeight w:val="234"/>
        </w:trPr>
        <w:tc>
          <w:tcPr>
            <w:tcW w:w="660" w:type="dxa"/>
            <w:vAlign w:val="bottom"/>
          </w:tcPr>
          <w:p>
            <w:pPr>
              <w:jc w:val="right"/>
              <w:ind w:right="90"/>
              <w:spacing w:after="0"/>
              <w:rPr>
                <w:sz w:val="20"/>
                <w:szCs w:val="20"/>
                <w:color w:val="auto"/>
              </w:rPr>
            </w:pPr>
            <w:r>
              <w:rPr>
                <w:rFonts w:ascii="Arial" w:cs="Arial" w:eastAsia="Arial" w:hAnsi="Arial"/>
                <w:sz w:val="18"/>
                <w:szCs w:val="18"/>
                <w:b w:val="1"/>
                <w:bCs w:val="1"/>
                <w:color w:val="auto"/>
              </w:rPr>
              <w:t>2</w:t>
            </w:r>
          </w:p>
        </w:tc>
        <w:tc>
          <w:tcPr>
            <w:tcW w:w="5700" w:type="dxa"/>
            <w:vAlign w:val="bottom"/>
          </w:tcPr>
          <w:p>
            <w:pPr>
              <w:ind w:left="180"/>
              <w:spacing w:after="0"/>
              <w:rPr>
                <w:sz w:val="20"/>
                <w:szCs w:val="20"/>
                <w:color w:val="auto"/>
              </w:rPr>
            </w:pPr>
            <w:r>
              <w:rPr>
                <w:rFonts w:ascii="Arial" w:cs="Arial" w:eastAsia="Arial" w:hAnsi="Arial"/>
                <w:sz w:val="18"/>
                <w:szCs w:val="18"/>
                <w:b w:val="1"/>
                <w:bCs w:val="1"/>
                <w:color w:val="auto"/>
                <w:w w:val="95"/>
              </w:rPr>
              <w:t xml:space="preserve">Check the appropriate box if a member of a group </w:t>
            </w:r>
            <w:r>
              <w:rPr>
                <w:rFonts w:ascii="Arial" w:cs="Arial" w:eastAsia="Arial" w:hAnsi="Arial"/>
                <w:sz w:val="14"/>
                <w:szCs w:val="14"/>
                <w:b w:val="1"/>
                <w:bCs w:val="1"/>
                <w:color w:val="auto"/>
                <w:w w:val="95"/>
              </w:rPr>
              <w:t>(SEE INSTRUCTIONS)</w:t>
            </w:r>
          </w:p>
        </w:tc>
        <w:tc>
          <w:tcPr>
            <w:tcW w:w="5060" w:type="dxa"/>
            <w:vAlign w:val="bottom"/>
          </w:tcPr>
          <w:p>
            <w:pPr>
              <w:ind w:left="120"/>
              <w:spacing w:after="0"/>
              <w:rPr>
                <w:sz w:val="20"/>
                <w:szCs w:val="20"/>
                <w:color w:val="auto"/>
              </w:rPr>
            </w:pPr>
            <w:r>
              <w:rPr>
                <w:rFonts w:ascii="Arial" w:cs="Arial" w:eastAsia="Arial" w:hAnsi="Arial"/>
                <w:sz w:val="18"/>
                <w:szCs w:val="18"/>
                <w:b w:val="1"/>
                <w:bCs w:val="1"/>
                <w:color w:val="auto"/>
              </w:rPr>
              <w:t>(a)</w:t>
            </w:r>
          </w:p>
        </w:tc>
      </w:tr>
    </w:tbl>
    <w:p>
      <w:pPr>
        <w:spacing w:after="0" w:line="396"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ind w:left="840" w:hanging="458"/>
        <w:spacing w:after="0"/>
        <w:tabs>
          <w:tab w:leader="none" w:pos="8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ind w:left="840" w:hanging="458"/>
        <w:spacing w:after="0"/>
        <w:tabs>
          <w:tab w:leader="none" w:pos="8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Source of funds </w:t>
      </w:r>
      <w:r>
        <w:rPr>
          <w:rFonts w:ascii="Arial" w:cs="Arial" w:eastAsia="Arial" w:hAnsi="Arial"/>
          <w:sz w:val="14"/>
          <w:szCs w:val="14"/>
          <w:b w:val="1"/>
          <w:bCs w:val="1"/>
          <w:color w:val="auto"/>
        </w:rPr>
        <w:t>(SEE INSTRUCTIONS)</w:t>
      </w:r>
    </w:p>
    <w:p>
      <w:pPr>
        <w:spacing w:after="0" w:line="27"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00-Funds of investment advisory clients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4" w:lineRule="exact"/>
        <w:rPr>
          <w:sz w:val="20"/>
          <w:szCs w:val="20"/>
          <w:color w:val="auto"/>
        </w:rPr>
      </w:pPr>
    </w:p>
    <w:p>
      <w:pPr>
        <w:ind w:left="840" w:hanging="458"/>
        <w:spacing w:after="0"/>
        <w:tabs>
          <w:tab w:leader="none" w:pos="8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Check box if disclosure of legal proceedings is required pursuant to items 2 (d) or 2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980" w:right="7840" w:hanging="598"/>
        <w:spacing w:after="0" w:line="282" w:lineRule="auto"/>
        <w:tabs>
          <w:tab w:leader="none" w:pos="845"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or place of organization New York</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4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 Of</w:t>
            </w:r>
          </w:p>
        </w:tc>
        <w:tc>
          <w:tcPr>
            <w:tcW w:w="14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 7</w:t>
            </w:r>
          </w:p>
        </w:tc>
        <w:tc>
          <w:tcPr>
            <w:tcW w:w="6560" w:type="dxa"/>
            <w:vAlign w:val="bottom"/>
            <w:tcBorders>
              <w:top w:val="single" w:sz="8" w:color="auto"/>
            </w:tcBorders>
          </w:tcPr>
          <w:p>
            <w:pPr>
              <w:ind w:left="118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ind w:left="1180"/>
              <w:spacing w:after="0"/>
              <w:rPr>
                <w:sz w:val="20"/>
                <w:szCs w:val="20"/>
                <w:color w:val="auto"/>
              </w:rPr>
            </w:pPr>
            <w:r>
              <w:rPr>
                <w:rFonts w:ascii="Arial" w:cs="Arial" w:eastAsia="Arial" w:hAnsi="Arial"/>
                <w:sz w:val="18"/>
                <w:szCs w:val="18"/>
                <w:b w:val="1"/>
                <w:bCs w:val="1"/>
                <w:color w:val="auto"/>
              </w:rPr>
              <w:t>511,118 (Item 5)</w:t>
            </w:r>
          </w:p>
        </w:tc>
        <w:tc>
          <w:tcPr>
            <w:tcW w:w="0" w:type="dxa"/>
            <w:vAlign w:val="bottom"/>
          </w:tcPr>
          <w:p>
            <w:pPr>
              <w:spacing w:after="0"/>
              <w:rPr>
                <w:sz w:val="1"/>
                <w:szCs w:val="1"/>
                <w:color w:val="auto"/>
              </w:rPr>
            </w:pPr>
          </w:p>
        </w:tc>
      </w:tr>
      <w:tr>
        <w:trPr>
          <w:trHeight w:val="241"/>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Beneficially</w:t>
            </w:r>
          </w:p>
        </w:tc>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440" w:type="dxa"/>
            <w:vAlign w:val="bottom"/>
            <w:vMerge w:val="continue"/>
          </w:tcPr>
          <w:p>
            <w:pPr>
              <w:spacing w:after="0"/>
              <w:rPr>
                <w:sz w:val="17"/>
                <w:szCs w:val="17"/>
                <w:color w:val="auto"/>
              </w:rPr>
            </w:pPr>
          </w:p>
        </w:tc>
        <w:tc>
          <w:tcPr>
            <w:tcW w:w="1420" w:type="dxa"/>
            <w:vAlign w:val="bottom"/>
          </w:tcPr>
          <w:p>
            <w:pPr>
              <w:spacing w:after="0" w:line="198" w:lineRule="exact"/>
              <w:rPr>
                <w:sz w:val="20"/>
                <w:szCs w:val="20"/>
                <w:color w:val="auto"/>
              </w:rPr>
            </w:pPr>
            <w:r>
              <w:rPr>
                <w:rFonts w:ascii="Arial" w:cs="Arial" w:eastAsia="Arial" w:hAnsi="Arial"/>
                <w:sz w:val="18"/>
                <w:szCs w:val="18"/>
                <w:b w:val="1"/>
                <w:bCs w:val="1"/>
                <w:color w:val="auto"/>
              </w:rPr>
              <w:t>: 8</w:t>
            </w:r>
          </w:p>
        </w:tc>
        <w:tc>
          <w:tcPr>
            <w:tcW w:w="6560" w:type="dxa"/>
            <w:vAlign w:val="bottom"/>
          </w:tcPr>
          <w:p>
            <w:pPr>
              <w:ind w:left="1180"/>
              <w:spacing w:after="0" w:line="198" w:lineRule="exact"/>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Owned</w:t>
            </w: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vMerge w:val="continue"/>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ind w:left="1180"/>
              <w:spacing w:after="0"/>
              <w:rPr>
                <w:sz w:val="20"/>
                <w:szCs w:val="20"/>
                <w:color w:val="auto"/>
              </w:rPr>
            </w:pPr>
            <w:r>
              <w:rPr>
                <w:rFonts w:ascii="Arial" w:cs="Arial" w:eastAsia="Arial" w:hAnsi="Arial"/>
                <w:sz w:val="18"/>
                <w:szCs w:val="18"/>
                <w:b w:val="1"/>
                <w:bCs w:val="1"/>
                <w:color w:val="auto"/>
              </w:rPr>
              <w:t>None</w:t>
            </w:r>
          </w:p>
        </w:tc>
        <w:tc>
          <w:tcPr>
            <w:tcW w:w="0" w:type="dxa"/>
            <w:vAlign w:val="bottom"/>
          </w:tcPr>
          <w:p>
            <w:pPr>
              <w:spacing w:after="0"/>
              <w:rPr>
                <w:sz w:val="1"/>
                <w:szCs w:val="1"/>
                <w:color w:val="auto"/>
              </w:rPr>
            </w:pPr>
          </w:p>
        </w:tc>
      </w:tr>
      <w:tr>
        <w:trPr>
          <w:trHeight w:val="241"/>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By Each</w:t>
            </w:r>
          </w:p>
        </w:tc>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440" w:type="dxa"/>
            <w:vAlign w:val="bottom"/>
            <w:vMerge w:val="continue"/>
          </w:tcPr>
          <w:p>
            <w:pPr>
              <w:spacing w:after="0"/>
              <w:rPr>
                <w:sz w:val="17"/>
                <w:szCs w:val="17"/>
                <w:color w:val="auto"/>
              </w:rPr>
            </w:pPr>
          </w:p>
        </w:tc>
        <w:tc>
          <w:tcPr>
            <w:tcW w:w="1420" w:type="dxa"/>
            <w:vAlign w:val="bottom"/>
          </w:tcPr>
          <w:p>
            <w:pPr>
              <w:spacing w:after="0" w:line="198" w:lineRule="exact"/>
              <w:rPr>
                <w:sz w:val="20"/>
                <w:szCs w:val="20"/>
                <w:color w:val="auto"/>
              </w:rPr>
            </w:pPr>
            <w:r>
              <w:rPr>
                <w:rFonts w:ascii="Arial" w:cs="Arial" w:eastAsia="Arial" w:hAnsi="Arial"/>
                <w:sz w:val="18"/>
                <w:szCs w:val="18"/>
                <w:b w:val="1"/>
                <w:bCs w:val="1"/>
                <w:color w:val="auto"/>
              </w:rPr>
              <w:t>: 9</w:t>
            </w:r>
          </w:p>
        </w:tc>
        <w:tc>
          <w:tcPr>
            <w:tcW w:w="6560" w:type="dxa"/>
            <w:vAlign w:val="bottom"/>
          </w:tcPr>
          <w:p>
            <w:pPr>
              <w:ind w:left="1180"/>
              <w:spacing w:after="0" w:line="198"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Reporting</w:t>
            </w: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vMerge w:val="continue"/>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ind w:left="1180"/>
              <w:spacing w:after="0"/>
              <w:rPr>
                <w:sz w:val="20"/>
                <w:szCs w:val="20"/>
                <w:color w:val="auto"/>
              </w:rPr>
            </w:pPr>
            <w:r>
              <w:rPr>
                <w:rFonts w:ascii="Arial" w:cs="Arial" w:eastAsia="Arial" w:hAnsi="Arial"/>
                <w:sz w:val="18"/>
                <w:szCs w:val="18"/>
                <w:b w:val="1"/>
                <w:bCs w:val="1"/>
                <w:color w:val="auto"/>
              </w:rPr>
              <w:t>543,118 (Item 5)</w:t>
            </w:r>
          </w:p>
        </w:tc>
        <w:tc>
          <w:tcPr>
            <w:tcW w:w="0" w:type="dxa"/>
            <w:vAlign w:val="bottom"/>
          </w:tcPr>
          <w:p>
            <w:pPr>
              <w:spacing w:after="0"/>
              <w:rPr>
                <w:sz w:val="1"/>
                <w:szCs w:val="1"/>
                <w:color w:val="auto"/>
              </w:rPr>
            </w:pPr>
          </w:p>
        </w:tc>
      </w:tr>
      <w:tr>
        <w:trPr>
          <w:trHeight w:val="241"/>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5"/>
              </w:rPr>
              <w:t>Person</w:t>
            </w:r>
          </w:p>
        </w:tc>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3440" w:type="dxa"/>
            <w:vAlign w:val="bottom"/>
            <w:vMerge w:val="continue"/>
          </w:tcPr>
          <w:p>
            <w:pPr>
              <w:spacing w:after="0"/>
              <w:rPr>
                <w:sz w:val="11"/>
                <w:szCs w:val="11"/>
                <w:color w:val="auto"/>
              </w:rPr>
            </w:pPr>
          </w:p>
        </w:tc>
        <w:tc>
          <w:tcPr>
            <w:tcW w:w="1420" w:type="dxa"/>
            <w:vAlign w:val="bottom"/>
            <w:vMerge w:val="restart"/>
          </w:tcPr>
          <w:p>
            <w:pPr>
              <w:spacing w:after="0" w:line="198" w:lineRule="exact"/>
              <w:rPr>
                <w:sz w:val="20"/>
                <w:szCs w:val="20"/>
                <w:color w:val="auto"/>
              </w:rPr>
            </w:pPr>
            <w:r>
              <w:rPr>
                <w:rFonts w:ascii="Arial" w:cs="Arial" w:eastAsia="Arial" w:hAnsi="Arial"/>
                <w:sz w:val="18"/>
                <w:szCs w:val="18"/>
                <w:b w:val="1"/>
                <w:bCs w:val="1"/>
                <w:color w:val="auto"/>
              </w:rPr>
              <w:t>:10</w:t>
            </w:r>
          </w:p>
        </w:tc>
        <w:tc>
          <w:tcPr>
            <w:tcW w:w="6560" w:type="dxa"/>
            <w:vAlign w:val="bottom"/>
            <w:vMerge w:val="restart"/>
          </w:tcPr>
          <w:p>
            <w:pPr>
              <w:ind w:left="1180"/>
              <w:spacing w:after="0" w:line="198" w:lineRule="exact"/>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63"/>
        </w:trPr>
        <w:tc>
          <w:tcPr>
            <w:tcW w:w="3440" w:type="dxa"/>
            <w:vAlign w:val="bottom"/>
          </w:tcPr>
          <w:p>
            <w:pPr>
              <w:spacing w:after="0"/>
              <w:rPr>
                <w:sz w:val="5"/>
                <w:szCs w:val="5"/>
                <w:color w:val="auto"/>
              </w:rPr>
            </w:pPr>
          </w:p>
        </w:tc>
        <w:tc>
          <w:tcPr>
            <w:tcW w:w="1420" w:type="dxa"/>
            <w:vAlign w:val="bottom"/>
            <w:vMerge w:val="continue"/>
          </w:tcPr>
          <w:p>
            <w:pPr>
              <w:spacing w:after="0"/>
              <w:rPr>
                <w:sz w:val="5"/>
                <w:szCs w:val="5"/>
                <w:color w:val="auto"/>
              </w:rPr>
            </w:pPr>
          </w:p>
        </w:tc>
        <w:tc>
          <w:tcPr>
            <w:tcW w:w="6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With</w:t>
            </w: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3440" w:type="dxa"/>
            <w:vAlign w:val="bottom"/>
            <w:vMerge w:val="continue"/>
          </w:tcPr>
          <w:p>
            <w:pPr>
              <w:spacing w:after="0"/>
              <w:rPr>
                <w:sz w:val="13"/>
                <w:szCs w:val="13"/>
                <w:color w:val="auto"/>
              </w:rPr>
            </w:pPr>
          </w:p>
        </w:tc>
        <w:tc>
          <w:tcPr>
            <w:tcW w:w="142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vMerge w:val="restart"/>
          </w:tcPr>
          <w:p>
            <w:pPr>
              <w:ind w:left="1180"/>
              <w:spacing w:after="0"/>
              <w:rPr>
                <w:sz w:val="20"/>
                <w:szCs w:val="20"/>
                <w:color w:val="auto"/>
              </w:rPr>
            </w:pPr>
            <w:r>
              <w:rPr>
                <w:rFonts w:ascii="Arial" w:cs="Arial" w:eastAsia="Arial" w:hAnsi="Arial"/>
                <w:sz w:val="18"/>
                <w:szCs w:val="18"/>
                <w:b w:val="1"/>
                <w:bCs w:val="1"/>
                <w:color w:val="auto"/>
              </w:rPr>
              <w:t>None</w:t>
            </w:r>
          </w:p>
        </w:tc>
        <w:tc>
          <w:tcPr>
            <w:tcW w:w="0" w:type="dxa"/>
            <w:vAlign w:val="bottom"/>
          </w:tcPr>
          <w:p>
            <w:pPr>
              <w:spacing w:after="0"/>
              <w:rPr>
                <w:sz w:val="1"/>
                <w:szCs w:val="1"/>
                <w:color w:val="auto"/>
              </w:rPr>
            </w:pPr>
          </w:p>
        </w:tc>
      </w:tr>
      <w:tr>
        <w:trPr>
          <w:trHeight w:val="63"/>
        </w:trPr>
        <w:tc>
          <w:tcPr>
            <w:tcW w:w="3440" w:type="dxa"/>
            <w:vAlign w:val="bottom"/>
          </w:tcPr>
          <w:p>
            <w:pPr>
              <w:spacing w:after="0"/>
              <w:rPr>
                <w:sz w:val="5"/>
                <w:szCs w:val="5"/>
                <w:color w:val="auto"/>
              </w:rPr>
            </w:pPr>
          </w:p>
        </w:tc>
        <w:tc>
          <w:tcPr>
            <w:tcW w:w="1420" w:type="dxa"/>
            <w:vAlign w:val="bottom"/>
            <w:vMerge w:val="continue"/>
          </w:tcPr>
          <w:p>
            <w:pPr>
              <w:spacing w:after="0"/>
              <w:rPr>
                <w:sz w:val="5"/>
                <w:szCs w:val="5"/>
                <w:color w:val="auto"/>
              </w:rPr>
            </w:pPr>
          </w:p>
        </w:tc>
        <w:tc>
          <w:tcPr>
            <w:tcW w:w="6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3440" w:type="dxa"/>
            <w:vAlign w:val="bottom"/>
          </w:tcPr>
          <w:p>
            <w:pPr>
              <w:spacing w:after="0"/>
              <w:rPr>
                <w:sz w:val="20"/>
                <w:szCs w:val="20"/>
                <w:color w:val="auto"/>
              </w:rPr>
            </w:pP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840" w:right="5720" w:hanging="832"/>
        <w:spacing w:after="0" w:line="514" w:lineRule="auto"/>
        <w:tabs>
          <w:tab w:leader="none" w:pos="8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Aggregate amount beneficially owned by each reporting person 543,118 (Item 5)</w:t>
      </w:r>
    </w:p>
    <w:p>
      <w:pPr>
        <w:ind w:left="840" w:hanging="832"/>
        <w:spacing w:after="0"/>
        <w:tabs>
          <w:tab w:leader="none" w:pos="840" w:val="left"/>
        </w:tabs>
        <w:numPr>
          <w:ilvl w:val="0"/>
          <w:numId w:val="13"/>
        </w:numPr>
        <w:rPr>
          <w:rFonts w:ascii="Arial" w:cs="Arial" w:eastAsia="Arial" w:hAnsi="Arial"/>
          <w:sz w:val="29"/>
          <w:szCs w:val="29"/>
          <w:b w:val="1"/>
          <w:bCs w:val="1"/>
          <w:color w:val="auto"/>
          <w:vertAlign w:val="superscript"/>
        </w:rPr>
      </w:pPr>
      <w:r>
        <w:rPr>
          <w:rFonts w:ascii="Arial" w:cs="Arial" w:eastAsia="Arial" w:hAnsi="Arial"/>
          <w:sz w:val="18"/>
          <w:szCs w:val="18"/>
          <w:b w:val="1"/>
          <w:bCs w:val="1"/>
          <w:color w:val="auto"/>
        </w:rPr>
        <w:t>Check box if the aggregate amount in row (11) excludes certain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840"/>
        <w:spacing w:after="0"/>
        <w:rPr>
          <w:sz w:val="20"/>
          <w:szCs w:val="20"/>
          <w:color w:val="auto"/>
        </w:rPr>
      </w:pPr>
      <w:r>
        <w:rPr>
          <w:rFonts w:ascii="Arial" w:cs="Arial" w:eastAsia="Arial" w:hAnsi="Arial"/>
          <w:sz w:val="14"/>
          <w:szCs w:val="14"/>
          <w:b w:val="1"/>
          <w:bCs w:val="1"/>
          <w:color w:val="auto"/>
        </w:rPr>
        <w:t>(SEE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840" w:right="6700" w:hanging="832"/>
        <w:spacing w:after="0" w:line="363" w:lineRule="auto"/>
        <w:tabs>
          <w:tab w:leader="none" w:pos="840" w:val="left"/>
        </w:tabs>
        <w:numPr>
          <w:ilvl w:val="0"/>
          <w:numId w:val="14"/>
        </w:numPr>
        <w:rPr>
          <w:rFonts w:ascii="Arial" w:cs="Arial" w:eastAsia="Arial" w:hAnsi="Arial"/>
          <w:sz w:val="29"/>
          <w:szCs w:val="29"/>
          <w:b w:val="1"/>
          <w:bCs w:val="1"/>
          <w:color w:val="auto"/>
          <w:vertAlign w:val="superscript"/>
        </w:rPr>
      </w:pPr>
      <w:r>
        <w:rPr>
          <w:rFonts w:ascii="Arial" w:cs="Arial" w:eastAsia="Arial" w:hAnsi="Arial"/>
          <w:sz w:val="18"/>
          <w:szCs w:val="18"/>
          <w:b w:val="1"/>
          <w:bCs w:val="1"/>
          <w:color w:val="auto"/>
        </w:rPr>
        <w:t>Percent of class represented by amount in row (11) 10.08%</w:t>
      </w:r>
    </w:p>
    <w:p>
      <w:pPr>
        <w:ind w:left="840" w:hanging="832"/>
        <w:spacing w:after="0"/>
        <w:tabs>
          <w:tab w:leader="none" w:pos="840" w:val="left"/>
        </w:tabs>
        <w:numPr>
          <w:ilvl w:val="0"/>
          <w:numId w:val="14"/>
        </w:numPr>
        <w:rPr>
          <w:rFonts w:ascii="Arial" w:cs="Arial" w:eastAsia="Arial" w:hAnsi="Arial"/>
          <w:sz w:val="29"/>
          <w:szCs w:val="29"/>
          <w:b w:val="1"/>
          <w:bCs w:val="1"/>
          <w:color w:val="auto"/>
          <w:vertAlign w:val="superscript"/>
        </w:rPr>
      </w:pPr>
      <w:r>
        <w:rPr>
          <w:rFonts w:ascii="Arial" w:cs="Arial" w:eastAsia="Arial" w:hAnsi="Arial"/>
          <w:sz w:val="18"/>
          <w:szCs w:val="18"/>
          <w:b w:val="1"/>
          <w:bCs w:val="1"/>
          <w:color w:val="auto"/>
        </w:rPr>
        <w:t xml:space="preserve">Type of reporting person </w:t>
      </w:r>
      <w:r>
        <w:rPr>
          <w:rFonts w:ascii="Arial" w:cs="Arial" w:eastAsia="Arial" w:hAnsi="Arial"/>
          <w:sz w:val="14"/>
          <w:szCs w:val="14"/>
          <w:b w:val="1"/>
          <w:bCs w:val="1"/>
          <w:color w:val="auto"/>
        </w:rPr>
        <w:t>(SEE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1020"/>
        <w:spacing w:after="0"/>
        <w:rPr>
          <w:sz w:val="20"/>
          <w:szCs w:val="20"/>
          <w:color w:val="auto"/>
        </w:rPr>
      </w:pPr>
      <w:r>
        <w:rPr>
          <w:rFonts w:ascii="Arial" w:cs="Arial" w:eastAsia="Arial" w:hAnsi="Arial"/>
          <w:sz w:val="18"/>
          <w:szCs w:val="18"/>
          <w:b w:val="1"/>
          <w:bCs w:val="1"/>
          <w:color w:val="auto"/>
        </w:rPr>
        <w:t>IA,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3" w:name="page4"/>
    <w:bookmarkEnd w:id="3"/>
    <w:p>
      <w:pPr>
        <w:spacing w:after="0"/>
        <w:rPr>
          <w:sz w:val="20"/>
          <w:szCs w:val="20"/>
          <w:color w:val="auto"/>
        </w:rPr>
      </w:pPr>
      <w:r>
        <w:rPr>
          <w:rFonts w:ascii="Arial" w:cs="Arial" w:eastAsia="Arial" w:hAnsi="Arial"/>
          <w:sz w:val="22"/>
          <w:szCs w:val="22"/>
          <w:color w:val="auto"/>
        </w:rPr>
        <w:t>CUSIP No. 677864100</w:t>
      </w:r>
    </w:p>
    <w:p>
      <w:pPr>
        <w:spacing w:after="0" w:line="13" w:lineRule="exact"/>
        <w:rPr>
          <w:sz w:val="20"/>
          <w:szCs w:val="20"/>
          <w:color w:val="auto"/>
        </w:rPr>
      </w:pPr>
    </w:p>
    <w:p>
      <w:pPr>
        <w:ind w:left="840"/>
        <w:spacing w:after="0"/>
        <w:rPr>
          <w:sz w:val="20"/>
          <w:szCs w:val="20"/>
          <w:color w:val="auto"/>
        </w:rPr>
      </w:pPr>
      <w:r>
        <w:rPr>
          <w:rFonts w:ascii="Arial" w:cs="Arial" w:eastAsia="Arial" w:hAnsi="Arial"/>
          <w:sz w:val="18"/>
          <w:szCs w:val="18"/>
          <w:b w:val="1"/>
          <w:bCs w:val="1"/>
          <w:color w:val="auto"/>
        </w:rPr>
        <w:t>Names of reporting persons</w:t>
      </w:r>
    </w:p>
    <w:p>
      <w:pPr>
        <w:spacing w:after="0" w:line="7" w:lineRule="exact"/>
        <w:rPr>
          <w:sz w:val="20"/>
          <w:szCs w:val="20"/>
          <w:color w:val="auto"/>
        </w:rPr>
      </w:pPr>
    </w:p>
    <w:p>
      <w:pPr>
        <w:ind w:left="840"/>
        <w:spacing w:after="0"/>
        <w:rPr>
          <w:sz w:val="20"/>
          <w:szCs w:val="20"/>
          <w:color w:val="auto"/>
        </w:rPr>
      </w:pPr>
      <w:r>
        <w:rPr>
          <w:rFonts w:ascii="Arial" w:cs="Arial" w:eastAsia="Arial" w:hAnsi="Arial"/>
          <w:sz w:val="18"/>
          <w:szCs w:val="18"/>
          <w:b w:val="1"/>
          <w:bCs w:val="1"/>
          <w:color w:val="auto"/>
        </w:rPr>
        <w:t>I.R.S. identification nos. of above persons (entities only)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60" w:type="dxa"/>
            <w:vAlign w:val="bottom"/>
            <w:tcBorders>
              <w:bottom w:val="single" w:sz="8" w:color="auto"/>
            </w:tcBorders>
          </w:tcPr>
          <w:p>
            <w:pPr>
              <w:spacing w:after="0"/>
              <w:rPr>
                <w:sz w:val="20"/>
                <w:szCs w:val="20"/>
                <w:color w:val="auto"/>
              </w:rPr>
            </w:pPr>
          </w:p>
        </w:tc>
        <w:tc>
          <w:tcPr>
            <w:tcW w:w="60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Teton Advisors, Inc.</w:t>
            </w:r>
          </w:p>
        </w:tc>
        <w:tc>
          <w:tcPr>
            <w:tcW w:w="4680" w:type="dxa"/>
            <w:vAlign w:val="bottom"/>
            <w:tcBorders>
              <w:bottom w:val="single" w:sz="8" w:color="auto"/>
            </w:tcBorders>
          </w:tcPr>
          <w:p>
            <w:pPr>
              <w:ind w:left="2960"/>
              <w:spacing w:after="0"/>
              <w:rPr>
                <w:sz w:val="20"/>
                <w:szCs w:val="20"/>
                <w:color w:val="auto"/>
              </w:rPr>
            </w:pPr>
            <w:r>
              <w:rPr>
                <w:rFonts w:ascii="Arial" w:cs="Arial" w:eastAsia="Arial" w:hAnsi="Arial"/>
                <w:sz w:val="18"/>
                <w:szCs w:val="18"/>
                <w:b w:val="1"/>
                <w:bCs w:val="1"/>
                <w:color w:val="auto"/>
              </w:rPr>
              <w:t>I.D. No. 13-4008049</w:t>
            </w:r>
          </w:p>
        </w:tc>
      </w:tr>
      <w:tr>
        <w:trPr>
          <w:trHeight w:val="234"/>
        </w:trPr>
        <w:tc>
          <w:tcPr>
            <w:tcW w:w="660" w:type="dxa"/>
            <w:vAlign w:val="bottom"/>
          </w:tcPr>
          <w:p>
            <w:pPr>
              <w:jc w:val="right"/>
              <w:ind w:right="90"/>
              <w:spacing w:after="0"/>
              <w:rPr>
                <w:sz w:val="20"/>
                <w:szCs w:val="20"/>
                <w:color w:val="auto"/>
              </w:rPr>
            </w:pPr>
            <w:r>
              <w:rPr>
                <w:rFonts w:ascii="Arial" w:cs="Arial" w:eastAsia="Arial" w:hAnsi="Arial"/>
                <w:sz w:val="18"/>
                <w:szCs w:val="18"/>
                <w:b w:val="1"/>
                <w:bCs w:val="1"/>
                <w:color w:val="auto"/>
              </w:rPr>
              <w:t>2</w:t>
            </w:r>
          </w:p>
        </w:tc>
        <w:tc>
          <w:tcPr>
            <w:tcW w:w="6080" w:type="dxa"/>
            <w:vAlign w:val="bottom"/>
          </w:tcPr>
          <w:p>
            <w:pPr>
              <w:ind w:left="180"/>
              <w:spacing w:after="0"/>
              <w:rPr>
                <w:sz w:val="20"/>
                <w:szCs w:val="20"/>
                <w:color w:val="auto"/>
              </w:rPr>
            </w:pPr>
            <w:r>
              <w:rPr>
                <w:rFonts w:ascii="Arial" w:cs="Arial" w:eastAsia="Arial" w:hAnsi="Arial"/>
                <w:sz w:val="18"/>
                <w:szCs w:val="18"/>
                <w:b w:val="1"/>
                <w:bCs w:val="1"/>
                <w:color w:val="auto"/>
                <w:w w:val="94"/>
              </w:rPr>
              <w:t>Check the appropriate box if a member of a group (SEE INSTRUCTIONS)</w:t>
            </w:r>
          </w:p>
        </w:tc>
        <w:tc>
          <w:tcPr>
            <w:tcW w:w="4680" w:type="dxa"/>
            <w:vAlign w:val="bottom"/>
          </w:tcPr>
          <w:p>
            <w:pPr>
              <w:ind w:left="120"/>
              <w:spacing w:after="0"/>
              <w:rPr>
                <w:sz w:val="20"/>
                <w:szCs w:val="20"/>
                <w:color w:val="auto"/>
              </w:rPr>
            </w:pPr>
            <w:r>
              <w:rPr>
                <w:rFonts w:ascii="Arial" w:cs="Arial" w:eastAsia="Arial" w:hAnsi="Arial"/>
                <w:sz w:val="18"/>
                <w:szCs w:val="18"/>
                <w:b w:val="1"/>
                <w:bCs w:val="1"/>
                <w:color w:val="auto"/>
              </w:rPr>
              <w:t>(a)</w:t>
            </w:r>
          </w:p>
        </w:tc>
      </w:tr>
    </w:tbl>
    <w:p>
      <w:pPr>
        <w:spacing w:after="0" w:line="396"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ind w:left="840" w:hanging="458"/>
        <w:spacing w:after="0"/>
        <w:tabs>
          <w:tab w:leader="none" w:pos="8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jc w:val="both"/>
        <w:ind w:left="840" w:right="7420" w:hanging="458"/>
        <w:spacing w:after="0" w:line="347" w:lineRule="auto"/>
        <w:tabs>
          <w:tab w:leader="none" w:pos="840" w:val="left"/>
        </w:tabs>
        <w:numPr>
          <w:ilvl w:val="0"/>
          <w:numId w:val="16"/>
        </w:numPr>
        <w:rPr>
          <w:rFonts w:ascii="Arial" w:cs="Arial" w:eastAsia="Arial" w:hAnsi="Arial"/>
          <w:sz w:val="16"/>
          <w:szCs w:val="16"/>
          <w:b w:val="1"/>
          <w:bCs w:val="1"/>
          <w:color w:val="auto"/>
        </w:rPr>
      </w:pPr>
      <w:r>
        <w:rPr>
          <w:rFonts w:ascii="Arial" w:cs="Arial" w:eastAsia="Arial" w:hAnsi="Arial"/>
          <w:sz w:val="16"/>
          <w:szCs w:val="16"/>
          <w:b w:val="1"/>
          <w:bCs w:val="1"/>
          <w:color w:val="auto"/>
        </w:rPr>
        <w:t>Source of funds (SEE INSTRUCTIONS) 00 – Funds of investment advisory clients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23" w:lineRule="exact"/>
        <w:rPr>
          <w:sz w:val="20"/>
          <w:szCs w:val="20"/>
          <w:color w:val="auto"/>
        </w:rPr>
      </w:pPr>
    </w:p>
    <w:p>
      <w:pPr>
        <w:ind w:left="840" w:hanging="458"/>
        <w:spacing w:after="0"/>
        <w:tabs>
          <w:tab w:leader="none" w:pos="8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Check box if disclosure of legal proceedings is required pursuant to items 2 (d) or 2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980" w:right="7840" w:hanging="598"/>
        <w:spacing w:after="0" w:line="282" w:lineRule="auto"/>
        <w:tabs>
          <w:tab w:leader="none" w:pos="845"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or place of organization Delaware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4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 Of</w:t>
            </w:r>
          </w:p>
        </w:tc>
        <w:tc>
          <w:tcPr>
            <w:tcW w:w="14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 7</w:t>
            </w:r>
          </w:p>
        </w:tc>
        <w:tc>
          <w:tcPr>
            <w:tcW w:w="6560" w:type="dxa"/>
            <w:vAlign w:val="bottom"/>
            <w:tcBorders>
              <w:top w:val="single" w:sz="8" w:color="auto"/>
            </w:tcBorders>
          </w:tcPr>
          <w:p>
            <w:pPr>
              <w:ind w:left="118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ind w:left="1180"/>
              <w:spacing w:after="0"/>
              <w:rPr>
                <w:sz w:val="20"/>
                <w:szCs w:val="20"/>
                <w:color w:val="auto"/>
              </w:rPr>
            </w:pPr>
            <w:r>
              <w:rPr>
                <w:rFonts w:ascii="Arial" w:cs="Arial" w:eastAsia="Arial" w:hAnsi="Arial"/>
                <w:sz w:val="18"/>
                <w:szCs w:val="18"/>
                <w:b w:val="1"/>
                <w:bCs w:val="1"/>
                <w:color w:val="auto"/>
              </w:rPr>
              <w:t>111,300 (Item 5)</w:t>
            </w:r>
          </w:p>
        </w:tc>
        <w:tc>
          <w:tcPr>
            <w:tcW w:w="0" w:type="dxa"/>
            <w:vAlign w:val="bottom"/>
          </w:tcPr>
          <w:p>
            <w:pPr>
              <w:spacing w:after="0"/>
              <w:rPr>
                <w:sz w:val="1"/>
                <w:szCs w:val="1"/>
                <w:color w:val="auto"/>
              </w:rPr>
            </w:pPr>
          </w:p>
        </w:tc>
      </w:tr>
      <w:tr>
        <w:trPr>
          <w:trHeight w:val="241"/>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Beneficially</w:t>
            </w:r>
          </w:p>
        </w:tc>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440" w:type="dxa"/>
            <w:vAlign w:val="bottom"/>
            <w:vMerge w:val="continue"/>
          </w:tcPr>
          <w:p>
            <w:pPr>
              <w:spacing w:after="0"/>
              <w:rPr>
                <w:sz w:val="17"/>
                <w:szCs w:val="17"/>
                <w:color w:val="auto"/>
              </w:rPr>
            </w:pPr>
          </w:p>
        </w:tc>
        <w:tc>
          <w:tcPr>
            <w:tcW w:w="1420" w:type="dxa"/>
            <w:vAlign w:val="bottom"/>
          </w:tcPr>
          <w:p>
            <w:pPr>
              <w:spacing w:after="0" w:line="198" w:lineRule="exact"/>
              <w:rPr>
                <w:sz w:val="20"/>
                <w:szCs w:val="20"/>
                <w:color w:val="auto"/>
              </w:rPr>
            </w:pPr>
            <w:r>
              <w:rPr>
                <w:rFonts w:ascii="Arial" w:cs="Arial" w:eastAsia="Arial" w:hAnsi="Arial"/>
                <w:sz w:val="18"/>
                <w:szCs w:val="18"/>
                <w:b w:val="1"/>
                <w:bCs w:val="1"/>
                <w:color w:val="auto"/>
              </w:rPr>
              <w:t>: 8</w:t>
            </w:r>
          </w:p>
        </w:tc>
        <w:tc>
          <w:tcPr>
            <w:tcW w:w="6560" w:type="dxa"/>
            <w:vAlign w:val="bottom"/>
          </w:tcPr>
          <w:p>
            <w:pPr>
              <w:ind w:left="1180"/>
              <w:spacing w:after="0" w:line="198" w:lineRule="exact"/>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Owned</w:t>
            </w: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vMerge w:val="continue"/>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ind w:left="1180"/>
              <w:spacing w:after="0"/>
              <w:rPr>
                <w:sz w:val="20"/>
                <w:szCs w:val="20"/>
                <w:color w:val="auto"/>
              </w:rPr>
            </w:pPr>
            <w:r>
              <w:rPr>
                <w:rFonts w:ascii="Arial" w:cs="Arial" w:eastAsia="Arial" w:hAnsi="Arial"/>
                <w:sz w:val="18"/>
                <w:szCs w:val="18"/>
                <w:b w:val="1"/>
                <w:bCs w:val="1"/>
                <w:color w:val="auto"/>
              </w:rPr>
              <w:t>None</w:t>
            </w:r>
          </w:p>
        </w:tc>
        <w:tc>
          <w:tcPr>
            <w:tcW w:w="0" w:type="dxa"/>
            <w:vAlign w:val="bottom"/>
          </w:tcPr>
          <w:p>
            <w:pPr>
              <w:spacing w:after="0"/>
              <w:rPr>
                <w:sz w:val="1"/>
                <w:szCs w:val="1"/>
                <w:color w:val="auto"/>
              </w:rPr>
            </w:pPr>
          </w:p>
        </w:tc>
      </w:tr>
      <w:tr>
        <w:trPr>
          <w:trHeight w:val="241"/>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By Each</w:t>
            </w:r>
          </w:p>
        </w:tc>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440" w:type="dxa"/>
            <w:vAlign w:val="bottom"/>
            <w:vMerge w:val="continue"/>
          </w:tcPr>
          <w:p>
            <w:pPr>
              <w:spacing w:after="0"/>
              <w:rPr>
                <w:sz w:val="17"/>
                <w:szCs w:val="17"/>
                <w:color w:val="auto"/>
              </w:rPr>
            </w:pPr>
          </w:p>
        </w:tc>
        <w:tc>
          <w:tcPr>
            <w:tcW w:w="1420" w:type="dxa"/>
            <w:vAlign w:val="bottom"/>
          </w:tcPr>
          <w:p>
            <w:pPr>
              <w:spacing w:after="0" w:line="198" w:lineRule="exact"/>
              <w:rPr>
                <w:sz w:val="20"/>
                <w:szCs w:val="20"/>
                <w:color w:val="auto"/>
              </w:rPr>
            </w:pPr>
            <w:r>
              <w:rPr>
                <w:rFonts w:ascii="Arial" w:cs="Arial" w:eastAsia="Arial" w:hAnsi="Arial"/>
                <w:sz w:val="18"/>
                <w:szCs w:val="18"/>
                <w:b w:val="1"/>
                <w:bCs w:val="1"/>
                <w:color w:val="auto"/>
              </w:rPr>
              <w:t>: 9</w:t>
            </w:r>
          </w:p>
        </w:tc>
        <w:tc>
          <w:tcPr>
            <w:tcW w:w="6560" w:type="dxa"/>
            <w:vAlign w:val="bottom"/>
          </w:tcPr>
          <w:p>
            <w:pPr>
              <w:ind w:left="1180"/>
              <w:spacing w:after="0" w:line="198"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Reporting</w:t>
            </w: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vMerge w:val="continue"/>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ind w:left="1180"/>
              <w:spacing w:after="0"/>
              <w:rPr>
                <w:sz w:val="20"/>
                <w:szCs w:val="20"/>
                <w:color w:val="auto"/>
              </w:rPr>
            </w:pPr>
            <w:r>
              <w:rPr>
                <w:rFonts w:ascii="Arial" w:cs="Arial" w:eastAsia="Arial" w:hAnsi="Arial"/>
                <w:sz w:val="18"/>
                <w:szCs w:val="18"/>
                <w:b w:val="1"/>
                <w:bCs w:val="1"/>
                <w:color w:val="auto"/>
              </w:rPr>
              <w:t>111,300 (Item 5)</w:t>
            </w:r>
          </w:p>
        </w:tc>
        <w:tc>
          <w:tcPr>
            <w:tcW w:w="0" w:type="dxa"/>
            <w:vAlign w:val="bottom"/>
          </w:tcPr>
          <w:p>
            <w:pPr>
              <w:spacing w:after="0"/>
              <w:rPr>
                <w:sz w:val="1"/>
                <w:szCs w:val="1"/>
                <w:color w:val="auto"/>
              </w:rPr>
            </w:pPr>
          </w:p>
        </w:tc>
      </w:tr>
      <w:tr>
        <w:trPr>
          <w:trHeight w:val="241"/>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5"/>
              </w:rPr>
              <w:t>Person</w:t>
            </w:r>
          </w:p>
        </w:tc>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3440" w:type="dxa"/>
            <w:vAlign w:val="bottom"/>
            <w:vMerge w:val="continue"/>
          </w:tcPr>
          <w:p>
            <w:pPr>
              <w:spacing w:after="0"/>
              <w:rPr>
                <w:sz w:val="11"/>
                <w:szCs w:val="11"/>
                <w:color w:val="auto"/>
              </w:rPr>
            </w:pPr>
          </w:p>
        </w:tc>
        <w:tc>
          <w:tcPr>
            <w:tcW w:w="1420" w:type="dxa"/>
            <w:vAlign w:val="bottom"/>
            <w:vMerge w:val="restart"/>
          </w:tcPr>
          <w:p>
            <w:pPr>
              <w:spacing w:after="0" w:line="198" w:lineRule="exact"/>
              <w:rPr>
                <w:sz w:val="20"/>
                <w:szCs w:val="20"/>
                <w:color w:val="auto"/>
              </w:rPr>
            </w:pPr>
            <w:r>
              <w:rPr>
                <w:rFonts w:ascii="Arial" w:cs="Arial" w:eastAsia="Arial" w:hAnsi="Arial"/>
                <w:sz w:val="18"/>
                <w:szCs w:val="18"/>
                <w:b w:val="1"/>
                <w:bCs w:val="1"/>
                <w:color w:val="auto"/>
              </w:rPr>
              <w:t>:10</w:t>
            </w:r>
          </w:p>
        </w:tc>
        <w:tc>
          <w:tcPr>
            <w:tcW w:w="6560" w:type="dxa"/>
            <w:vAlign w:val="bottom"/>
            <w:vMerge w:val="restart"/>
          </w:tcPr>
          <w:p>
            <w:pPr>
              <w:ind w:left="1180"/>
              <w:spacing w:after="0" w:line="198" w:lineRule="exact"/>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63"/>
        </w:trPr>
        <w:tc>
          <w:tcPr>
            <w:tcW w:w="3440" w:type="dxa"/>
            <w:vAlign w:val="bottom"/>
          </w:tcPr>
          <w:p>
            <w:pPr>
              <w:spacing w:after="0"/>
              <w:rPr>
                <w:sz w:val="5"/>
                <w:szCs w:val="5"/>
                <w:color w:val="auto"/>
              </w:rPr>
            </w:pPr>
          </w:p>
        </w:tc>
        <w:tc>
          <w:tcPr>
            <w:tcW w:w="1420" w:type="dxa"/>
            <w:vAlign w:val="bottom"/>
            <w:vMerge w:val="continue"/>
          </w:tcPr>
          <w:p>
            <w:pPr>
              <w:spacing w:after="0"/>
              <w:rPr>
                <w:sz w:val="5"/>
                <w:szCs w:val="5"/>
                <w:color w:val="auto"/>
              </w:rPr>
            </w:pPr>
          </w:p>
        </w:tc>
        <w:tc>
          <w:tcPr>
            <w:tcW w:w="6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With</w:t>
            </w: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3440" w:type="dxa"/>
            <w:vAlign w:val="bottom"/>
            <w:vMerge w:val="continue"/>
          </w:tcPr>
          <w:p>
            <w:pPr>
              <w:spacing w:after="0"/>
              <w:rPr>
                <w:sz w:val="13"/>
                <w:szCs w:val="13"/>
                <w:color w:val="auto"/>
              </w:rPr>
            </w:pPr>
          </w:p>
        </w:tc>
        <w:tc>
          <w:tcPr>
            <w:tcW w:w="142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vMerge w:val="restart"/>
          </w:tcPr>
          <w:p>
            <w:pPr>
              <w:ind w:left="1180"/>
              <w:spacing w:after="0"/>
              <w:rPr>
                <w:sz w:val="20"/>
                <w:szCs w:val="20"/>
                <w:color w:val="auto"/>
              </w:rPr>
            </w:pPr>
            <w:r>
              <w:rPr>
                <w:rFonts w:ascii="Arial" w:cs="Arial" w:eastAsia="Arial" w:hAnsi="Arial"/>
                <w:sz w:val="18"/>
                <w:szCs w:val="18"/>
                <w:b w:val="1"/>
                <w:bCs w:val="1"/>
                <w:color w:val="auto"/>
              </w:rPr>
              <w:t>None</w:t>
            </w:r>
          </w:p>
        </w:tc>
        <w:tc>
          <w:tcPr>
            <w:tcW w:w="0" w:type="dxa"/>
            <w:vAlign w:val="bottom"/>
          </w:tcPr>
          <w:p>
            <w:pPr>
              <w:spacing w:after="0"/>
              <w:rPr>
                <w:sz w:val="1"/>
                <w:szCs w:val="1"/>
                <w:color w:val="auto"/>
              </w:rPr>
            </w:pPr>
          </w:p>
        </w:tc>
      </w:tr>
      <w:tr>
        <w:trPr>
          <w:trHeight w:val="63"/>
        </w:trPr>
        <w:tc>
          <w:tcPr>
            <w:tcW w:w="3440" w:type="dxa"/>
            <w:vAlign w:val="bottom"/>
          </w:tcPr>
          <w:p>
            <w:pPr>
              <w:spacing w:after="0"/>
              <w:rPr>
                <w:sz w:val="5"/>
                <w:szCs w:val="5"/>
                <w:color w:val="auto"/>
              </w:rPr>
            </w:pPr>
          </w:p>
        </w:tc>
        <w:tc>
          <w:tcPr>
            <w:tcW w:w="1420" w:type="dxa"/>
            <w:vAlign w:val="bottom"/>
            <w:vMerge w:val="continue"/>
          </w:tcPr>
          <w:p>
            <w:pPr>
              <w:spacing w:after="0"/>
              <w:rPr>
                <w:sz w:val="5"/>
                <w:szCs w:val="5"/>
                <w:color w:val="auto"/>
              </w:rPr>
            </w:pPr>
          </w:p>
        </w:tc>
        <w:tc>
          <w:tcPr>
            <w:tcW w:w="6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3440" w:type="dxa"/>
            <w:vAlign w:val="bottom"/>
          </w:tcPr>
          <w:p>
            <w:pPr>
              <w:spacing w:after="0"/>
              <w:rPr>
                <w:sz w:val="20"/>
                <w:szCs w:val="20"/>
                <w:color w:val="auto"/>
              </w:rPr>
            </w:pP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840" w:right="5720" w:hanging="832"/>
        <w:spacing w:after="0" w:line="516" w:lineRule="auto"/>
        <w:tabs>
          <w:tab w:leader="none" w:pos="84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Aggregate amount beneficially owned by each reporting person 111,300 (Item 5)</w:t>
      </w:r>
    </w:p>
    <w:p>
      <w:pPr>
        <w:spacing w:after="0" w:line="1" w:lineRule="exact"/>
        <w:rPr>
          <w:rFonts w:ascii="Arial" w:cs="Arial" w:eastAsia="Arial" w:hAnsi="Arial"/>
          <w:sz w:val="18"/>
          <w:szCs w:val="18"/>
          <w:b w:val="1"/>
          <w:bCs w:val="1"/>
          <w:color w:val="auto"/>
        </w:rPr>
      </w:pPr>
    </w:p>
    <w:p>
      <w:pPr>
        <w:ind w:left="840" w:hanging="832"/>
        <w:spacing w:after="0"/>
        <w:tabs>
          <w:tab w:leader="none" w:pos="84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Check box if the aggregate amount in row (11) excludes certain shares</w:t>
      </w:r>
    </w:p>
    <w:p>
      <w:pPr>
        <w:spacing w:after="0" w:line="27" w:lineRule="exact"/>
        <w:rPr>
          <w:rFonts w:ascii="Arial" w:cs="Arial" w:eastAsia="Arial" w:hAnsi="Arial"/>
          <w:sz w:val="18"/>
          <w:szCs w:val="18"/>
          <w:b w:val="1"/>
          <w:bCs w:val="1"/>
          <w:color w:val="auto"/>
        </w:rPr>
      </w:pPr>
    </w:p>
    <w:p>
      <w:pPr>
        <w:ind w:left="8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(SEE INSTRUCTIONS)</w:t>
      </w:r>
    </w:p>
    <w:p>
      <w:pPr>
        <w:spacing w:after="0" w:line="200" w:lineRule="exact"/>
        <w:rPr>
          <w:rFonts w:ascii="Arial" w:cs="Arial" w:eastAsia="Arial" w:hAnsi="Arial"/>
          <w:sz w:val="18"/>
          <w:szCs w:val="18"/>
          <w:b w:val="1"/>
          <w:bCs w:val="1"/>
          <w:color w:val="auto"/>
        </w:rPr>
      </w:pPr>
    </w:p>
    <w:p>
      <w:pPr>
        <w:spacing w:after="0" w:line="249" w:lineRule="exact"/>
        <w:rPr>
          <w:rFonts w:ascii="Arial" w:cs="Arial" w:eastAsia="Arial" w:hAnsi="Arial"/>
          <w:sz w:val="18"/>
          <w:szCs w:val="18"/>
          <w:b w:val="1"/>
          <w:bCs w:val="1"/>
          <w:color w:val="auto"/>
        </w:rPr>
      </w:pPr>
    </w:p>
    <w:p>
      <w:pPr>
        <w:ind w:left="840" w:right="6700" w:hanging="832"/>
        <w:spacing w:after="0" w:line="516" w:lineRule="auto"/>
        <w:tabs>
          <w:tab w:leader="none" w:pos="84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Percent of class represented by amount in row (11) 2.07%</w:t>
      </w:r>
    </w:p>
    <w:p>
      <w:pPr>
        <w:spacing w:after="0" w:line="1" w:lineRule="exact"/>
        <w:rPr>
          <w:rFonts w:ascii="Arial" w:cs="Arial" w:eastAsia="Arial" w:hAnsi="Arial"/>
          <w:sz w:val="18"/>
          <w:szCs w:val="18"/>
          <w:b w:val="1"/>
          <w:bCs w:val="1"/>
          <w:color w:val="auto"/>
        </w:rPr>
      </w:pPr>
    </w:p>
    <w:p>
      <w:pPr>
        <w:ind w:left="840" w:hanging="832"/>
        <w:spacing w:after="0"/>
        <w:tabs>
          <w:tab w:leader="none" w:pos="84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-1268095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-702310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7"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IA,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CUSIP No. 677864100</w:t>
      </w:r>
    </w:p>
    <w:p>
      <w:pPr>
        <w:spacing w:after="0" w:line="19" w:lineRule="exact"/>
        <w:rPr>
          <w:sz w:val="20"/>
          <w:szCs w:val="20"/>
          <w:color w:val="auto"/>
        </w:rPr>
      </w:pPr>
    </w:p>
    <w:p>
      <w:pPr>
        <w:ind w:left="840" w:hanging="458"/>
        <w:spacing w:after="0"/>
        <w:tabs>
          <w:tab w:leader="none" w:pos="84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Names of reporting persons</w:t>
      </w:r>
    </w:p>
    <w:p>
      <w:pPr>
        <w:spacing w:after="0" w:line="7" w:lineRule="exact"/>
        <w:rPr>
          <w:rFonts w:ascii="Arial" w:cs="Arial" w:eastAsia="Arial" w:hAnsi="Arial"/>
          <w:sz w:val="18"/>
          <w:szCs w:val="18"/>
          <w:b w:val="1"/>
          <w:bCs w:val="1"/>
          <w:color w:val="auto"/>
        </w:rPr>
      </w:pPr>
    </w:p>
    <w:p>
      <w:pPr>
        <w:ind w:left="8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I.R.S. identification nos. of above persons (entities only)</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6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GGCP, Inc.</w:t>
            </w:r>
          </w:p>
        </w:tc>
        <w:tc>
          <w:tcPr>
            <w:tcW w:w="8800" w:type="dxa"/>
            <w:vAlign w:val="bottom"/>
            <w:tcBorders>
              <w:bottom w:val="single" w:sz="8" w:color="auto"/>
            </w:tcBorders>
          </w:tcPr>
          <w:p>
            <w:pPr>
              <w:ind w:left="860"/>
              <w:spacing w:after="0"/>
              <w:rPr>
                <w:sz w:val="20"/>
                <w:szCs w:val="20"/>
                <w:color w:val="auto"/>
              </w:rPr>
            </w:pPr>
            <w:r>
              <w:rPr>
                <w:rFonts w:ascii="Arial" w:cs="Arial" w:eastAsia="Arial" w:hAnsi="Arial"/>
                <w:sz w:val="18"/>
                <w:szCs w:val="18"/>
                <w:b w:val="1"/>
                <w:bCs w:val="1"/>
                <w:color w:val="auto"/>
              </w:rPr>
              <w:t>I.D. No. 13-3056041</w:t>
            </w:r>
          </w:p>
        </w:tc>
      </w:tr>
      <w:tr>
        <w:trPr>
          <w:trHeight w:val="234"/>
        </w:trPr>
        <w:tc>
          <w:tcPr>
            <w:tcW w:w="660" w:type="dxa"/>
            <w:vAlign w:val="bottom"/>
          </w:tcPr>
          <w:p>
            <w:pPr>
              <w:jc w:val="right"/>
              <w:ind w:right="90"/>
              <w:spacing w:after="0"/>
              <w:rPr>
                <w:sz w:val="20"/>
                <w:szCs w:val="20"/>
                <w:color w:val="auto"/>
              </w:rPr>
            </w:pPr>
            <w:r>
              <w:rPr>
                <w:rFonts w:ascii="Arial" w:cs="Arial" w:eastAsia="Arial" w:hAnsi="Arial"/>
                <w:sz w:val="18"/>
                <w:szCs w:val="18"/>
                <w:b w:val="1"/>
                <w:bCs w:val="1"/>
                <w:color w:val="auto"/>
              </w:rPr>
              <w:t>2</w:t>
            </w:r>
          </w:p>
        </w:tc>
        <w:tc>
          <w:tcPr>
            <w:tcW w:w="10760" w:type="dxa"/>
            <w:vAlign w:val="bottom"/>
            <w:gridSpan w:val="2"/>
          </w:tcPr>
          <w:p>
            <w:pPr>
              <w:ind w:left="180"/>
              <w:spacing w:after="0"/>
              <w:rPr>
                <w:sz w:val="20"/>
                <w:szCs w:val="20"/>
                <w:color w:val="auto"/>
              </w:rPr>
            </w:pPr>
            <w:r>
              <w:rPr>
                <w:rFonts w:ascii="Arial" w:cs="Arial" w:eastAsia="Arial" w:hAnsi="Arial"/>
                <w:sz w:val="18"/>
                <w:szCs w:val="18"/>
                <w:b w:val="1"/>
                <w:bCs w:val="1"/>
                <w:color w:val="auto"/>
              </w:rPr>
              <w:t xml:space="preserve">Check the appropriate box if a member of a group </w:t>
            </w:r>
            <w:r>
              <w:rPr>
                <w:rFonts w:ascii="Arial" w:cs="Arial" w:eastAsia="Arial" w:hAnsi="Arial"/>
                <w:sz w:val="14"/>
                <w:szCs w:val="14"/>
                <w:b w:val="1"/>
                <w:bCs w:val="1"/>
                <w:color w:val="auto"/>
              </w:rPr>
              <w:t>(SEE INSTRUCTIONS)</w:t>
            </w:r>
            <w:r>
              <w:rPr>
                <w:rFonts w:ascii="Arial" w:cs="Arial" w:eastAsia="Arial" w:hAnsi="Arial"/>
                <w:sz w:val="18"/>
                <w:szCs w:val="18"/>
                <w:b w:val="1"/>
                <w:bCs w:val="1"/>
                <w:color w:val="auto"/>
              </w:rPr>
              <w:t xml:space="preserve">   (a)</w:t>
            </w:r>
          </w:p>
        </w:tc>
      </w:tr>
    </w:tbl>
    <w:p>
      <w:pPr>
        <w:spacing w:after="0" w:line="396"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ind w:left="840" w:hanging="458"/>
        <w:spacing w:after="0"/>
        <w:tabs>
          <w:tab w:leader="none" w:pos="84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ind w:left="840" w:hanging="458"/>
        <w:spacing w:after="0"/>
        <w:tabs>
          <w:tab w:leader="none" w:pos="84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Source of funds </w:t>
      </w:r>
      <w:r>
        <w:rPr>
          <w:rFonts w:ascii="Arial" w:cs="Arial" w:eastAsia="Arial" w:hAnsi="Arial"/>
          <w:sz w:val="14"/>
          <w:szCs w:val="14"/>
          <w:b w:val="1"/>
          <w:bCs w:val="1"/>
          <w:color w:val="auto"/>
        </w:rPr>
        <w:t>(SEE INSTRUCTIONS)</w:t>
      </w:r>
    </w:p>
    <w:p>
      <w:pPr>
        <w:spacing w:after="0" w:line="27"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4" w:lineRule="exact"/>
        <w:rPr>
          <w:sz w:val="20"/>
          <w:szCs w:val="20"/>
          <w:color w:val="auto"/>
        </w:rPr>
      </w:pPr>
    </w:p>
    <w:p>
      <w:pPr>
        <w:ind w:left="840" w:hanging="458"/>
        <w:spacing w:after="0"/>
        <w:tabs>
          <w:tab w:leader="none" w:pos="84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Check box if disclosure of legal proceedings is required pursuant to items 2 (d) or 2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840" w:right="7840" w:hanging="458"/>
        <w:spacing w:after="0" w:line="282" w:lineRule="auto"/>
        <w:tabs>
          <w:tab w:leader="none" w:pos="84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or place of organization Wyoming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4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 Of</w:t>
            </w:r>
          </w:p>
        </w:tc>
        <w:tc>
          <w:tcPr>
            <w:tcW w:w="14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 7</w:t>
            </w:r>
          </w:p>
        </w:tc>
        <w:tc>
          <w:tcPr>
            <w:tcW w:w="6560" w:type="dxa"/>
            <w:vAlign w:val="bottom"/>
            <w:tcBorders>
              <w:top w:val="single" w:sz="8" w:color="auto"/>
            </w:tcBorders>
          </w:tcPr>
          <w:p>
            <w:pPr>
              <w:ind w:left="118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ind w:left="1180"/>
              <w:spacing w:after="0"/>
              <w:rPr>
                <w:sz w:val="20"/>
                <w:szCs w:val="20"/>
                <w:color w:val="auto"/>
              </w:rPr>
            </w:pPr>
            <w:r>
              <w:rPr>
                <w:rFonts w:ascii="Arial" w:cs="Arial" w:eastAsia="Arial" w:hAnsi="Arial"/>
                <w:sz w:val="18"/>
                <w:szCs w:val="18"/>
                <w:b w:val="1"/>
                <w:bCs w:val="1"/>
                <w:color w:val="auto"/>
              </w:rPr>
              <w:t>None</w:t>
            </w:r>
          </w:p>
        </w:tc>
        <w:tc>
          <w:tcPr>
            <w:tcW w:w="0" w:type="dxa"/>
            <w:vAlign w:val="bottom"/>
          </w:tcPr>
          <w:p>
            <w:pPr>
              <w:spacing w:after="0"/>
              <w:rPr>
                <w:sz w:val="1"/>
                <w:szCs w:val="1"/>
                <w:color w:val="auto"/>
              </w:rPr>
            </w:pPr>
          </w:p>
        </w:tc>
      </w:tr>
      <w:tr>
        <w:trPr>
          <w:trHeight w:val="241"/>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Beneficially</w:t>
            </w:r>
          </w:p>
        </w:tc>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440" w:type="dxa"/>
            <w:vAlign w:val="bottom"/>
            <w:vMerge w:val="continue"/>
          </w:tcPr>
          <w:p>
            <w:pPr>
              <w:spacing w:after="0"/>
              <w:rPr>
                <w:sz w:val="17"/>
                <w:szCs w:val="17"/>
                <w:color w:val="auto"/>
              </w:rPr>
            </w:pPr>
          </w:p>
        </w:tc>
        <w:tc>
          <w:tcPr>
            <w:tcW w:w="1420" w:type="dxa"/>
            <w:vAlign w:val="bottom"/>
          </w:tcPr>
          <w:p>
            <w:pPr>
              <w:spacing w:after="0" w:line="198" w:lineRule="exact"/>
              <w:rPr>
                <w:sz w:val="20"/>
                <w:szCs w:val="20"/>
                <w:color w:val="auto"/>
              </w:rPr>
            </w:pPr>
            <w:r>
              <w:rPr>
                <w:rFonts w:ascii="Arial" w:cs="Arial" w:eastAsia="Arial" w:hAnsi="Arial"/>
                <w:sz w:val="18"/>
                <w:szCs w:val="18"/>
                <w:b w:val="1"/>
                <w:bCs w:val="1"/>
                <w:color w:val="auto"/>
              </w:rPr>
              <w:t>: 8</w:t>
            </w:r>
          </w:p>
        </w:tc>
        <w:tc>
          <w:tcPr>
            <w:tcW w:w="6560" w:type="dxa"/>
            <w:vAlign w:val="bottom"/>
          </w:tcPr>
          <w:p>
            <w:pPr>
              <w:ind w:left="1180"/>
              <w:spacing w:after="0" w:line="198" w:lineRule="exact"/>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Owned</w:t>
            </w: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vMerge w:val="continue"/>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ind w:left="1180"/>
              <w:spacing w:after="0"/>
              <w:rPr>
                <w:sz w:val="20"/>
                <w:szCs w:val="20"/>
                <w:color w:val="auto"/>
              </w:rPr>
            </w:pPr>
            <w:r>
              <w:rPr>
                <w:rFonts w:ascii="Arial" w:cs="Arial" w:eastAsia="Arial" w:hAnsi="Arial"/>
                <w:sz w:val="18"/>
                <w:szCs w:val="18"/>
                <w:b w:val="1"/>
                <w:bCs w:val="1"/>
                <w:color w:val="auto"/>
              </w:rPr>
              <w:t>None</w:t>
            </w:r>
          </w:p>
        </w:tc>
        <w:tc>
          <w:tcPr>
            <w:tcW w:w="0" w:type="dxa"/>
            <w:vAlign w:val="bottom"/>
          </w:tcPr>
          <w:p>
            <w:pPr>
              <w:spacing w:after="0"/>
              <w:rPr>
                <w:sz w:val="1"/>
                <w:szCs w:val="1"/>
                <w:color w:val="auto"/>
              </w:rPr>
            </w:pPr>
          </w:p>
        </w:tc>
      </w:tr>
      <w:tr>
        <w:trPr>
          <w:trHeight w:val="241"/>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By Each</w:t>
            </w:r>
          </w:p>
        </w:tc>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440" w:type="dxa"/>
            <w:vAlign w:val="bottom"/>
            <w:vMerge w:val="continue"/>
          </w:tcPr>
          <w:p>
            <w:pPr>
              <w:spacing w:after="0"/>
              <w:rPr>
                <w:sz w:val="17"/>
                <w:szCs w:val="17"/>
                <w:color w:val="auto"/>
              </w:rPr>
            </w:pPr>
          </w:p>
        </w:tc>
        <w:tc>
          <w:tcPr>
            <w:tcW w:w="1420" w:type="dxa"/>
            <w:vAlign w:val="bottom"/>
          </w:tcPr>
          <w:p>
            <w:pPr>
              <w:spacing w:after="0" w:line="198" w:lineRule="exact"/>
              <w:rPr>
                <w:sz w:val="20"/>
                <w:szCs w:val="20"/>
                <w:color w:val="auto"/>
              </w:rPr>
            </w:pPr>
            <w:r>
              <w:rPr>
                <w:rFonts w:ascii="Arial" w:cs="Arial" w:eastAsia="Arial" w:hAnsi="Arial"/>
                <w:sz w:val="18"/>
                <w:szCs w:val="18"/>
                <w:b w:val="1"/>
                <w:bCs w:val="1"/>
                <w:color w:val="auto"/>
              </w:rPr>
              <w:t>: 9</w:t>
            </w:r>
          </w:p>
        </w:tc>
        <w:tc>
          <w:tcPr>
            <w:tcW w:w="6560" w:type="dxa"/>
            <w:vAlign w:val="bottom"/>
          </w:tcPr>
          <w:p>
            <w:pPr>
              <w:ind w:left="1180"/>
              <w:spacing w:after="0" w:line="198"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Reporting</w:t>
            </w: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vMerge w:val="continue"/>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ind w:left="1180"/>
              <w:spacing w:after="0"/>
              <w:rPr>
                <w:sz w:val="20"/>
                <w:szCs w:val="20"/>
                <w:color w:val="auto"/>
              </w:rPr>
            </w:pPr>
            <w:r>
              <w:rPr>
                <w:rFonts w:ascii="Arial" w:cs="Arial" w:eastAsia="Arial" w:hAnsi="Arial"/>
                <w:sz w:val="18"/>
                <w:szCs w:val="18"/>
                <w:b w:val="1"/>
                <w:bCs w:val="1"/>
                <w:color w:val="auto"/>
              </w:rPr>
              <w:t>None</w:t>
            </w:r>
          </w:p>
        </w:tc>
        <w:tc>
          <w:tcPr>
            <w:tcW w:w="0" w:type="dxa"/>
            <w:vAlign w:val="bottom"/>
          </w:tcPr>
          <w:p>
            <w:pPr>
              <w:spacing w:after="0"/>
              <w:rPr>
                <w:sz w:val="1"/>
                <w:szCs w:val="1"/>
                <w:color w:val="auto"/>
              </w:rPr>
            </w:pPr>
          </w:p>
        </w:tc>
      </w:tr>
      <w:tr>
        <w:trPr>
          <w:trHeight w:val="241"/>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5"/>
              </w:rPr>
              <w:t>Person</w:t>
            </w:r>
          </w:p>
        </w:tc>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3440" w:type="dxa"/>
            <w:vAlign w:val="bottom"/>
            <w:vMerge w:val="continue"/>
          </w:tcPr>
          <w:p>
            <w:pPr>
              <w:spacing w:after="0"/>
              <w:rPr>
                <w:sz w:val="11"/>
                <w:szCs w:val="11"/>
                <w:color w:val="auto"/>
              </w:rPr>
            </w:pPr>
          </w:p>
        </w:tc>
        <w:tc>
          <w:tcPr>
            <w:tcW w:w="1420" w:type="dxa"/>
            <w:vAlign w:val="bottom"/>
            <w:vMerge w:val="restart"/>
          </w:tcPr>
          <w:p>
            <w:pPr>
              <w:spacing w:after="0" w:line="198" w:lineRule="exact"/>
              <w:rPr>
                <w:sz w:val="20"/>
                <w:szCs w:val="20"/>
                <w:color w:val="auto"/>
              </w:rPr>
            </w:pPr>
            <w:r>
              <w:rPr>
                <w:rFonts w:ascii="Arial" w:cs="Arial" w:eastAsia="Arial" w:hAnsi="Arial"/>
                <w:sz w:val="18"/>
                <w:szCs w:val="18"/>
                <w:b w:val="1"/>
                <w:bCs w:val="1"/>
                <w:color w:val="auto"/>
              </w:rPr>
              <w:t>:10</w:t>
            </w:r>
          </w:p>
        </w:tc>
        <w:tc>
          <w:tcPr>
            <w:tcW w:w="6560" w:type="dxa"/>
            <w:vAlign w:val="bottom"/>
            <w:vMerge w:val="restart"/>
          </w:tcPr>
          <w:p>
            <w:pPr>
              <w:ind w:left="1180"/>
              <w:spacing w:after="0" w:line="198" w:lineRule="exact"/>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63"/>
        </w:trPr>
        <w:tc>
          <w:tcPr>
            <w:tcW w:w="3440" w:type="dxa"/>
            <w:vAlign w:val="bottom"/>
          </w:tcPr>
          <w:p>
            <w:pPr>
              <w:spacing w:after="0"/>
              <w:rPr>
                <w:sz w:val="5"/>
                <w:szCs w:val="5"/>
                <w:color w:val="auto"/>
              </w:rPr>
            </w:pPr>
          </w:p>
        </w:tc>
        <w:tc>
          <w:tcPr>
            <w:tcW w:w="1420" w:type="dxa"/>
            <w:vAlign w:val="bottom"/>
            <w:vMerge w:val="continue"/>
          </w:tcPr>
          <w:p>
            <w:pPr>
              <w:spacing w:after="0"/>
              <w:rPr>
                <w:sz w:val="5"/>
                <w:szCs w:val="5"/>
                <w:color w:val="auto"/>
              </w:rPr>
            </w:pPr>
          </w:p>
        </w:tc>
        <w:tc>
          <w:tcPr>
            <w:tcW w:w="6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With</w:t>
            </w: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3440" w:type="dxa"/>
            <w:vAlign w:val="bottom"/>
            <w:vMerge w:val="continue"/>
          </w:tcPr>
          <w:p>
            <w:pPr>
              <w:spacing w:after="0"/>
              <w:rPr>
                <w:sz w:val="13"/>
                <w:szCs w:val="13"/>
                <w:color w:val="auto"/>
              </w:rPr>
            </w:pPr>
          </w:p>
        </w:tc>
        <w:tc>
          <w:tcPr>
            <w:tcW w:w="142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vMerge w:val="restart"/>
          </w:tcPr>
          <w:p>
            <w:pPr>
              <w:ind w:left="1180"/>
              <w:spacing w:after="0"/>
              <w:rPr>
                <w:sz w:val="20"/>
                <w:szCs w:val="20"/>
                <w:color w:val="auto"/>
              </w:rPr>
            </w:pPr>
            <w:r>
              <w:rPr>
                <w:rFonts w:ascii="Arial" w:cs="Arial" w:eastAsia="Arial" w:hAnsi="Arial"/>
                <w:sz w:val="18"/>
                <w:szCs w:val="18"/>
                <w:b w:val="1"/>
                <w:bCs w:val="1"/>
                <w:color w:val="auto"/>
              </w:rPr>
              <w:t>None</w:t>
            </w:r>
          </w:p>
        </w:tc>
        <w:tc>
          <w:tcPr>
            <w:tcW w:w="0" w:type="dxa"/>
            <w:vAlign w:val="bottom"/>
          </w:tcPr>
          <w:p>
            <w:pPr>
              <w:spacing w:after="0"/>
              <w:rPr>
                <w:sz w:val="1"/>
                <w:szCs w:val="1"/>
                <w:color w:val="auto"/>
              </w:rPr>
            </w:pPr>
          </w:p>
        </w:tc>
      </w:tr>
      <w:tr>
        <w:trPr>
          <w:trHeight w:val="63"/>
        </w:trPr>
        <w:tc>
          <w:tcPr>
            <w:tcW w:w="3440" w:type="dxa"/>
            <w:vAlign w:val="bottom"/>
          </w:tcPr>
          <w:p>
            <w:pPr>
              <w:spacing w:after="0"/>
              <w:rPr>
                <w:sz w:val="5"/>
                <w:szCs w:val="5"/>
                <w:color w:val="auto"/>
              </w:rPr>
            </w:pPr>
          </w:p>
        </w:tc>
        <w:tc>
          <w:tcPr>
            <w:tcW w:w="1420" w:type="dxa"/>
            <w:vAlign w:val="bottom"/>
            <w:vMerge w:val="continue"/>
          </w:tcPr>
          <w:p>
            <w:pPr>
              <w:spacing w:after="0"/>
              <w:rPr>
                <w:sz w:val="5"/>
                <w:szCs w:val="5"/>
                <w:color w:val="auto"/>
              </w:rPr>
            </w:pPr>
          </w:p>
        </w:tc>
        <w:tc>
          <w:tcPr>
            <w:tcW w:w="6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3440" w:type="dxa"/>
            <w:vAlign w:val="bottom"/>
          </w:tcPr>
          <w:p>
            <w:pPr>
              <w:spacing w:after="0"/>
              <w:rPr>
                <w:sz w:val="20"/>
                <w:szCs w:val="20"/>
                <w:color w:val="auto"/>
              </w:rPr>
            </w:pP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840" w:right="5720" w:hanging="832"/>
        <w:spacing w:after="0" w:line="516" w:lineRule="auto"/>
        <w:tabs>
          <w:tab w:leader="none" w:pos="84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Aggregate amount beneficially owned by each reporting person None</w:t>
      </w:r>
    </w:p>
    <w:p>
      <w:pPr>
        <w:spacing w:after="0" w:line="1" w:lineRule="exact"/>
        <w:rPr>
          <w:rFonts w:ascii="Arial" w:cs="Arial" w:eastAsia="Arial" w:hAnsi="Arial"/>
          <w:sz w:val="18"/>
          <w:szCs w:val="18"/>
          <w:b w:val="1"/>
          <w:bCs w:val="1"/>
          <w:color w:val="auto"/>
        </w:rPr>
      </w:pPr>
    </w:p>
    <w:p>
      <w:pPr>
        <w:ind w:left="8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Check box if the aggregate amount in row (11) excludes certain shares</w:t>
      </w:r>
    </w:p>
    <w:p>
      <w:pPr>
        <w:spacing w:after="0" w:line="20" w:lineRule="exact"/>
        <w:rPr>
          <w:rFonts w:ascii="Arial" w:cs="Arial" w:eastAsia="Arial" w:hAnsi="Arial"/>
          <w:sz w:val="18"/>
          <w:szCs w:val="18"/>
          <w:b w:val="1"/>
          <w:bCs w:val="1"/>
          <w:color w:val="auto"/>
        </w:rPr>
      </w:pPr>
    </w:p>
    <w:p>
      <w:pPr>
        <w:ind w:left="840" w:hanging="832"/>
        <w:spacing w:after="0" w:line="187" w:lineRule="auto"/>
        <w:tabs>
          <w:tab w:leader="none" w:pos="840" w:val="left"/>
        </w:tabs>
        <w:numPr>
          <w:ilvl w:val="0"/>
          <w:numId w:val="25"/>
        </w:numPr>
        <w:rPr>
          <w:rFonts w:ascii="Arial" w:cs="Arial" w:eastAsia="Arial" w:hAnsi="Arial"/>
          <w:sz w:val="19"/>
          <w:szCs w:val="19"/>
          <w:b w:val="1"/>
          <w:bCs w:val="1"/>
          <w:color w:val="auto"/>
          <w:vertAlign w:val="subscript"/>
        </w:rPr>
      </w:pPr>
      <w:r>
        <w:rPr>
          <w:rFonts w:ascii="Arial" w:cs="Arial" w:eastAsia="Arial" w:hAnsi="Arial"/>
          <w:sz w:val="11"/>
          <w:szCs w:val="11"/>
          <w:b w:val="1"/>
          <w:bCs w:val="1"/>
          <w:color w:val="auto"/>
        </w:rPr>
        <w:t>(SEE INSTRUCTIONS) X</w:t>
      </w:r>
    </w:p>
    <w:p>
      <w:pPr>
        <w:spacing w:after="0" w:line="200" w:lineRule="exact"/>
        <w:rPr>
          <w:rFonts w:ascii="Arial" w:cs="Arial" w:eastAsia="Arial" w:hAnsi="Arial"/>
          <w:sz w:val="19"/>
          <w:szCs w:val="19"/>
          <w:b w:val="1"/>
          <w:bCs w:val="1"/>
          <w:color w:val="auto"/>
          <w:vertAlign w:val="subscript"/>
        </w:rPr>
      </w:pPr>
    </w:p>
    <w:p>
      <w:pPr>
        <w:spacing w:after="0" w:line="200" w:lineRule="exact"/>
        <w:rPr>
          <w:rFonts w:ascii="Arial" w:cs="Arial" w:eastAsia="Arial" w:hAnsi="Arial"/>
          <w:sz w:val="19"/>
          <w:szCs w:val="19"/>
          <w:b w:val="1"/>
          <w:bCs w:val="1"/>
          <w:color w:val="auto"/>
          <w:vertAlign w:val="subscript"/>
        </w:rPr>
      </w:pPr>
    </w:p>
    <w:p>
      <w:pPr>
        <w:spacing w:after="0" w:line="322" w:lineRule="exact"/>
        <w:rPr>
          <w:rFonts w:ascii="Arial" w:cs="Arial" w:eastAsia="Arial" w:hAnsi="Arial"/>
          <w:sz w:val="19"/>
          <w:szCs w:val="19"/>
          <w:b w:val="1"/>
          <w:bCs w:val="1"/>
          <w:color w:val="auto"/>
          <w:vertAlign w:val="subscript"/>
        </w:rPr>
      </w:pPr>
    </w:p>
    <w:p>
      <w:pPr>
        <w:ind w:left="840" w:right="6700" w:hanging="832"/>
        <w:spacing w:after="0" w:line="363" w:lineRule="auto"/>
        <w:tabs>
          <w:tab w:leader="none" w:pos="840" w:val="left"/>
        </w:tabs>
        <w:numPr>
          <w:ilvl w:val="0"/>
          <w:numId w:val="25"/>
        </w:numPr>
        <w:rPr>
          <w:rFonts w:ascii="Arial" w:cs="Arial" w:eastAsia="Arial" w:hAnsi="Arial"/>
          <w:sz w:val="29"/>
          <w:szCs w:val="29"/>
          <w:b w:val="1"/>
          <w:bCs w:val="1"/>
          <w:color w:val="auto"/>
          <w:vertAlign w:val="superscript"/>
        </w:rPr>
      </w:pPr>
      <w:r>
        <w:rPr>
          <w:rFonts w:ascii="Arial" w:cs="Arial" w:eastAsia="Arial" w:hAnsi="Arial"/>
          <w:sz w:val="18"/>
          <w:szCs w:val="18"/>
          <w:b w:val="1"/>
          <w:bCs w:val="1"/>
          <w:color w:val="auto"/>
        </w:rPr>
        <w:t>Percent of class represented by amount in row (11) 0.00%</w:t>
      </w:r>
    </w:p>
    <w:p>
      <w:pPr>
        <w:ind w:left="840" w:hanging="832"/>
        <w:spacing w:after="0"/>
        <w:tabs>
          <w:tab w:leader="none" w:pos="840" w:val="left"/>
        </w:tabs>
        <w:numPr>
          <w:ilvl w:val="0"/>
          <w:numId w:val="25"/>
        </w:numPr>
        <w:rPr>
          <w:rFonts w:ascii="Arial" w:cs="Arial" w:eastAsia="Arial" w:hAnsi="Arial"/>
          <w:sz w:val="29"/>
          <w:szCs w:val="29"/>
          <w:b w:val="1"/>
          <w:bCs w:val="1"/>
          <w:color w:val="auto"/>
          <w:vertAlign w:val="superscript"/>
        </w:rPr>
      </w:pPr>
      <w:r>
        <w:rPr>
          <w:rFonts w:ascii="Arial" w:cs="Arial" w:eastAsia="Arial" w:hAnsi="Arial"/>
          <w:sz w:val="18"/>
          <w:szCs w:val="18"/>
          <w:b w:val="1"/>
          <w:bCs w:val="1"/>
          <w:color w:val="auto"/>
        </w:rPr>
        <w:t xml:space="preserve">Type of reporting person </w:t>
      </w:r>
      <w:r>
        <w:rPr>
          <w:rFonts w:ascii="Arial" w:cs="Arial" w:eastAsia="Arial" w:hAnsi="Arial"/>
          <w:sz w:val="14"/>
          <w:szCs w:val="14"/>
          <w:b w:val="1"/>
          <w:bCs w:val="1"/>
          <w:color w:val="auto"/>
        </w:rPr>
        <w:t>(SEE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-1388745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-676910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1020"/>
        <w:spacing w:after="0"/>
        <w:rPr>
          <w:sz w:val="20"/>
          <w:szCs w:val="20"/>
          <w:color w:val="auto"/>
        </w:rPr>
      </w:pPr>
      <w:r>
        <w:rPr>
          <w:rFonts w:ascii="Arial" w:cs="Arial" w:eastAsia="Arial" w:hAnsi="Arial"/>
          <w:sz w:val="18"/>
          <w:szCs w:val="18"/>
          <w:b w:val="1"/>
          <w:bCs w:val="1"/>
          <w:color w:val="auto"/>
        </w:rPr>
        <w:t>HC,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5" w:name="page6"/>
    <w:bookmarkEnd w:id="5"/>
    <w:p>
      <w:pPr>
        <w:spacing w:after="0"/>
        <w:rPr>
          <w:sz w:val="20"/>
          <w:szCs w:val="20"/>
          <w:color w:val="auto"/>
        </w:rPr>
      </w:pPr>
      <w:r>
        <w:rPr>
          <w:rFonts w:ascii="Arial" w:cs="Arial" w:eastAsia="Arial" w:hAnsi="Arial"/>
          <w:sz w:val="22"/>
          <w:szCs w:val="22"/>
          <w:color w:val="auto"/>
        </w:rPr>
        <w:t>CUSIP No. 677864100</w:t>
      </w:r>
    </w:p>
    <w:p>
      <w:pPr>
        <w:spacing w:after="0" w:line="13" w:lineRule="exact"/>
        <w:rPr>
          <w:sz w:val="20"/>
          <w:szCs w:val="20"/>
          <w:color w:val="auto"/>
        </w:rPr>
      </w:pPr>
    </w:p>
    <w:p>
      <w:pPr>
        <w:ind w:left="840" w:hanging="458"/>
        <w:spacing w:after="0"/>
        <w:tabs>
          <w:tab w:leader="none" w:pos="84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Names of reporting persons</w:t>
      </w:r>
    </w:p>
    <w:p>
      <w:pPr>
        <w:spacing w:after="0" w:line="7" w:lineRule="exact"/>
        <w:rPr>
          <w:rFonts w:ascii="Arial" w:cs="Arial" w:eastAsia="Arial" w:hAnsi="Arial"/>
          <w:sz w:val="18"/>
          <w:szCs w:val="18"/>
          <w:b w:val="1"/>
          <w:bCs w:val="1"/>
          <w:color w:val="auto"/>
        </w:rPr>
      </w:pPr>
    </w:p>
    <w:p>
      <w:pPr>
        <w:ind w:left="8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I.R.S. identification nos. of above persons (entities only)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60" w:type="dxa"/>
            <w:vAlign w:val="bottom"/>
            <w:tcBorders>
              <w:bottom w:val="single" w:sz="8" w:color="auto"/>
            </w:tcBorders>
          </w:tcPr>
          <w:p>
            <w:pPr>
              <w:spacing w:after="0"/>
              <w:rPr>
                <w:sz w:val="20"/>
                <w:szCs w:val="20"/>
                <w:color w:val="auto"/>
              </w:rPr>
            </w:pPr>
          </w:p>
        </w:tc>
        <w:tc>
          <w:tcPr>
            <w:tcW w:w="570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GAMCO Investors, Inc.</w:t>
            </w:r>
          </w:p>
        </w:tc>
        <w:tc>
          <w:tcPr>
            <w:tcW w:w="5060" w:type="dxa"/>
            <w:vAlign w:val="bottom"/>
            <w:tcBorders>
              <w:bottom w:val="single" w:sz="8" w:color="auto"/>
            </w:tcBorders>
          </w:tcPr>
          <w:p>
            <w:pPr>
              <w:ind w:left="1520"/>
              <w:spacing w:after="0"/>
              <w:rPr>
                <w:sz w:val="20"/>
                <w:szCs w:val="20"/>
                <w:color w:val="auto"/>
              </w:rPr>
            </w:pPr>
            <w:r>
              <w:rPr>
                <w:rFonts w:ascii="Arial" w:cs="Arial" w:eastAsia="Arial" w:hAnsi="Arial"/>
                <w:sz w:val="18"/>
                <w:szCs w:val="18"/>
                <w:b w:val="1"/>
                <w:bCs w:val="1"/>
                <w:color w:val="auto"/>
              </w:rPr>
              <w:t>I.D. No. 13-4007862</w:t>
            </w:r>
          </w:p>
        </w:tc>
      </w:tr>
      <w:tr>
        <w:trPr>
          <w:trHeight w:val="234"/>
        </w:trPr>
        <w:tc>
          <w:tcPr>
            <w:tcW w:w="660" w:type="dxa"/>
            <w:vAlign w:val="bottom"/>
          </w:tcPr>
          <w:p>
            <w:pPr>
              <w:jc w:val="right"/>
              <w:ind w:right="90"/>
              <w:spacing w:after="0"/>
              <w:rPr>
                <w:sz w:val="20"/>
                <w:szCs w:val="20"/>
                <w:color w:val="auto"/>
              </w:rPr>
            </w:pPr>
            <w:r>
              <w:rPr>
                <w:rFonts w:ascii="Arial" w:cs="Arial" w:eastAsia="Arial" w:hAnsi="Arial"/>
                <w:sz w:val="18"/>
                <w:szCs w:val="18"/>
                <w:b w:val="1"/>
                <w:bCs w:val="1"/>
                <w:color w:val="auto"/>
              </w:rPr>
              <w:t>2</w:t>
            </w:r>
          </w:p>
        </w:tc>
        <w:tc>
          <w:tcPr>
            <w:tcW w:w="5700" w:type="dxa"/>
            <w:vAlign w:val="bottom"/>
          </w:tcPr>
          <w:p>
            <w:pPr>
              <w:ind w:left="180"/>
              <w:spacing w:after="0"/>
              <w:rPr>
                <w:sz w:val="20"/>
                <w:szCs w:val="20"/>
                <w:color w:val="auto"/>
              </w:rPr>
            </w:pPr>
            <w:r>
              <w:rPr>
                <w:rFonts w:ascii="Arial" w:cs="Arial" w:eastAsia="Arial" w:hAnsi="Arial"/>
                <w:sz w:val="18"/>
                <w:szCs w:val="18"/>
                <w:b w:val="1"/>
                <w:bCs w:val="1"/>
                <w:color w:val="auto"/>
                <w:w w:val="95"/>
              </w:rPr>
              <w:t xml:space="preserve">Check the appropriate box if a member of a group </w:t>
            </w:r>
            <w:r>
              <w:rPr>
                <w:rFonts w:ascii="Arial" w:cs="Arial" w:eastAsia="Arial" w:hAnsi="Arial"/>
                <w:sz w:val="14"/>
                <w:szCs w:val="14"/>
                <w:b w:val="1"/>
                <w:bCs w:val="1"/>
                <w:color w:val="auto"/>
                <w:w w:val="95"/>
              </w:rPr>
              <w:t>(SEE INSTRUCTIONS)</w:t>
            </w:r>
          </w:p>
        </w:tc>
        <w:tc>
          <w:tcPr>
            <w:tcW w:w="5060" w:type="dxa"/>
            <w:vAlign w:val="bottom"/>
          </w:tcPr>
          <w:p>
            <w:pPr>
              <w:ind w:left="120"/>
              <w:spacing w:after="0"/>
              <w:rPr>
                <w:sz w:val="20"/>
                <w:szCs w:val="20"/>
                <w:color w:val="auto"/>
              </w:rPr>
            </w:pPr>
            <w:r>
              <w:rPr>
                <w:rFonts w:ascii="Arial" w:cs="Arial" w:eastAsia="Arial" w:hAnsi="Arial"/>
                <w:sz w:val="18"/>
                <w:szCs w:val="18"/>
                <w:b w:val="1"/>
                <w:bCs w:val="1"/>
                <w:color w:val="auto"/>
              </w:rPr>
              <w:t>(a)</w:t>
            </w:r>
          </w:p>
        </w:tc>
      </w:tr>
    </w:tbl>
    <w:p>
      <w:pPr>
        <w:spacing w:after="0" w:line="396"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ind w:left="840" w:hanging="458"/>
        <w:spacing w:after="0"/>
        <w:tabs>
          <w:tab w:leader="none" w:pos="84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ind w:left="840" w:hanging="458"/>
        <w:spacing w:after="0"/>
        <w:tabs>
          <w:tab w:leader="none" w:pos="84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Source of funds </w:t>
      </w:r>
      <w:r>
        <w:rPr>
          <w:rFonts w:ascii="Arial" w:cs="Arial" w:eastAsia="Arial" w:hAnsi="Arial"/>
          <w:sz w:val="14"/>
          <w:szCs w:val="14"/>
          <w:b w:val="1"/>
          <w:bCs w:val="1"/>
          <w:color w:val="auto"/>
        </w:rPr>
        <w:t>(SEE INSTRUCTIONS)</w:t>
      </w:r>
    </w:p>
    <w:p>
      <w:pPr>
        <w:spacing w:after="0" w:line="27" w:lineRule="exact"/>
        <w:rPr>
          <w:sz w:val="20"/>
          <w:szCs w:val="20"/>
          <w:color w:val="auto"/>
        </w:rPr>
      </w:pPr>
    </w:p>
    <w:p>
      <w:pPr>
        <w:ind w:left="840"/>
        <w:spacing w:after="0"/>
        <w:rPr>
          <w:sz w:val="20"/>
          <w:szCs w:val="20"/>
          <w:color w:val="auto"/>
        </w:rPr>
      </w:pPr>
      <w:r>
        <w:rPr>
          <w:rFonts w:ascii="Arial" w:cs="Arial" w:eastAsia="Arial" w:hAnsi="Arial"/>
          <w:sz w:val="18"/>
          <w:szCs w:val="18"/>
          <w:b w:val="1"/>
          <w:bCs w:val="1"/>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4" w:lineRule="exact"/>
        <w:rPr>
          <w:sz w:val="20"/>
          <w:szCs w:val="20"/>
          <w:color w:val="auto"/>
        </w:rPr>
      </w:pPr>
    </w:p>
    <w:p>
      <w:pPr>
        <w:ind w:left="840" w:hanging="458"/>
        <w:spacing w:after="0"/>
        <w:tabs>
          <w:tab w:leader="none" w:pos="84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Check box if disclosure of legal proceedings is required pursuant to items 2 (d) or 2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980" w:right="7840" w:hanging="598"/>
        <w:spacing w:after="0" w:line="282" w:lineRule="auto"/>
        <w:tabs>
          <w:tab w:leader="none" w:pos="845"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or place of organization Delaware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4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 Of</w:t>
            </w:r>
          </w:p>
        </w:tc>
        <w:tc>
          <w:tcPr>
            <w:tcW w:w="14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 7</w:t>
            </w:r>
          </w:p>
        </w:tc>
        <w:tc>
          <w:tcPr>
            <w:tcW w:w="6560" w:type="dxa"/>
            <w:vAlign w:val="bottom"/>
            <w:tcBorders>
              <w:top w:val="single" w:sz="8" w:color="auto"/>
            </w:tcBorders>
          </w:tcPr>
          <w:p>
            <w:pPr>
              <w:ind w:left="118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ind w:left="1180"/>
              <w:spacing w:after="0"/>
              <w:rPr>
                <w:sz w:val="20"/>
                <w:szCs w:val="20"/>
                <w:color w:val="auto"/>
              </w:rPr>
            </w:pPr>
            <w:r>
              <w:rPr>
                <w:rFonts w:ascii="Arial" w:cs="Arial" w:eastAsia="Arial" w:hAnsi="Arial"/>
                <w:sz w:val="18"/>
                <w:szCs w:val="18"/>
                <w:b w:val="1"/>
                <w:bCs w:val="1"/>
                <w:color w:val="auto"/>
              </w:rPr>
              <w:t>None  (Item 5)</w:t>
            </w:r>
          </w:p>
        </w:tc>
        <w:tc>
          <w:tcPr>
            <w:tcW w:w="0" w:type="dxa"/>
            <w:vAlign w:val="bottom"/>
          </w:tcPr>
          <w:p>
            <w:pPr>
              <w:spacing w:after="0"/>
              <w:rPr>
                <w:sz w:val="1"/>
                <w:szCs w:val="1"/>
                <w:color w:val="auto"/>
              </w:rPr>
            </w:pPr>
          </w:p>
        </w:tc>
      </w:tr>
      <w:tr>
        <w:trPr>
          <w:trHeight w:val="241"/>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Beneficially</w:t>
            </w:r>
          </w:p>
        </w:tc>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440" w:type="dxa"/>
            <w:vAlign w:val="bottom"/>
            <w:vMerge w:val="continue"/>
          </w:tcPr>
          <w:p>
            <w:pPr>
              <w:spacing w:after="0"/>
              <w:rPr>
                <w:sz w:val="17"/>
                <w:szCs w:val="17"/>
                <w:color w:val="auto"/>
              </w:rPr>
            </w:pPr>
          </w:p>
        </w:tc>
        <w:tc>
          <w:tcPr>
            <w:tcW w:w="1420" w:type="dxa"/>
            <w:vAlign w:val="bottom"/>
          </w:tcPr>
          <w:p>
            <w:pPr>
              <w:spacing w:after="0" w:line="198" w:lineRule="exact"/>
              <w:rPr>
                <w:sz w:val="20"/>
                <w:szCs w:val="20"/>
                <w:color w:val="auto"/>
              </w:rPr>
            </w:pPr>
            <w:r>
              <w:rPr>
                <w:rFonts w:ascii="Arial" w:cs="Arial" w:eastAsia="Arial" w:hAnsi="Arial"/>
                <w:sz w:val="18"/>
                <w:szCs w:val="18"/>
                <w:b w:val="1"/>
                <w:bCs w:val="1"/>
                <w:color w:val="auto"/>
              </w:rPr>
              <w:t>: 8</w:t>
            </w:r>
          </w:p>
        </w:tc>
        <w:tc>
          <w:tcPr>
            <w:tcW w:w="6560" w:type="dxa"/>
            <w:vAlign w:val="bottom"/>
          </w:tcPr>
          <w:p>
            <w:pPr>
              <w:ind w:left="1180"/>
              <w:spacing w:after="0" w:line="198" w:lineRule="exact"/>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Owned</w:t>
            </w: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vMerge w:val="continue"/>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ind w:left="1180"/>
              <w:spacing w:after="0"/>
              <w:rPr>
                <w:sz w:val="20"/>
                <w:szCs w:val="20"/>
                <w:color w:val="auto"/>
              </w:rPr>
            </w:pPr>
            <w:r>
              <w:rPr>
                <w:rFonts w:ascii="Arial" w:cs="Arial" w:eastAsia="Arial" w:hAnsi="Arial"/>
                <w:sz w:val="18"/>
                <w:szCs w:val="18"/>
                <w:b w:val="1"/>
                <w:bCs w:val="1"/>
                <w:color w:val="auto"/>
              </w:rPr>
              <w:t>None</w:t>
            </w:r>
          </w:p>
        </w:tc>
        <w:tc>
          <w:tcPr>
            <w:tcW w:w="0" w:type="dxa"/>
            <w:vAlign w:val="bottom"/>
          </w:tcPr>
          <w:p>
            <w:pPr>
              <w:spacing w:after="0"/>
              <w:rPr>
                <w:sz w:val="1"/>
                <w:szCs w:val="1"/>
                <w:color w:val="auto"/>
              </w:rPr>
            </w:pPr>
          </w:p>
        </w:tc>
      </w:tr>
      <w:tr>
        <w:trPr>
          <w:trHeight w:val="241"/>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By Each</w:t>
            </w:r>
          </w:p>
        </w:tc>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440" w:type="dxa"/>
            <w:vAlign w:val="bottom"/>
            <w:vMerge w:val="continue"/>
          </w:tcPr>
          <w:p>
            <w:pPr>
              <w:spacing w:after="0"/>
              <w:rPr>
                <w:sz w:val="17"/>
                <w:szCs w:val="17"/>
                <w:color w:val="auto"/>
              </w:rPr>
            </w:pPr>
          </w:p>
        </w:tc>
        <w:tc>
          <w:tcPr>
            <w:tcW w:w="1420" w:type="dxa"/>
            <w:vAlign w:val="bottom"/>
          </w:tcPr>
          <w:p>
            <w:pPr>
              <w:spacing w:after="0" w:line="198" w:lineRule="exact"/>
              <w:rPr>
                <w:sz w:val="20"/>
                <w:szCs w:val="20"/>
                <w:color w:val="auto"/>
              </w:rPr>
            </w:pPr>
            <w:r>
              <w:rPr>
                <w:rFonts w:ascii="Arial" w:cs="Arial" w:eastAsia="Arial" w:hAnsi="Arial"/>
                <w:sz w:val="18"/>
                <w:szCs w:val="18"/>
                <w:b w:val="1"/>
                <w:bCs w:val="1"/>
                <w:color w:val="auto"/>
              </w:rPr>
              <w:t>: 9</w:t>
            </w:r>
          </w:p>
        </w:tc>
        <w:tc>
          <w:tcPr>
            <w:tcW w:w="6560" w:type="dxa"/>
            <w:vAlign w:val="bottom"/>
          </w:tcPr>
          <w:p>
            <w:pPr>
              <w:ind w:left="1180"/>
              <w:spacing w:after="0" w:line="198"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Reporting</w:t>
            </w: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vMerge w:val="continue"/>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ind w:left="1180"/>
              <w:spacing w:after="0"/>
              <w:rPr>
                <w:sz w:val="20"/>
                <w:szCs w:val="20"/>
                <w:color w:val="auto"/>
              </w:rPr>
            </w:pPr>
            <w:r>
              <w:rPr>
                <w:rFonts w:ascii="Arial" w:cs="Arial" w:eastAsia="Arial" w:hAnsi="Arial"/>
                <w:sz w:val="18"/>
                <w:szCs w:val="18"/>
                <w:b w:val="1"/>
                <w:bCs w:val="1"/>
                <w:color w:val="auto"/>
              </w:rPr>
              <w:t>None  (Item 5)</w:t>
            </w:r>
          </w:p>
        </w:tc>
        <w:tc>
          <w:tcPr>
            <w:tcW w:w="0" w:type="dxa"/>
            <w:vAlign w:val="bottom"/>
          </w:tcPr>
          <w:p>
            <w:pPr>
              <w:spacing w:after="0"/>
              <w:rPr>
                <w:sz w:val="1"/>
                <w:szCs w:val="1"/>
                <w:color w:val="auto"/>
              </w:rPr>
            </w:pPr>
          </w:p>
        </w:tc>
      </w:tr>
      <w:tr>
        <w:trPr>
          <w:trHeight w:val="241"/>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5"/>
              </w:rPr>
              <w:t>Person</w:t>
            </w:r>
          </w:p>
        </w:tc>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3440" w:type="dxa"/>
            <w:vAlign w:val="bottom"/>
            <w:vMerge w:val="continue"/>
          </w:tcPr>
          <w:p>
            <w:pPr>
              <w:spacing w:after="0"/>
              <w:rPr>
                <w:sz w:val="11"/>
                <w:szCs w:val="11"/>
                <w:color w:val="auto"/>
              </w:rPr>
            </w:pPr>
          </w:p>
        </w:tc>
        <w:tc>
          <w:tcPr>
            <w:tcW w:w="1420" w:type="dxa"/>
            <w:vAlign w:val="bottom"/>
            <w:vMerge w:val="restart"/>
          </w:tcPr>
          <w:p>
            <w:pPr>
              <w:spacing w:after="0" w:line="198" w:lineRule="exact"/>
              <w:rPr>
                <w:sz w:val="20"/>
                <w:szCs w:val="20"/>
                <w:color w:val="auto"/>
              </w:rPr>
            </w:pPr>
            <w:r>
              <w:rPr>
                <w:rFonts w:ascii="Arial" w:cs="Arial" w:eastAsia="Arial" w:hAnsi="Arial"/>
                <w:sz w:val="18"/>
                <w:szCs w:val="18"/>
                <w:b w:val="1"/>
                <w:bCs w:val="1"/>
                <w:color w:val="auto"/>
              </w:rPr>
              <w:t>:10</w:t>
            </w:r>
          </w:p>
        </w:tc>
        <w:tc>
          <w:tcPr>
            <w:tcW w:w="6560" w:type="dxa"/>
            <w:vAlign w:val="bottom"/>
            <w:vMerge w:val="restart"/>
          </w:tcPr>
          <w:p>
            <w:pPr>
              <w:ind w:left="1180"/>
              <w:spacing w:after="0" w:line="198" w:lineRule="exact"/>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63"/>
        </w:trPr>
        <w:tc>
          <w:tcPr>
            <w:tcW w:w="3440" w:type="dxa"/>
            <w:vAlign w:val="bottom"/>
          </w:tcPr>
          <w:p>
            <w:pPr>
              <w:spacing w:after="0"/>
              <w:rPr>
                <w:sz w:val="5"/>
                <w:szCs w:val="5"/>
                <w:color w:val="auto"/>
              </w:rPr>
            </w:pPr>
          </w:p>
        </w:tc>
        <w:tc>
          <w:tcPr>
            <w:tcW w:w="1420" w:type="dxa"/>
            <w:vAlign w:val="bottom"/>
            <w:vMerge w:val="continue"/>
          </w:tcPr>
          <w:p>
            <w:pPr>
              <w:spacing w:after="0"/>
              <w:rPr>
                <w:sz w:val="5"/>
                <w:szCs w:val="5"/>
                <w:color w:val="auto"/>
              </w:rPr>
            </w:pPr>
          </w:p>
        </w:tc>
        <w:tc>
          <w:tcPr>
            <w:tcW w:w="6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With</w:t>
            </w: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3440" w:type="dxa"/>
            <w:vAlign w:val="bottom"/>
            <w:vMerge w:val="continue"/>
          </w:tcPr>
          <w:p>
            <w:pPr>
              <w:spacing w:after="0"/>
              <w:rPr>
                <w:sz w:val="13"/>
                <w:szCs w:val="13"/>
                <w:color w:val="auto"/>
              </w:rPr>
            </w:pPr>
          </w:p>
        </w:tc>
        <w:tc>
          <w:tcPr>
            <w:tcW w:w="142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vMerge w:val="restart"/>
          </w:tcPr>
          <w:p>
            <w:pPr>
              <w:ind w:left="1180"/>
              <w:spacing w:after="0"/>
              <w:rPr>
                <w:sz w:val="20"/>
                <w:szCs w:val="20"/>
                <w:color w:val="auto"/>
              </w:rPr>
            </w:pPr>
            <w:r>
              <w:rPr>
                <w:rFonts w:ascii="Arial" w:cs="Arial" w:eastAsia="Arial" w:hAnsi="Arial"/>
                <w:sz w:val="18"/>
                <w:szCs w:val="18"/>
                <w:b w:val="1"/>
                <w:bCs w:val="1"/>
                <w:color w:val="auto"/>
              </w:rPr>
              <w:t>None</w:t>
            </w:r>
          </w:p>
        </w:tc>
        <w:tc>
          <w:tcPr>
            <w:tcW w:w="0" w:type="dxa"/>
            <w:vAlign w:val="bottom"/>
          </w:tcPr>
          <w:p>
            <w:pPr>
              <w:spacing w:after="0"/>
              <w:rPr>
                <w:sz w:val="1"/>
                <w:szCs w:val="1"/>
                <w:color w:val="auto"/>
              </w:rPr>
            </w:pPr>
          </w:p>
        </w:tc>
      </w:tr>
      <w:tr>
        <w:trPr>
          <w:trHeight w:val="63"/>
        </w:trPr>
        <w:tc>
          <w:tcPr>
            <w:tcW w:w="3440" w:type="dxa"/>
            <w:vAlign w:val="bottom"/>
          </w:tcPr>
          <w:p>
            <w:pPr>
              <w:spacing w:after="0"/>
              <w:rPr>
                <w:sz w:val="5"/>
                <w:szCs w:val="5"/>
                <w:color w:val="auto"/>
              </w:rPr>
            </w:pPr>
          </w:p>
        </w:tc>
        <w:tc>
          <w:tcPr>
            <w:tcW w:w="1420" w:type="dxa"/>
            <w:vAlign w:val="bottom"/>
            <w:vMerge w:val="continue"/>
          </w:tcPr>
          <w:p>
            <w:pPr>
              <w:spacing w:after="0"/>
              <w:rPr>
                <w:sz w:val="5"/>
                <w:szCs w:val="5"/>
                <w:color w:val="auto"/>
              </w:rPr>
            </w:pPr>
          </w:p>
        </w:tc>
        <w:tc>
          <w:tcPr>
            <w:tcW w:w="6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3440" w:type="dxa"/>
            <w:vAlign w:val="bottom"/>
          </w:tcPr>
          <w:p>
            <w:pPr>
              <w:spacing w:after="0"/>
              <w:rPr>
                <w:sz w:val="20"/>
                <w:szCs w:val="20"/>
                <w:color w:val="auto"/>
              </w:rPr>
            </w:pP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840" w:right="5720" w:hanging="832"/>
        <w:spacing w:after="0" w:line="516" w:lineRule="auto"/>
        <w:tabs>
          <w:tab w:leader="none" w:pos="84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Aggregate amount beneficially owned by each reporting person None (Item 5)</w:t>
      </w:r>
    </w:p>
    <w:p>
      <w:pPr>
        <w:spacing w:after="0" w:line="1" w:lineRule="exact"/>
        <w:rPr>
          <w:rFonts w:ascii="Arial" w:cs="Arial" w:eastAsia="Arial" w:hAnsi="Arial"/>
          <w:sz w:val="18"/>
          <w:szCs w:val="18"/>
          <w:b w:val="1"/>
          <w:bCs w:val="1"/>
          <w:color w:val="auto"/>
        </w:rPr>
      </w:pPr>
    </w:p>
    <w:p>
      <w:pPr>
        <w:ind w:left="8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Check box if the aggregate amount in row (11) excludes certain shares</w:t>
      </w:r>
    </w:p>
    <w:p>
      <w:pPr>
        <w:spacing w:after="0" w:line="20" w:lineRule="exact"/>
        <w:rPr>
          <w:rFonts w:ascii="Arial" w:cs="Arial" w:eastAsia="Arial" w:hAnsi="Arial"/>
          <w:sz w:val="18"/>
          <w:szCs w:val="18"/>
          <w:b w:val="1"/>
          <w:bCs w:val="1"/>
          <w:color w:val="auto"/>
        </w:rPr>
      </w:pPr>
    </w:p>
    <w:p>
      <w:pPr>
        <w:ind w:left="840" w:hanging="832"/>
        <w:spacing w:after="0" w:line="187" w:lineRule="auto"/>
        <w:tabs>
          <w:tab w:leader="none" w:pos="840" w:val="left"/>
        </w:tabs>
        <w:numPr>
          <w:ilvl w:val="0"/>
          <w:numId w:val="31"/>
        </w:numPr>
        <w:rPr>
          <w:rFonts w:ascii="Arial" w:cs="Arial" w:eastAsia="Arial" w:hAnsi="Arial"/>
          <w:sz w:val="19"/>
          <w:szCs w:val="19"/>
          <w:b w:val="1"/>
          <w:bCs w:val="1"/>
          <w:color w:val="auto"/>
          <w:vertAlign w:val="subscript"/>
        </w:rPr>
      </w:pPr>
      <w:r>
        <w:rPr>
          <w:rFonts w:ascii="Arial" w:cs="Arial" w:eastAsia="Arial" w:hAnsi="Arial"/>
          <w:sz w:val="11"/>
          <w:szCs w:val="11"/>
          <w:b w:val="1"/>
          <w:bCs w:val="1"/>
          <w:color w:val="auto"/>
        </w:rPr>
        <w:t>(SEE INSTRUCTIONS) X</w:t>
      </w:r>
    </w:p>
    <w:p>
      <w:pPr>
        <w:spacing w:after="0" w:line="200" w:lineRule="exact"/>
        <w:rPr>
          <w:rFonts w:ascii="Arial" w:cs="Arial" w:eastAsia="Arial" w:hAnsi="Arial"/>
          <w:sz w:val="19"/>
          <w:szCs w:val="19"/>
          <w:b w:val="1"/>
          <w:bCs w:val="1"/>
          <w:color w:val="auto"/>
          <w:vertAlign w:val="subscript"/>
        </w:rPr>
      </w:pPr>
    </w:p>
    <w:p>
      <w:pPr>
        <w:spacing w:after="0" w:line="200" w:lineRule="exact"/>
        <w:rPr>
          <w:rFonts w:ascii="Arial" w:cs="Arial" w:eastAsia="Arial" w:hAnsi="Arial"/>
          <w:sz w:val="19"/>
          <w:szCs w:val="19"/>
          <w:b w:val="1"/>
          <w:bCs w:val="1"/>
          <w:color w:val="auto"/>
          <w:vertAlign w:val="subscript"/>
        </w:rPr>
      </w:pPr>
    </w:p>
    <w:p>
      <w:pPr>
        <w:spacing w:after="0" w:line="322" w:lineRule="exact"/>
        <w:rPr>
          <w:rFonts w:ascii="Arial" w:cs="Arial" w:eastAsia="Arial" w:hAnsi="Arial"/>
          <w:sz w:val="19"/>
          <w:szCs w:val="19"/>
          <w:b w:val="1"/>
          <w:bCs w:val="1"/>
          <w:color w:val="auto"/>
          <w:vertAlign w:val="subscript"/>
        </w:rPr>
      </w:pPr>
    </w:p>
    <w:p>
      <w:pPr>
        <w:ind w:left="840" w:right="6700" w:hanging="832"/>
        <w:spacing w:after="0" w:line="386" w:lineRule="auto"/>
        <w:tabs>
          <w:tab w:leader="none" w:pos="840" w:val="left"/>
        </w:tabs>
        <w:numPr>
          <w:ilvl w:val="0"/>
          <w:numId w:val="31"/>
        </w:numPr>
        <w:rPr>
          <w:rFonts w:ascii="Arial" w:cs="Arial" w:eastAsia="Arial" w:hAnsi="Arial"/>
          <w:sz w:val="29"/>
          <w:szCs w:val="29"/>
          <w:b w:val="1"/>
          <w:bCs w:val="1"/>
          <w:color w:val="auto"/>
          <w:vertAlign w:val="superscript"/>
        </w:rPr>
      </w:pPr>
      <w:r>
        <w:rPr>
          <w:rFonts w:ascii="Arial" w:cs="Arial" w:eastAsia="Arial" w:hAnsi="Arial"/>
          <w:sz w:val="18"/>
          <w:szCs w:val="18"/>
          <w:b w:val="1"/>
          <w:bCs w:val="1"/>
          <w:color w:val="auto"/>
        </w:rPr>
        <w:t>Percent of class represented by amount in row (11) 0.00%</w:t>
      </w:r>
    </w:p>
    <w:p>
      <w:pPr>
        <w:ind w:left="840" w:hanging="832"/>
        <w:spacing w:after="0"/>
        <w:tabs>
          <w:tab w:leader="none" w:pos="840" w:val="left"/>
        </w:tabs>
        <w:numPr>
          <w:ilvl w:val="0"/>
          <w:numId w:val="31"/>
        </w:numPr>
        <w:rPr>
          <w:rFonts w:ascii="Arial" w:cs="Arial" w:eastAsia="Arial" w:hAnsi="Arial"/>
          <w:sz w:val="29"/>
          <w:szCs w:val="29"/>
          <w:b w:val="1"/>
          <w:bCs w:val="1"/>
          <w:color w:val="auto"/>
          <w:vertAlign w:val="superscript"/>
        </w:rPr>
      </w:pPr>
      <w:r>
        <w:rPr>
          <w:rFonts w:ascii="Arial" w:cs="Arial" w:eastAsia="Arial" w:hAnsi="Arial"/>
          <w:sz w:val="18"/>
          <w:szCs w:val="18"/>
          <w:b w:val="1"/>
          <w:bCs w:val="1"/>
          <w:color w:val="auto"/>
        </w:rPr>
        <w:t xml:space="preserve">Type of reporting person </w:t>
      </w:r>
      <w:r>
        <w:rPr>
          <w:rFonts w:ascii="Arial" w:cs="Arial" w:eastAsia="Arial" w:hAnsi="Arial"/>
          <w:sz w:val="14"/>
          <w:szCs w:val="14"/>
          <w:b w:val="1"/>
          <w:bCs w:val="1"/>
          <w:color w:val="auto"/>
        </w:rPr>
        <w:t>(SEE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-1431290</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-719455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1020"/>
        <w:spacing w:after="0"/>
        <w:rPr>
          <w:sz w:val="20"/>
          <w:szCs w:val="20"/>
          <w:color w:val="auto"/>
        </w:rPr>
      </w:pPr>
      <w:r>
        <w:rPr>
          <w:rFonts w:ascii="Arial" w:cs="Arial" w:eastAsia="Arial" w:hAnsi="Arial"/>
          <w:sz w:val="18"/>
          <w:szCs w:val="18"/>
          <w:b w:val="1"/>
          <w:bCs w:val="1"/>
          <w:color w:val="auto"/>
        </w:rPr>
        <w:t>HC,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6" w:name="page7"/>
    <w:bookmarkEnd w:id="6"/>
    <w:p>
      <w:pPr>
        <w:spacing w:after="0"/>
        <w:rPr>
          <w:sz w:val="20"/>
          <w:szCs w:val="20"/>
          <w:color w:val="auto"/>
        </w:rPr>
      </w:pPr>
      <w:r>
        <w:rPr>
          <w:rFonts w:ascii="Arial" w:cs="Arial" w:eastAsia="Arial" w:hAnsi="Arial"/>
          <w:sz w:val="22"/>
          <w:szCs w:val="22"/>
          <w:color w:val="auto"/>
        </w:rPr>
        <w:t>CUSIP No. 677864100</w:t>
      </w:r>
    </w:p>
    <w:p>
      <w:pPr>
        <w:spacing w:after="0" w:line="14" w:lineRule="exact"/>
        <w:rPr>
          <w:sz w:val="20"/>
          <w:szCs w:val="20"/>
          <w:color w:val="auto"/>
        </w:rPr>
      </w:pPr>
    </w:p>
    <w:p>
      <w:pPr>
        <w:ind w:left="840" w:hanging="458"/>
        <w:spacing w:after="0"/>
        <w:tabs>
          <w:tab w:leader="none" w:pos="84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Names of reporting persons</w:t>
      </w:r>
    </w:p>
    <w:p>
      <w:pPr>
        <w:spacing w:after="0" w:line="7" w:lineRule="exact"/>
        <w:rPr>
          <w:rFonts w:ascii="Arial" w:cs="Arial" w:eastAsia="Arial" w:hAnsi="Arial"/>
          <w:sz w:val="18"/>
          <w:szCs w:val="18"/>
          <w:b w:val="1"/>
          <w:bCs w:val="1"/>
          <w:color w:val="auto"/>
        </w:rPr>
      </w:pPr>
    </w:p>
    <w:p>
      <w:pPr>
        <w:ind w:left="8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I.R.S. identification nos. of above persons (entities only)</w:t>
      </w:r>
    </w:p>
    <w:p>
      <w:pPr>
        <w:spacing w:after="0" w:line="207" w:lineRule="exact"/>
        <w:rPr>
          <w:sz w:val="20"/>
          <w:szCs w:val="20"/>
          <w:color w:val="auto"/>
        </w:rPr>
      </w:pPr>
    </w:p>
    <w:p>
      <w:pPr>
        <w:ind w:left="840"/>
        <w:spacing w:after="0"/>
        <w:tabs>
          <w:tab w:leader="none" w:pos="6880" w:val="left"/>
        </w:tabs>
        <w:rPr>
          <w:sz w:val="20"/>
          <w:szCs w:val="20"/>
          <w:color w:val="auto"/>
        </w:rPr>
      </w:pPr>
      <w:r>
        <w:rPr>
          <w:rFonts w:ascii="Arial" w:cs="Arial" w:eastAsia="Arial" w:hAnsi="Arial"/>
          <w:sz w:val="18"/>
          <w:szCs w:val="18"/>
          <w:b w:val="1"/>
          <w:bCs w:val="1"/>
          <w:color w:val="auto"/>
        </w:rPr>
        <w:t>Associated Capital Group, Inc.</w:t>
      </w:r>
      <w:r>
        <w:rPr>
          <w:sz w:val="20"/>
          <w:szCs w:val="20"/>
          <w:color w:val="auto"/>
        </w:rPr>
        <w:tab/>
      </w:r>
      <w:r>
        <w:rPr>
          <w:rFonts w:ascii="Arial" w:cs="Arial" w:eastAsia="Arial" w:hAnsi="Arial"/>
          <w:sz w:val="16"/>
          <w:szCs w:val="16"/>
          <w:b w:val="1"/>
          <w:bCs w:val="1"/>
          <w:color w:val="auto"/>
        </w:rPr>
        <w:t>I.D. No. 47-3965991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ind w:left="840"/>
        <w:spacing w:after="0"/>
        <w:rPr>
          <w:sz w:val="20"/>
          <w:szCs w:val="20"/>
          <w:color w:val="auto"/>
        </w:rPr>
      </w:pPr>
      <w:r>
        <w:rPr>
          <w:rFonts w:ascii="Arial" w:cs="Arial" w:eastAsia="Arial" w:hAnsi="Arial"/>
          <w:sz w:val="18"/>
          <w:szCs w:val="18"/>
          <w:b w:val="1"/>
          <w:bCs w:val="1"/>
          <w:color w:val="auto"/>
        </w:rPr>
        <w:t>Check the appropriate box if a member of a group (SEE INSTRUCTIONS)</w:t>
      </w:r>
    </w:p>
    <w:p>
      <w:pPr>
        <w:spacing w:after="0" w:line="27" w:lineRule="exact"/>
        <w:rPr>
          <w:sz w:val="20"/>
          <w:szCs w:val="20"/>
          <w:color w:val="auto"/>
        </w:rPr>
      </w:pPr>
    </w:p>
    <w:p>
      <w:pPr>
        <w:ind w:left="9280"/>
        <w:spacing w:after="0"/>
        <w:rPr>
          <w:sz w:val="20"/>
          <w:szCs w:val="20"/>
          <w:color w:val="auto"/>
        </w:rPr>
      </w:pPr>
      <w:r>
        <w:rPr>
          <w:rFonts w:ascii="Arial" w:cs="Arial" w:eastAsia="Arial" w:hAnsi="Arial"/>
          <w:sz w:val="18"/>
          <w:szCs w:val="18"/>
          <w:b w:val="1"/>
          <w:bCs w:val="1"/>
          <w:color w:val="auto"/>
        </w:rPr>
        <w:t>(a)</w:t>
      </w:r>
    </w:p>
    <w:p>
      <w:pPr>
        <w:spacing w:after="0" w:line="200" w:lineRule="exact"/>
        <w:rPr>
          <w:sz w:val="20"/>
          <w:szCs w:val="20"/>
          <w:color w:val="auto"/>
        </w:rPr>
      </w:pPr>
    </w:p>
    <w:p>
      <w:pPr>
        <w:spacing w:after="0" w:line="223"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ind w:left="840" w:hanging="458"/>
        <w:spacing w:after="0"/>
        <w:tabs>
          <w:tab w:leader="none" w:pos="84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ind w:left="840" w:right="7460" w:hanging="458"/>
        <w:spacing w:after="0" w:line="282" w:lineRule="auto"/>
        <w:tabs>
          <w:tab w:leader="none" w:pos="84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Source of funds (SEE INSTRUCTIONS) WC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9" w:lineRule="exact"/>
        <w:rPr>
          <w:sz w:val="20"/>
          <w:szCs w:val="20"/>
          <w:color w:val="auto"/>
        </w:rPr>
      </w:pPr>
    </w:p>
    <w:p>
      <w:pPr>
        <w:ind w:left="840" w:hanging="458"/>
        <w:spacing w:after="0"/>
        <w:tabs>
          <w:tab w:leader="none" w:pos="84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Check box if disclosure of legal proceedings is required pursuant to items 2 (d) or 2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940" w:right="7840" w:hanging="558"/>
        <w:spacing w:after="0" w:line="282" w:lineRule="auto"/>
        <w:tabs>
          <w:tab w:leader="none" w:pos="85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or place of organization Delaware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Number Of</w:t>
            </w:r>
          </w:p>
        </w:tc>
        <w:tc>
          <w:tcPr>
            <w:tcW w:w="14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 7</w:t>
            </w:r>
          </w:p>
        </w:tc>
        <w:tc>
          <w:tcPr>
            <w:tcW w:w="6600" w:type="dxa"/>
            <w:vAlign w:val="bottom"/>
            <w:tcBorders>
              <w:top w:val="single" w:sz="8" w:color="auto"/>
            </w:tcBorders>
          </w:tcPr>
          <w:p>
            <w:pPr>
              <w:ind w:left="118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b w:val="1"/>
                <w:bCs w:val="1"/>
                <w:color w:val="auto"/>
              </w:rPr>
              <w:t>:</w:t>
            </w:r>
          </w:p>
        </w:tc>
        <w:tc>
          <w:tcPr>
            <w:tcW w:w="6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83"/>
              </w:rPr>
              <w:t>Shares</w:t>
            </w:r>
          </w:p>
        </w:tc>
        <w:tc>
          <w:tcPr>
            <w:tcW w:w="1400" w:type="dxa"/>
            <w:vAlign w:val="bottom"/>
          </w:tcPr>
          <w:p>
            <w:pPr>
              <w:spacing w:after="0"/>
              <w:rPr>
                <w:sz w:val="20"/>
                <w:szCs w:val="20"/>
                <w:color w:val="auto"/>
              </w:rPr>
            </w:pPr>
            <w:r>
              <w:rPr>
                <w:rFonts w:ascii="Arial" w:cs="Arial" w:eastAsia="Arial" w:hAnsi="Arial"/>
                <w:sz w:val="18"/>
                <w:szCs w:val="18"/>
                <w:b w:val="1"/>
                <w:bCs w:val="1"/>
                <w:color w:val="auto"/>
              </w:rPr>
              <w:t>:</w:t>
            </w:r>
          </w:p>
        </w:tc>
        <w:tc>
          <w:tcPr>
            <w:tcW w:w="6600" w:type="dxa"/>
            <w:vAlign w:val="bottom"/>
          </w:tcPr>
          <w:p>
            <w:pPr>
              <w:ind w:left="1180"/>
              <w:spacing w:after="0"/>
              <w:rPr>
                <w:sz w:val="20"/>
                <w:szCs w:val="20"/>
                <w:color w:val="auto"/>
              </w:rPr>
            </w:pPr>
            <w:r>
              <w:rPr>
                <w:rFonts w:ascii="Arial" w:cs="Arial" w:eastAsia="Arial" w:hAnsi="Arial"/>
                <w:sz w:val="18"/>
                <w:szCs w:val="18"/>
                <w:b w:val="1"/>
                <w:bCs w:val="1"/>
                <w:color w:val="auto"/>
              </w:rPr>
              <w:t>1,500  (Item 5)</w:t>
            </w:r>
          </w:p>
        </w:tc>
        <w:tc>
          <w:tcPr>
            <w:tcW w:w="0" w:type="dxa"/>
            <w:vAlign w:val="bottom"/>
          </w:tcPr>
          <w:p>
            <w:pPr>
              <w:spacing w:after="0"/>
              <w:rPr>
                <w:sz w:val="1"/>
                <w:szCs w:val="1"/>
                <w:color w:val="auto"/>
              </w:rPr>
            </w:pPr>
          </w:p>
        </w:tc>
      </w:tr>
      <w:tr>
        <w:trPr>
          <w:trHeight w:val="241"/>
        </w:trPr>
        <w:tc>
          <w:tcPr>
            <w:tcW w:w="34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Beneficially</w:t>
            </w:r>
          </w:p>
        </w:tc>
        <w:tc>
          <w:tcPr>
            <w:tcW w:w="1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420" w:type="dxa"/>
            <w:vAlign w:val="bottom"/>
            <w:vMerge w:val="continue"/>
          </w:tcPr>
          <w:p>
            <w:pPr>
              <w:spacing w:after="0"/>
              <w:rPr>
                <w:sz w:val="17"/>
                <w:szCs w:val="17"/>
                <w:color w:val="auto"/>
              </w:rPr>
            </w:pPr>
          </w:p>
        </w:tc>
        <w:tc>
          <w:tcPr>
            <w:tcW w:w="1400" w:type="dxa"/>
            <w:vAlign w:val="bottom"/>
          </w:tcPr>
          <w:p>
            <w:pPr>
              <w:spacing w:after="0" w:line="198" w:lineRule="exact"/>
              <w:rPr>
                <w:sz w:val="20"/>
                <w:szCs w:val="20"/>
                <w:color w:val="auto"/>
              </w:rPr>
            </w:pPr>
            <w:r>
              <w:rPr>
                <w:rFonts w:ascii="Arial" w:cs="Arial" w:eastAsia="Arial" w:hAnsi="Arial"/>
                <w:sz w:val="18"/>
                <w:szCs w:val="18"/>
                <w:b w:val="1"/>
                <w:bCs w:val="1"/>
                <w:color w:val="auto"/>
              </w:rPr>
              <w:t>: 8</w:t>
            </w:r>
          </w:p>
        </w:tc>
        <w:tc>
          <w:tcPr>
            <w:tcW w:w="6600" w:type="dxa"/>
            <w:vAlign w:val="bottom"/>
          </w:tcPr>
          <w:p>
            <w:pPr>
              <w:ind w:left="1180"/>
              <w:spacing w:after="0" w:line="198" w:lineRule="exact"/>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34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Owned</w:t>
            </w:r>
          </w:p>
        </w:tc>
        <w:tc>
          <w:tcPr>
            <w:tcW w:w="1400" w:type="dxa"/>
            <w:vAlign w:val="bottom"/>
          </w:tcPr>
          <w:p>
            <w:pPr>
              <w:spacing w:after="0"/>
              <w:rPr>
                <w:sz w:val="20"/>
                <w:szCs w:val="20"/>
                <w:color w:val="auto"/>
              </w:rPr>
            </w:pPr>
            <w:r>
              <w:rPr>
                <w:rFonts w:ascii="Arial" w:cs="Arial" w:eastAsia="Arial" w:hAnsi="Arial"/>
                <w:sz w:val="18"/>
                <w:szCs w:val="18"/>
                <w:b w:val="1"/>
                <w:bCs w:val="1"/>
                <w:color w:val="auto"/>
              </w:rPr>
              <w:t>:</w:t>
            </w:r>
          </w:p>
        </w:tc>
        <w:tc>
          <w:tcPr>
            <w:tcW w:w="6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vMerge w:val="continue"/>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b w:val="1"/>
                <w:bCs w:val="1"/>
                <w:color w:val="auto"/>
              </w:rPr>
              <w:t>:</w:t>
            </w:r>
          </w:p>
        </w:tc>
        <w:tc>
          <w:tcPr>
            <w:tcW w:w="6600" w:type="dxa"/>
            <w:vAlign w:val="bottom"/>
          </w:tcPr>
          <w:p>
            <w:pPr>
              <w:ind w:left="1180"/>
              <w:spacing w:after="0"/>
              <w:rPr>
                <w:sz w:val="20"/>
                <w:szCs w:val="20"/>
                <w:color w:val="auto"/>
              </w:rPr>
            </w:pPr>
            <w:r>
              <w:rPr>
                <w:rFonts w:ascii="Arial" w:cs="Arial" w:eastAsia="Arial" w:hAnsi="Arial"/>
                <w:sz w:val="18"/>
                <w:szCs w:val="18"/>
                <w:b w:val="1"/>
                <w:bCs w:val="1"/>
                <w:color w:val="auto"/>
              </w:rPr>
              <w:t>None</w:t>
            </w:r>
          </w:p>
        </w:tc>
        <w:tc>
          <w:tcPr>
            <w:tcW w:w="0" w:type="dxa"/>
            <w:vAlign w:val="bottom"/>
          </w:tcPr>
          <w:p>
            <w:pPr>
              <w:spacing w:after="0"/>
              <w:rPr>
                <w:sz w:val="1"/>
                <w:szCs w:val="1"/>
                <w:color w:val="auto"/>
              </w:rPr>
            </w:pPr>
          </w:p>
        </w:tc>
      </w:tr>
      <w:tr>
        <w:trPr>
          <w:trHeight w:val="241"/>
        </w:trPr>
        <w:tc>
          <w:tcPr>
            <w:tcW w:w="34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2"/>
              </w:rPr>
              <w:t>By Each</w:t>
            </w:r>
          </w:p>
        </w:tc>
        <w:tc>
          <w:tcPr>
            <w:tcW w:w="1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420" w:type="dxa"/>
            <w:vAlign w:val="bottom"/>
            <w:vMerge w:val="continue"/>
          </w:tcPr>
          <w:p>
            <w:pPr>
              <w:spacing w:after="0"/>
              <w:rPr>
                <w:sz w:val="17"/>
                <w:szCs w:val="17"/>
                <w:color w:val="auto"/>
              </w:rPr>
            </w:pPr>
          </w:p>
        </w:tc>
        <w:tc>
          <w:tcPr>
            <w:tcW w:w="1400" w:type="dxa"/>
            <w:vAlign w:val="bottom"/>
          </w:tcPr>
          <w:p>
            <w:pPr>
              <w:spacing w:after="0" w:line="198" w:lineRule="exact"/>
              <w:rPr>
                <w:sz w:val="20"/>
                <w:szCs w:val="20"/>
                <w:color w:val="auto"/>
              </w:rPr>
            </w:pPr>
            <w:r>
              <w:rPr>
                <w:rFonts w:ascii="Arial" w:cs="Arial" w:eastAsia="Arial" w:hAnsi="Arial"/>
                <w:sz w:val="18"/>
                <w:szCs w:val="18"/>
                <w:b w:val="1"/>
                <w:bCs w:val="1"/>
                <w:color w:val="auto"/>
              </w:rPr>
              <w:t>: 9</w:t>
            </w:r>
          </w:p>
        </w:tc>
        <w:tc>
          <w:tcPr>
            <w:tcW w:w="6600" w:type="dxa"/>
            <w:vAlign w:val="bottom"/>
          </w:tcPr>
          <w:p>
            <w:pPr>
              <w:ind w:left="1180"/>
              <w:spacing w:after="0" w:line="198"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34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Reporting</w:t>
            </w:r>
          </w:p>
        </w:tc>
        <w:tc>
          <w:tcPr>
            <w:tcW w:w="1400" w:type="dxa"/>
            <w:vAlign w:val="bottom"/>
          </w:tcPr>
          <w:p>
            <w:pPr>
              <w:spacing w:after="0"/>
              <w:rPr>
                <w:sz w:val="20"/>
                <w:szCs w:val="20"/>
                <w:color w:val="auto"/>
              </w:rPr>
            </w:pPr>
            <w:r>
              <w:rPr>
                <w:rFonts w:ascii="Arial" w:cs="Arial" w:eastAsia="Arial" w:hAnsi="Arial"/>
                <w:sz w:val="18"/>
                <w:szCs w:val="18"/>
                <w:b w:val="1"/>
                <w:bCs w:val="1"/>
                <w:color w:val="auto"/>
              </w:rPr>
              <w:t>:</w:t>
            </w:r>
          </w:p>
        </w:tc>
        <w:tc>
          <w:tcPr>
            <w:tcW w:w="6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vMerge w:val="continue"/>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b w:val="1"/>
                <w:bCs w:val="1"/>
                <w:color w:val="auto"/>
              </w:rPr>
              <w:t>:</w:t>
            </w:r>
          </w:p>
        </w:tc>
        <w:tc>
          <w:tcPr>
            <w:tcW w:w="6600" w:type="dxa"/>
            <w:vAlign w:val="bottom"/>
          </w:tcPr>
          <w:p>
            <w:pPr>
              <w:ind w:left="1180"/>
              <w:spacing w:after="0"/>
              <w:rPr>
                <w:sz w:val="20"/>
                <w:szCs w:val="20"/>
                <w:color w:val="auto"/>
              </w:rPr>
            </w:pPr>
            <w:r>
              <w:rPr>
                <w:rFonts w:ascii="Arial" w:cs="Arial" w:eastAsia="Arial" w:hAnsi="Arial"/>
                <w:sz w:val="18"/>
                <w:szCs w:val="18"/>
                <w:b w:val="1"/>
                <w:bCs w:val="1"/>
                <w:color w:val="auto"/>
              </w:rPr>
              <w:t>1,500  (Item 5)</w:t>
            </w:r>
          </w:p>
        </w:tc>
        <w:tc>
          <w:tcPr>
            <w:tcW w:w="0" w:type="dxa"/>
            <w:vAlign w:val="bottom"/>
          </w:tcPr>
          <w:p>
            <w:pPr>
              <w:spacing w:after="0"/>
              <w:rPr>
                <w:sz w:val="1"/>
                <w:szCs w:val="1"/>
                <w:color w:val="auto"/>
              </w:rPr>
            </w:pPr>
          </w:p>
        </w:tc>
      </w:tr>
      <w:tr>
        <w:trPr>
          <w:trHeight w:val="241"/>
        </w:trPr>
        <w:tc>
          <w:tcPr>
            <w:tcW w:w="34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8"/>
              </w:rPr>
              <w:t>Person</w:t>
            </w:r>
          </w:p>
        </w:tc>
        <w:tc>
          <w:tcPr>
            <w:tcW w:w="1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3420" w:type="dxa"/>
            <w:vAlign w:val="bottom"/>
            <w:vMerge w:val="continue"/>
          </w:tcPr>
          <w:p>
            <w:pPr>
              <w:spacing w:after="0"/>
              <w:rPr>
                <w:sz w:val="11"/>
                <w:szCs w:val="11"/>
                <w:color w:val="auto"/>
              </w:rPr>
            </w:pPr>
          </w:p>
        </w:tc>
        <w:tc>
          <w:tcPr>
            <w:tcW w:w="1400" w:type="dxa"/>
            <w:vAlign w:val="bottom"/>
            <w:vMerge w:val="restart"/>
          </w:tcPr>
          <w:p>
            <w:pPr>
              <w:spacing w:after="0" w:line="198" w:lineRule="exact"/>
              <w:rPr>
                <w:sz w:val="20"/>
                <w:szCs w:val="20"/>
                <w:color w:val="auto"/>
              </w:rPr>
            </w:pPr>
            <w:r>
              <w:rPr>
                <w:rFonts w:ascii="Arial" w:cs="Arial" w:eastAsia="Arial" w:hAnsi="Arial"/>
                <w:sz w:val="18"/>
                <w:szCs w:val="18"/>
                <w:b w:val="1"/>
                <w:bCs w:val="1"/>
                <w:color w:val="auto"/>
              </w:rPr>
              <w:t>:10</w:t>
            </w:r>
          </w:p>
        </w:tc>
        <w:tc>
          <w:tcPr>
            <w:tcW w:w="6600" w:type="dxa"/>
            <w:vAlign w:val="bottom"/>
            <w:vMerge w:val="restart"/>
          </w:tcPr>
          <w:p>
            <w:pPr>
              <w:ind w:left="1180"/>
              <w:spacing w:after="0" w:line="198" w:lineRule="exact"/>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63"/>
        </w:trPr>
        <w:tc>
          <w:tcPr>
            <w:tcW w:w="342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6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4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7"/>
              </w:rPr>
              <w:t>With</w:t>
            </w:r>
          </w:p>
        </w:tc>
        <w:tc>
          <w:tcPr>
            <w:tcW w:w="1400" w:type="dxa"/>
            <w:vAlign w:val="bottom"/>
          </w:tcPr>
          <w:p>
            <w:pPr>
              <w:spacing w:after="0"/>
              <w:rPr>
                <w:sz w:val="20"/>
                <w:szCs w:val="20"/>
                <w:color w:val="auto"/>
              </w:rPr>
            </w:pPr>
            <w:r>
              <w:rPr>
                <w:rFonts w:ascii="Arial" w:cs="Arial" w:eastAsia="Arial" w:hAnsi="Arial"/>
                <w:sz w:val="18"/>
                <w:szCs w:val="18"/>
                <w:b w:val="1"/>
                <w:bCs w:val="1"/>
                <w:color w:val="auto"/>
              </w:rPr>
              <w:t>:</w:t>
            </w:r>
          </w:p>
        </w:tc>
        <w:tc>
          <w:tcPr>
            <w:tcW w:w="6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3420" w:type="dxa"/>
            <w:vAlign w:val="bottom"/>
            <w:vMerge w:val="continue"/>
          </w:tcPr>
          <w:p>
            <w:pPr>
              <w:spacing w:after="0"/>
              <w:rPr>
                <w:sz w:val="13"/>
                <w:szCs w:val="13"/>
                <w:color w:val="auto"/>
              </w:rPr>
            </w:pPr>
          </w:p>
        </w:tc>
        <w:tc>
          <w:tcPr>
            <w:tcW w:w="140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6600" w:type="dxa"/>
            <w:vAlign w:val="bottom"/>
            <w:vMerge w:val="restart"/>
          </w:tcPr>
          <w:p>
            <w:pPr>
              <w:ind w:left="1180"/>
              <w:spacing w:after="0"/>
              <w:rPr>
                <w:sz w:val="20"/>
                <w:szCs w:val="20"/>
                <w:color w:val="auto"/>
              </w:rPr>
            </w:pPr>
            <w:r>
              <w:rPr>
                <w:rFonts w:ascii="Arial" w:cs="Arial" w:eastAsia="Arial" w:hAnsi="Arial"/>
                <w:sz w:val="18"/>
                <w:szCs w:val="18"/>
                <w:b w:val="1"/>
                <w:bCs w:val="1"/>
                <w:color w:val="auto"/>
              </w:rPr>
              <w:t>None</w:t>
            </w:r>
          </w:p>
        </w:tc>
        <w:tc>
          <w:tcPr>
            <w:tcW w:w="0" w:type="dxa"/>
            <w:vAlign w:val="bottom"/>
          </w:tcPr>
          <w:p>
            <w:pPr>
              <w:spacing w:after="0"/>
              <w:rPr>
                <w:sz w:val="1"/>
                <w:szCs w:val="1"/>
                <w:color w:val="auto"/>
              </w:rPr>
            </w:pPr>
          </w:p>
        </w:tc>
      </w:tr>
      <w:tr>
        <w:trPr>
          <w:trHeight w:val="63"/>
        </w:trPr>
        <w:tc>
          <w:tcPr>
            <w:tcW w:w="342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6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3420" w:type="dxa"/>
            <w:vAlign w:val="bottom"/>
          </w:tcPr>
          <w:p>
            <w:pPr>
              <w:spacing w:after="0"/>
              <w:rPr>
                <w:sz w:val="20"/>
                <w:szCs w:val="20"/>
                <w:color w:val="auto"/>
              </w:rPr>
            </w:pPr>
          </w:p>
        </w:tc>
        <w:tc>
          <w:tcPr>
            <w:tcW w:w="1400" w:type="dxa"/>
            <w:vAlign w:val="bottom"/>
          </w:tcPr>
          <w:p>
            <w:pPr>
              <w:spacing w:after="0"/>
              <w:rPr>
                <w:sz w:val="20"/>
                <w:szCs w:val="20"/>
                <w:color w:val="auto"/>
              </w:rPr>
            </w:pPr>
            <w:r>
              <w:rPr>
                <w:rFonts w:ascii="Arial" w:cs="Arial" w:eastAsia="Arial" w:hAnsi="Arial"/>
                <w:sz w:val="18"/>
                <w:szCs w:val="18"/>
                <w:b w:val="1"/>
                <w:bCs w:val="1"/>
                <w:color w:val="auto"/>
              </w:rPr>
              <w:t>:</w:t>
            </w:r>
          </w:p>
        </w:tc>
        <w:tc>
          <w:tcPr>
            <w:tcW w:w="66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840" w:right="5720" w:hanging="832"/>
        <w:spacing w:after="0" w:line="516" w:lineRule="auto"/>
        <w:tabs>
          <w:tab w:leader="none" w:pos="84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Aggregate amount beneficially owned by each reporting person 1,500 (Item 5)</w:t>
      </w:r>
    </w:p>
    <w:p>
      <w:pPr>
        <w:spacing w:after="0" w:line="1" w:lineRule="exact"/>
        <w:rPr>
          <w:rFonts w:ascii="Arial" w:cs="Arial" w:eastAsia="Arial" w:hAnsi="Arial"/>
          <w:sz w:val="18"/>
          <w:szCs w:val="18"/>
          <w:b w:val="1"/>
          <w:bCs w:val="1"/>
          <w:color w:val="auto"/>
        </w:rPr>
      </w:pPr>
    </w:p>
    <w:p>
      <w:pPr>
        <w:ind w:left="8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Check box if the aggregate amount in row (11) excludes certain shares</w:t>
      </w:r>
    </w:p>
    <w:p>
      <w:pPr>
        <w:spacing w:after="0" w:line="27" w:lineRule="exact"/>
        <w:rPr>
          <w:rFonts w:ascii="Arial" w:cs="Arial" w:eastAsia="Arial" w:hAnsi="Arial"/>
          <w:sz w:val="18"/>
          <w:szCs w:val="18"/>
          <w:b w:val="1"/>
          <w:bCs w:val="1"/>
          <w:color w:val="auto"/>
        </w:rPr>
      </w:pPr>
    </w:p>
    <w:p>
      <w:pPr>
        <w:ind w:left="840" w:hanging="832"/>
        <w:spacing w:after="0"/>
        <w:tabs>
          <w:tab w:leader="none" w:pos="84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(SEE INSTRUCTIONS) X</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93" w:lineRule="exact"/>
        <w:rPr>
          <w:rFonts w:ascii="Arial" w:cs="Arial" w:eastAsia="Arial" w:hAnsi="Arial"/>
          <w:sz w:val="18"/>
          <w:szCs w:val="18"/>
          <w:b w:val="1"/>
          <w:bCs w:val="1"/>
          <w:color w:val="auto"/>
        </w:rPr>
      </w:pPr>
    </w:p>
    <w:p>
      <w:pPr>
        <w:ind w:left="840" w:right="6700" w:hanging="832"/>
        <w:spacing w:after="0" w:line="516" w:lineRule="auto"/>
        <w:tabs>
          <w:tab w:leader="none" w:pos="84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Percent of class represented by amount in row (11) 0.03%</w:t>
      </w:r>
    </w:p>
    <w:p>
      <w:pPr>
        <w:spacing w:after="0" w:line="1" w:lineRule="exact"/>
        <w:rPr>
          <w:rFonts w:ascii="Arial" w:cs="Arial" w:eastAsia="Arial" w:hAnsi="Arial"/>
          <w:sz w:val="18"/>
          <w:szCs w:val="18"/>
          <w:b w:val="1"/>
          <w:bCs w:val="1"/>
          <w:color w:val="auto"/>
        </w:rPr>
      </w:pPr>
    </w:p>
    <w:p>
      <w:pPr>
        <w:ind w:left="840" w:hanging="832"/>
        <w:spacing w:after="0"/>
        <w:tabs>
          <w:tab w:leader="none" w:pos="84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-1422400</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-702310</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7"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HC,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 w:name="page8"/>
    <w:bookmarkEnd w:id="7"/>
    <w:p>
      <w:pPr>
        <w:spacing w:after="0"/>
        <w:rPr>
          <w:sz w:val="20"/>
          <w:szCs w:val="20"/>
          <w:color w:val="auto"/>
        </w:rPr>
      </w:pPr>
      <w:r>
        <w:rPr>
          <w:rFonts w:ascii="Arial" w:cs="Arial" w:eastAsia="Arial" w:hAnsi="Arial"/>
          <w:sz w:val="22"/>
          <w:szCs w:val="22"/>
          <w:color w:val="auto"/>
        </w:rPr>
        <w:t>CUSIP No. 677864100</w:t>
      </w:r>
    </w:p>
    <w:p>
      <w:pPr>
        <w:spacing w:after="0" w:line="14" w:lineRule="exact"/>
        <w:rPr>
          <w:sz w:val="20"/>
          <w:szCs w:val="20"/>
          <w:color w:val="auto"/>
        </w:rPr>
      </w:pPr>
    </w:p>
    <w:p>
      <w:pPr>
        <w:ind w:left="840" w:hanging="458"/>
        <w:spacing w:after="0"/>
        <w:tabs>
          <w:tab w:leader="none" w:pos="84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Names of reporting persons</w:t>
      </w:r>
    </w:p>
    <w:p>
      <w:pPr>
        <w:spacing w:after="0" w:line="7" w:lineRule="exact"/>
        <w:rPr>
          <w:rFonts w:ascii="Arial" w:cs="Arial" w:eastAsia="Arial" w:hAnsi="Arial"/>
          <w:sz w:val="18"/>
          <w:szCs w:val="18"/>
          <w:b w:val="1"/>
          <w:bCs w:val="1"/>
          <w:color w:val="auto"/>
        </w:rPr>
      </w:pPr>
    </w:p>
    <w:p>
      <w:pPr>
        <w:ind w:left="8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I.R.S. identification nos. of above persons (entities only)</w:t>
      </w:r>
    </w:p>
    <w:p>
      <w:pPr>
        <w:spacing w:after="0" w:line="207" w:lineRule="exact"/>
        <w:rPr>
          <w:sz w:val="20"/>
          <w:szCs w:val="20"/>
          <w:color w:val="auto"/>
        </w:rPr>
      </w:pPr>
    </w:p>
    <w:p>
      <w:pPr>
        <w:ind w:left="840"/>
        <w:spacing w:after="0"/>
        <w:rPr>
          <w:sz w:val="20"/>
          <w:szCs w:val="20"/>
          <w:color w:val="auto"/>
        </w:rPr>
      </w:pPr>
      <w:r>
        <w:rPr>
          <w:rFonts w:ascii="Arial" w:cs="Arial" w:eastAsia="Arial" w:hAnsi="Arial"/>
          <w:sz w:val="18"/>
          <w:szCs w:val="18"/>
          <w:b w:val="1"/>
          <w:bCs w:val="1"/>
          <w:color w:val="auto"/>
        </w:rPr>
        <w:t>Mario J. Gabelli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ind w:left="380"/>
        <w:spacing w:after="0"/>
        <w:tabs>
          <w:tab w:leader="none" w:pos="820" w:val="left"/>
          <w:tab w:leader="none" w:pos="646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8"/>
          <w:szCs w:val="18"/>
          <w:b w:val="1"/>
          <w:bCs w:val="1"/>
          <w:color w:val="auto"/>
        </w:rPr>
        <w:t xml:space="preserve">Check the appropriate box if a member of a group </w:t>
      </w:r>
      <w:r>
        <w:rPr>
          <w:rFonts w:ascii="Arial" w:cs="Arial" w:eastAsia="Arial" w:hAnsi="Arial"/>
          <w:sz w:val="14"/>
          <w:szCs w:val="14"/>
          <w:b w:val="1"/>
          <w:bCs w:val="1"/>
          <w:color w:val="auto"/>
        </w:rPr>
        <w:t>(SEE INSTRUCTIONS)</w:t>
      </w:r>
      <w:r>
        <w:rPr>
          <w:sz w:val="20"/>
          <w:szCs w:val="20"/>
          <w:color w:val="auto"/>
        </w:rPr>
        <w:tab/>
      </w:r>
      <w:r>
        <w:rPr>
          <w:rFonts w:ascii="Arial" w:cs="Arial" w:eastAsia="Arial" w:hAnsi="Arial"/>
          <w:sz w:val="16"/>
          <w:szCs w:val="16"/>
          <w:b w:val="1"/>
          <w:bCs w:val="1"/>
          <w:color w:val="auto"/>
        </w:rPr>
        <w:t>(a)</w:t>
      </w:r>
    </w:p>
    <w:p>
      <w:pPr>
        <w:spacing w:after="0" w:line="200" w:lineRule="exact"/>
        <w:rPr>
          <w:sz w:val="20"/>
          <w:szCs w:val="20"/>
          <w:color w:val="auto"/>
        </w:rPr>
      </w:pPr>
    </w:p>
    <w:p>
      <w:pPr>
        <w:spacing w:after="0" w:line="241"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ind w:left="840" w:hanging="458"/>
        <w:spacing w:after="0"/>
        <w:tabs>
          <w:tab w:leader="none" w:pos="84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ind w:left="840" w:hanging="458"/>
        <w:spacing w:after="0"/>
        <w:tabs>
          <w:tab w:leader="none" w:pos="84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Source of funds </w:t>
      </w:r>
      <w:r>
        <w:rPr>
          <w:rFonts w:ascii="Arial" w:cs="Arial" w:eastAsia="Arial" w:hAnsi="Arial"/>
          <w:sz w:val="14"/>
          <w:szCs w:val="14"/>
          <w:b w:val="1"/>
          <w:bCs w:val="1"/>
          <w:color w:val="auto"/>
        </w:rPr>
        <w:t>(SEE INSTRUCTIONS)</w:t>
      </w:r>
    </w:p>
    <w:p>
      <w:pPr>
        <w:spacing w:after="0" w:line="27"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4" w:lineRule="exact"/>
        <w:rPr>
          <w:sz w:val="20"/>
          <w:szCs w:val="20"/>
          <w:color w:val="auto"/>
        </w:rPr>
      </w:pPr>
    </w:p>
    <w:p>
      <w:pPr>
        <w:ind w:left="840" w:hanging="458"/>
        <w:spacing w:after="0"/>
        <w:tabs>
          <w:tab w:leader="none" w:pos="84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Check box if disclosure of legal proceedings is required pursuant to items 2 (d) or 2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840" w:hanging="458"/>
        <w:spacing w:after="0"/>
        <w:tabs>
          <w:tab w:leader="none" w:pos="84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or place of organization</w:t>
      </w:r>
    </w:p>
    <w:p>
      <w:pPr>
        <w:spacing w:after="0" w:line="27" w:lineRule="exact"/>
        <w:rPr>
          <w:rFonts w:ascii="Arial" w:cs="Arial" w:eastAsia="Arial" w:hAnsi="Arial"/>
          <w:sz w:val="18"/>
          <w:szCs w:val="18"/>
          <w:b w:val="1"/>
          <w:bCs w:val="1"/>
          <w:color w:val="auto"/>
        </w:rPr>
      </w:pPr>
    </w:p>
    <w:p>
      <w:pPr>
        <w:ind w:left="9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USA</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4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 Of</w:t>
            </w:r>
          </w:p>
        </w:tc>
        <w:tc>
          <w:tcPr>
            <w:tcW w:w="14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 7</w:t>
            </w:r>
          </w:p>
        </w:tc>
        <w:tc>
          <w:tcPr>
            <w:tcW w:w="6560" w:type="dxa"/>
            <w:vAlign w:val="bottom"/>
            <w:tcBorders>
              <w:top w:val="single" w:sz="8" w:color="auto"/>
            </w:tcBorders>
          </w:tcPr>
          <w:p>
            <w:pPr>
              <w:ind w:left="118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ind w:left="1180"/>
              <w:spacing w:after="0"/>
              <w:rPr>
                <w:sz w:val="20"/>
                <w:szCs w:val="20"/>
                <w:color w:val="auto"/>
              </w:rPr>
            </w:pPr>
            <w:r>
              <w:rPr>
                <w:rFonts w:ascii="Arial" w:cs="Arial" w:eastAsia="Arial" w:hAnsi="Arial"/>
                <w:sz w:val="18"/>
                <w:szCs w:val="18"/>
                <w:b w:val="1"/>
                <w:bCs w:val="1"/>
                <w:color w:val="auto"/>
              </w:rPr>
              <w:t>None</w:t>
            </w:r>
          </w:p>
        </w:tc>
        <w:tc>
          <w:tcPr>
            <w:tcW w:w="0" w:type="dxa"/>
            <w:vAlign w:val="bottom"/>
          </w:tcPr>
          <w:p>
            <w:pPr>
              <w:spacing w:after="0"/>
              <w:rPr>
                <w:sz w:val="1"/>
                <w:szCs w:val="1"/>
                <w:color w:val="auto"/>
              </w:rPr>
            </w:pPr>
          </w:p>
        </w:tc>
      </w:tr>
      <w:tr>
        <w:trPr>
          <w:trHeight w:val="241"/>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Beneficially</w:t>
            </w:r>
          </w:p>
        </w:tc>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440" w:type="dxa"/>
            <w:vAlign w:val="bottom"/>
            <w:vMerge w:val="continue"/>
          </w:tcPr>
          <w:p>
            <w:pPr>
              <w:spacing w:after="0"/>
              <w:rPr>
                <w:sz w:val="17"/>
                <w:szCs w:val="17"/>
                <w:color w:val="auto"/>
              </w:rPr>
            </w:pPr>
          </w:p>
        </w:tc>
        <w:tc>
          <w:tcPr>
            <w:tcW w:w="1420" w:type="dxa"/>
            <w:vAlign w:val="bottom"/>
          </w:tcPr>
          <w:p>
            <w:pPr>
              <w:spacing w:after="0" w:line="198" w:lineRule="exact"/>
              <w:rPr>
                <w:sz w:val="20"/>
                <w:szCs w:val="20"/>
                <w:color w:val="auto"/>
              </w:rPr>
            </w:pPr>
            <w:r>
              <w:rPr>
                <w:rFonts w:ascii="Arial" w:cs="Arial" w:eastAsia="Arial" w:hAnsi="Arial"/>
                <w:sz w:val="18"/>
                <w:szCs w:val="18"/>
                <w:b w:val="1"/>
                <w:bCs w:val="1"/>
                <w:color w:val="auto"/>
              </w:rPr>
              <w:t>: 8</w:t>
            </w:r>
          </w:p>
        </w:tc>
        <w:tc>
          <w:tcPr>
            <w:tcW w:w="6560" w:type="dxa"/>
            <w:vAlign w:val="bottom"/>
          </w:tcPr>
          <w:p>
            <w:pPr>
              <w:ind w:left="1180"/>
              <w:spacing w:after="0" w:line="198" w:lineRule="exact"/>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Owned</w:t>
            </w: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vMerge w:val="continue"/>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ind w:left="1180"/>
              <w:spacing w:after="0"/>
              <w:rPr>
                <w:sz w:val="20"/>
                <w:szCs w:val="20"/>
                <w:color w:val="auto"/>
              </w:rPr>
            </w:pPr>
            <w:r>
              <w:rPr>
                <w:rFonts w:ascii="Arial" w:cs="Arial" w:eastAsia="Arial" w:hAnsi="Arial"/>
                <w:sz w:val="18"/>
                <w:szCs w:val="18"/>
                <w:b w:val="1"/>
                <w:bCs w:val="1"/>
                <w:color w:val="auto"/>
              </w:rPr>
              <w:t>None</w:t>
            </w:r>
          </w:p>
        </w:tc>
        <w:tc>
          <w:tcPr>
            <w:tcW w:w="0" w:type="dxa"/>
            <w:vAlign w:val="bottom"/>
          </w:tcPr>
          <w:p>
            <w:pPr>
              <w:spacing w:after="0"/>
              <w:rPr>
                <w:sz w:val="1"/>
                <w:szCs w:val="1"/>
                <w:color w:val="auto"/>
              </w:rPr>
            </w:pPr>
          </w:p>
        </w:tc>
      </w:tr>
      <w:tr>
        <w:trPr>
          <w:trHeight w:val="241"/>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By Each</w:t>
            </w:r>
          </w:p>
        </w:tc>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440" w:type="dxa"/>
            <w:vAlign w:val="bottom"/>
            <w:vMerge w:val="continue"/>
          </w:tcPr>
          <w:p>
            <w:pPr>
              <w:spacing w:after="0"/>
              <w:rPr>
                <w:sz w:val="17"/>
                <w:szCs w:val="17"/>
                <w:color w:val="auto"/>
              </w:rPr>
            </w:pPr>
          </w:p>
        </w:tc>
        <w:tc>
          <w:tcPr>
            <w:tcW w:w="1420" w:type="dxa"/>
            <w:vAlign w:val="bottom"/>
          </w:tcPr>
          <w:p>
            <w:pPr>
              <w:spacing w:after="0" w:line="198" w:lineRule="exact"/>
              <w:rPr>
                <w:sz w:val="20"/>
                <w:szCs w:val="20"/>
                <w:color w:val="auto"/>
              </w:rPr>
            </w:pPr>
            <w:r>
              <w:rPr>
                <w:rFonts w:ascii="Arial" w:cs="Arial" w:eastAsia="Arial" w:hAnsi="Arial"/>
                <w:sz w:val="18"/>
                <w:szCs w:val="18"/>
                <w:b w:val="1"/>
                <w:bCs w:val="1"/>
                <w:color w:val="auto"/>
              </w:rPr>
              <w:t>: 9</w:t>
            </w:r>
          </w:p>
        </w:tc>
        <w:tc>
          <w:tcPr>
            <w:tcW w:w="6560" w:type="dxa"/>
            <w:vAlign w:val="bottom"/>
          </w:tcPr>
          <w:p>
            <w:pPr>
              <w:ind w:left="1180"/>
              <w:spacing w:after="0" w:line="198" w:lineRule="exact"/>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Reporting</w:t>
            </w: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vMerge w:val="continue"/>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ind w:left="1180"/>
              <w:spacing w:after="0"/>
              <w:rPr>
                <w:sz w:val="20"/>
                <w:szCs w:val="20"/>
                <w:color w:val="auto"/>
              </w:rPr>
            </w:pPr>
            <w:r>
              <w:rPr>
                <w:rFonts w:ascii="Arial" w:cs="Arial" w:eastAsia="Arial" w:hAnsi="Arial"/>
                <w:sz w:val="18"/>
                <w:szCs w:val="18"/>
                <w:b w:val="1"/>
                <w:bCs w:val="1"/>
                <w:color w:val="auto"/>
              </w:rPr>
              <w:t>None</w:t>
            </w:r>
          </w:p>
        </w:tc>
        <w:tc>
          <w:tcPr>
            <w:tcW w:w="0" w:type="dxa"/>
            <w:vAlign w:val="bottom"/>
          </w:tcPr>
          <w:p>
            <w:pPr>
              <w:spacing w:after="0"/>
              <w:rPr>
                <w:sz w:val="1"/>
                <w:szCs w:val="1"/>
                <w:color w:val="auto"/>
              </w:rPr>
            </w:pPr>
          </w:p>
        </w:tc>
      </w:tr>
      <w:tr>
        <w:trPr>
          <w:trHeight w:val="241"/>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5"/>
              </w:rPr>
              <w:t>Person</w:t>
            </w:r>
          </w:p>
        </w:tc>
        <w:tc>
          <w:tcPr>
            <w:tcW w:w="1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3440" w:type="dxa"/>
            <w:vAlign w:val="bottom"/>
            <w:vMerge w:val="continue"/>
          </w:tcPr>
          <w:p>
            <w:pPr>
              <w:spacing w:after="0"/>
              <w:rPr>
                <w:sz w:val="11"/>
                <w:szCs w:val="11"/>
                <w:color w:val="auto"/>
              </w:rPr>
            </w:pPr>
          </w:p>
        </w:tc>
        <w:tc>
          <w:tcPr>
            <w:tcW w:w="1420" w:type="dxa"/>
            <w:vAlign w:val="bottom"/>
            <w:vMerge w:val="restart"/>
          </w:tcPr>
          <w:p>
            <w:pPr>
              <w:spacing w:after="0" w:line="198" w:lineRule="exact"/>
              <w:rPr>
                <w:sz w:val="20"/>
                <w:szCs w:val="20"/>
                <w:color w:val="auto"/>
              </w:rPr>
            </w:pPr>
            <w:r>
              <w:rPr>
                <w:rFonts w:ascii="Arial" w:cs="Arial" w:eastAsia="Arial" w:hAnsi="Arial"/>
                <w:sz w:val="18"/>
                <w:szCs w:val="18"/>
                <w:b w:val="1"/>
                <w:bCs w:val="1"/>
                <w:color w:val="auto"/>
              </w:rPr>
              <w:t>:10</w:t>
            </w:r>
          </w:p>
        </w:tc>
        <w:tc>
          <w:tcPr>
            <w:tcW w:w="6560" w:type="dxa"/>
            <w:vAlign w:val="bottom"/>
            <w:vMerge w:val="restart"/>
          </w:tcPr>
          <w:p>
            <w:pPr>
              <w:ind w:left="1180"/>
              <w:spacing w:after="0" w:line="198" w:lineRule="exact"/>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63"/>
        </w:trPr>
        <w:tc>
          <w:tcPr>
            <w:tcW w:w="3440" w:type="dxa"/>
            <w:vAlign w:val="bottom"/>
          </w:tcPr>
          <w:p>
            <w:pPr>
              <w:spacing w:after="0"/>
              <w:rPr>
                <w:sz w:val="5"/>
                <w:szCs w:val="5"/>
                <w:color w:val="auto"/>
              </w:rPr>
            </w:pPr>
          </w:p>
        </w:tc>
        <w:tc>
          <w:tcPr>
            <w:tcW w:w="1420" w:type="dxa"/>
            <w:vAlign w:val="bottom"/>
            <w:vMerge w:val="continue"/>
          </w:tcPr>
          <w:p>
            <w:pPr>
              <w:spacing w:after="0"/>
              <w:rPr>
                <w:sz w:val="5"/>
                <w:szCs w:val="5"/>
                <w:color w:val="auto"/>
              </w:rPr>
            </w:pPr>
          </w:p>
        </w:tc>
        <w:tc>
          <w:tcPr>
            <w:tcW w:w="6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44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With</w:t>
            </w: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3440" w:type="dxa"/>
            <w:vAlign w:val="bottom"/>
            <w:vMerge w:val="continue"/>
          </w:tcPr>
          <w:p>
            <w:pPr>
              <w:spacing w:after="0"/>
              <w:rPr>
                <w:sz w:val="13"/>
                <w:szCs w:val="13"/>
                <w:color w:val="auto"/>
              </w:rPr>
            </w:pPr>
          </w:p>
        </w:tc>
        <w:tc>
          <w:tcPr>
            <w:tcW w:w="142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vMerge w:val="restart"/>
          </w:tcPr>
          <w:p>
            <w:pPr>
              <w:ind w:left="1180"/>
              <w:spacing w:after="0"/>
              <w:rPr>
                <w:sz w:val="20"/>
                <w:szCs w:val="20"/>
                <w:color w:val="auto"/>
              </w:rPr>
            </w:pPr>
            <w:r>
              <w:rPr>
                <w:rFonts w:ascii="Arial" w:cs="Arial" w:eastAsia="Arial" w:hAnsi="Arial"/>
                <w:sz w:val="18"/>
                <w:szCs w:val="18"/>
                <w:b w:val="1"/>
                <w:bCs w:val="1"/>
                <w:color w:val="auto"/>
              </w:rPr>
              <w:t>None</w:t>
            </w:r>
          </w:p>
        </w:tc>
        <w:tc>
          <w:tcPr>
            <w:tcW w:w="0" w:type="dxa"/>
            <w:vAlign w:val="bottom"/>
          </w:tcPr>
          <w:p>
            <w:pPr>
              <w:spacing w:after="0"/>
              <w:rPr>
                <w:sz w:val="1"/>
                <w:szCs w:val="1"/>
                <w:color w:val="auto"/>
              </w:rPr>
            </w:pPr>
          </w:p>
        </w:tc>
      </w:tr>
      <w:tr>
        <w:trPr>
          <w:trHeight w:val="63"/>
        </w:trPr>
        <w:tc>
          <w:tcPr>
            <w:tcW w:w="3440" w:type="dxa"/>
            <w:vAlign w:val="bottom"/>
          </w:tcPr>
          <w:p>
            <w:pPr>
              <w:spacing w:after="0"/>
              <w:rPr>
                <w:sz w:val="5"/>
                <w:szCs w:val="5"/>
                <w:color w:val="auto"/>
              </w:rPr>
            </w:pPr>
          </w:p>
        </w:tc>
        <w:tc>
          <w:tcPr>
            <w:tcW w:w="1420" w:type="dxa"/>
            <w:vAlign w:val="bottom"/>
            <w:vMerge w:val="continue"/>
          </w:tcPr>
          <w:p>
            <w:pPr>
              <w:spacing w:after="0"/>
              <w:rPr>
                <w:sz w:val="5"/>
                <w:szCs w:val="5"/>
                <w:color w:val="auto"/>
              </w:rPr>
            </w:pPr>
          </w:p>
        </w:tc>
        <w:tc>
          <w:tcPr>
            <w:tcW w:w="6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3440" w:type="dxa"/>
            <w:vAlign w:val="bottom"/>
          </w:tcPr>
          <w:p>
            <w:pPr>
              <w:spacing w:after="0"/>
              <w:rPr>
                <w:sz w:val="20"/>
                <w:szCs w:val="20"/>
                <w:color w:val="auto"/>
              </w:rPr>
            </w:pPr>
          </w:p>
        </w:tc>
        <w:tc>
          <w:tcPr>
            <w:tcW w:w="1420" w:type="dxa"/>
            <w:vAlign w:val="bottom"/>
          </w:tcPr>
          <w:p>
            <w:pPr>
              <w:spacing w:after="0"/>
              <w:rPr>
                <w:sz w:val="20"/>
                <w:szCs w:val="20"/>
                <w:color w:val="auto"/>
              </w:rPr>
            </w:pPr>
            <w:r>
              <w:rPr>
                <w:rFonts w:ascii="Arial" w:cs="Arial" w:eastAsia="Arial" w:hAnsi="Arial"/>
                <w:sz w:val="18"/>
                <w:szCs w:val="18"/>
                <w:b w:val="1"/>
                <w:bCs w:val="1"/>
                <w:color w:val="auto"/>
              </w:rPr>
              <w:t>:</w:t>
            </w:r>
          </w:p>
        </w:tc>
        <w:tc>
          <w:tcPr>
            <w:tcW w:w="6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840" w:right="5720" w:hanging="832"/>
        <w:spacing w:after="0" w:line="516" w:lineRule="auto"/>
        <w:tabs>
          <w:tab w:leader="none" w:pos="84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Aggregate amount beneficially owned by each reporting person None</w:t>
      </w:r>
    </w:p>
    <w:p>
      <w:pPr>
        <w:spacing w:after="0" w:line="1" w:lineRule="exact"/>
        <w:rPr>
          <w:rFonts w:ascii="Arial" w:cs="Arial" w:eastAsia="Arial" w:hAnsi="Arial"/>
          <w:sz w:val="18"/>
          <w:szCs w:val="18"/>
          <w:b w:val="1"/>
          <w:bCs w:val="1"/>
          <w:color w:val="auto"/>
        </w:rPr>
      </w:pPr>
    </w:p>
    <w:p>
      <w:pPr>
        <w:ind w:left="8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Check box if the aggregate amount in row (11) excludes certain shares</w:t>
      </w:r>
    </w:p>
    <w:p>
      <w:pPr>
        <w:spacing w:after="0" w:line="20" w:lineRule="exact"/>
        <w:rPr>
          <w:rFonts w:ascii="Arial" w:cs="Arial" w:eastAsia="Arial" w:hAnsi="Arial"/>
          <w:sz w:val="18"/>
          <w:szCs w:val="18"/>
          <w:b w:val="1"/>
          <w:bCs w:val="1"/>
          <w:color w:val="auto"/>
        </w:rPr>
      </w:pPr>
    </w:p>
    <w:p>
      <w:pPr>
        <w:ind w:left="840" w:hanging="832"/>
        <w:spacing w:after="0" w:line="187" w:lineRule="auto"/>
        <w:tabs>
          <w:tab w:leader="none" w:pos="840" w:val="left"/>
        </w:tabs>
        <w:numPr>
          <w:ilvl w:val="0"/>
          <w:numId w:val="43"/>
        </w:numPr>
        <w:rPr>
          <w:rFonts w:ascii="Arial" w:cs="Arial" w:eastAsia="Arial" w:hAnsi="Arial"/>
          <w:sz w:val="19"/>
          <w:szCs w:val="19"/>
          <w:b w:val="1"/>
          <w:bCs w:val="1"/>
          <w:color w:val="auto"/>
          <w:vertAlign w:val="subscript"/>
        </w:rPr>
      </w:pPr>
      <w:r>
        <w:rPr>
          <w:rFonts w:ascii="Arial" w:cs="Arial" w:eastAsia="Arial" w:hAnsi="Arial"/>
          <w:sz w:val="11"/>
          <w:szCs w:val="11"/>
          <w:b w:val="1"/>
          <w:bCs w:val="1"/>
          <w:color w:val="auto"/>
        </w:rPr>
        <w:t>(SEE INSTRUCTIONS) X</w:t>
      </w:r>
    </w:p>
    <w:p>
      <w:pPr>
        <w:spacing w:after="0" w:line="200" w:lineRule="exact"/>
        <w:rPr>
          <w:rFonts w:ascii="Arial" w:cs="Arial" w:eastAsia="Arial" w:hAnsi="Arial"/>
          <w:sz w:val="19"/>
          <w:szCs w:val="19"/>
          <w:b w:val="1"/>
          <w:bCs w:val="1"/>
          <w:color w:val="auto"/>
          <w:vertAlign w:val="subscript"/>
        </w:rPr>
      </w:pPr>
    </w:p>
    <w:p>
      <w:pPr>
        <w:spacing w:after="0" w:line="200" w:lineRule="exact"/>
        <w:rPr>
          <w:rFonts w:ascii="Arial" w:cs="Arial" w:eastAsia="Arial" w:hAnsi="Arial"/>
          <w:sz w:val="19"/>
          <w:szCs w:val="19"/>
          <w:b w:val="1"/>
          <w:bCs w:val="1"/>
          <w:color w:val="auto"/>
          <w:vertAlign w:val="subscript"/>
        </w:rPr>
      </w:pPr>
    </w:p>
    <w:p>
      <w:pPr>
        <w:spacing w:after="0" w:line="322" w:lineRule="exact"/>
        <w:rPr>
          <w:rFonts w:ascii="Arial" w:cs="Arial" w:eastAsia="Arial" w:hAnsi="Arial"/>
          <w:sz w:val="19"/>
          <w:szCs w:val="19"/>
          <w:b w:val="1"/>
          <w:bCs w:val="1"/>
          <w:color w:val="auto"/>
          <w:vertAlign w:val="subscript"/>
        </w:rPr>
      </w:pPr>
    </w:p>
    <w:p>
      <w:pPr>
        <w:ind w:left="840" w:right="6700" w:hanging="832"/>
        <w:spacing w:after="0" w:line="363" w:lineRule="auto"/>
        <w:tabs>
          <w:tab w:leader="none" w:pos="840" w:val="left"/>
        </w:tabs>
        <w:numPr>
          <w:ilvl w:val="0"/>
          <w:numId w:val="43"/>
        </w:numPr>
        <w:rPr>
          <w:rFonts w:ascii="Arial" w:cs="Arial" w:eastAsia="Arial" w:hAnsi="Arial"/>
          <w:sz w:val="29"/>
          <w:szCs w:val="29"/>
          <w:b w:val="1"/>
          <w:bCs w:val="1"/>
          <w:color w:val="auto"/>
          <w:vertAlign w:val="superscript"/>
        </w:rPr>
      </w:pPr>
      <w:r>
        <w:rPr>
          <w:rFonts w:ascii="Arial" w:cs="Arial" w:eastAsia="Arial" w:hAnsi="Arial"/>
          <w:sz w:val="18"/>
          <w:szCs w:val="18"/>
          <w:b w:val="1"/>
          <w:bCs w:val="1"/>
          <w:color w:val="auto"/>
        </w:rPr>
        <w:t>Percent of class represented by amount in row (11) 0.00%</w:t>
      </w:r>
    </w:p>
    <w:p>
      <w:pPr>
        <w:ind w:left="840" w:hanging="832"/>
        <w:spacing w:after="0"/>
        <w:tabs>
          <w:tab w:leader="none" w:pos="840" w:val="left"/>
        </w:tabs>
        <w:numPr>
          <w:ilvl w:val="0"/>
          <w:numId w:val="43"/>
        </w:numPr>
        <w:rPr>
          <w:rFonts w:ascii="Arial" w:cs="Arial" w:eastAsia="Arial" w:hAnsi="Arial"/>
          <w:sz w:val="29"/>
          <w:szCs w:val="29"/>
          <w:b w:val="1"/>
          <w:bCs w:val="1"/>
          <w:color w:val="auto"/>
          <w:vertAlign w:val="superscript"/>
        </w:rPr>
      </w:pPr>
      <w:r>
        <w:rPr>
          <w:rFonts w:ascii="Arial" w:cs="Arial" w:eastAsia="Arial" w:hAnsi="Arial"/>
          <w:sz w:val="18"/>
          <w:szCs w:val="18"/>
          <w:b w:val="1"/>
          <w:bCs w:val="1"/>
          <w:color w:val="auto"/>
        </w:rPr>
        <w:t xml:space="preserve">Type of reporting person </w:t>
      </w:r>
      <w:r>
        <w:rPr>
          <w:rFonts w:ascii="Arial" w:cs="Arial" w:eastAsia="Arial" w:hAnsi="Arial"/>
          <w:sz w:val="14"/>
          <w:szCs w:val="14"/>
          <w:b w:val="1"/>
          <w:bCs w:val="1"/>
          <w:color w:val="auto"/>
        </w:rPr>
        <w:t>(SEE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-1388745</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-676910</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1020"/>
        <w:spacing w:after="0"/>
        <w:rPr>
          <w:sz w:val="20"/>
          <w:szCs w:val="20"/>
          <w:color w:val="auto"/>
        </w:rPr>
      </w:pPr>
      <w:r>
        <w:rPr>
          <w:rFonts w:ascii="Arial" w:cs="Arial" w:eastAsia="Arial" w:hAnsi="Arial"/>
          <w:sz w:val="18"/>
          <w:szCs w:val="18"/>
          <w:b w:val="1"/>
          <w:bCs w:val="1"/>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 w:name="page9"/>
    <w:bookmarkEnd w:id="8"/>
    <w:p>
      <w:pPr>
        <w:spacing w:after="0" w:line="83" w:lineRule="exact"/>
        <w:rPr>
          <w:sz w:val="20"/>
          <w:szCs w:val="20"/>
          <w:color w:val="auto"/>
        </w:rPr>
      </w:pPr>
    </w:p>
    <w:p>
      <w:pPr>
        <w:spacing w:after="0"/>
        <w:tabs>
          <w:tab w:leader="none" w:pos="2540" w:val="left"/>
        </w:tabs>
        <w:rPr>
          <w:sz w:val="20"/>
          <w:szCs w:val="20"/>
          <w:color w:val="auto"/>
        </w:rPr>
      </w:pPr>
      <w:r>
        <w:rPr>
          <w:rFonts w:ascii="Arial" w:cs="Arial" w:eastAsia="Arial" w:hAnsi="Arial"/>
          <w:sz w:val="22"/>
          <w:szCs w:val="22"/>
          <w:color w:val="auto"/>
        </w:rPr>
        <w:t>Item 1.</w:t>
      </w:r>
      <w:r>
        <w:rPr>
          <w:sz w:val="20"/>
          <w:szCs w:val="20"/>
          <w:color w:val="auto"/>
        </w:rPr>
        <w:tab/>
      </w:r>
      <w:r>
        <w:rPr>
          <w:rFonts w:ascii="Arial" w:cs="Arial" w:eastAsia="Arial" w:hAnsi="Arial"/>
          <w:sz w:val="19"/>
          <w:szCs w:val="19"/>
          <w:u w:val="single" w:color="auto"/>
          <w:color w:val="auto"/>
        </w:rPr>
        <w:t>Security and Issuer</w:t>
      </w:r>
    </w:p>
    <w:p>
      <w:pPr>
        <w:spacing w:after="0" w:line="9" w:lineRule="exact"/>
        <w:rPr>
          <w:sz w:val="20"/>
          <w:szCs w:val="20"/>
          <w:color w:val="auto"/>
        </w:rPr>
      </w:pPr>
    </w:p>
    <w:p>
      <w:pPr>
        <w:ind w:right="100" w:firstLine="1297"/>
        <w:spacing w:after="0" w:line="233" w:lineRule="auto"/>
        <w:rPr>
          <w:sz w:val="20"/>
          <w:szCs w:val="20"/>
          <w:color w:val="auto"/>
        </w:rPr>
      </w:pPr>
      <w:r>
        <w:rPr>
          <w:rFonts w:ascii="Arial" w:cs="Arial" w:eastAsia="Arial" w:hAnsi="Arial"/>
          <w:sz w:val="22"/>
          <w:szCs w:val="22"/>
          <w:color w:val="auto"/>
        </w:rPr>
        <w:t>This Amendment No. 27 to Schedule 13D on the Common Stock of Oil-Dri Corporation of America (the “Issuer”) is being filed on behalf of the undersigned to amend the Schedule 13D, as amended (the “Schedule 13D”) which was originally filed on November 22, 2000. Unless otherwise indicated, all capitalized terms used herein but not defined herein shall have the same meanings as set forth in the Schedule 13D.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960" w:type="dxa"/>
            <w:vAlign w:val="bottom"/>
          </w:tcPr>
          <w:p>
            <w:pPr>
              <w:spacing w:after="0"/>
              <w:rPr>
                <w:sz w:val="20"/>
                <w:szCs w:val="20"/>
                <w:color w:val="auto"/>
              </w:rPr>
            </w:pPr>
            <w:r>
              <w:rPr>
                <w:rFonts w:ascii="Arial" w:cs="Arial" w:eastAsia="Arial" w:hAnsi="Arial"/>
                <w:sz w:val="22"/>
                <w:szCs w:val="22"/>
                <w:color w:val="auto"/>
              </w:rPr>
              <w:t>Item 2.</w:t>
            </w:r>
          </w:p>
        </w:tc>
        <w:tc>
          <w:tcPr>
            <w:tcW w:w="1600" w:type="dxa"/>
            <w:vAlign w:val="bottom"/>
          </w:tcPr>
          <w:p>
            <w:pPr>
              <w:spacing w:after="0"/>
              <w:rPr>
                <w:sz w:val="21"/>
                <w:szCs w:val="21"/>
                <w:color w:val="auto"/>
              </w:rPr>
            </w:pPr>
          </w:p>
        </w:tc>
        <w:tc>
          <w:tcPr>
            <w:tcW w:w="216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0"/>
              </w:rPr>
              <w:t>Identity and Background</w:t>
            </w:r>
          </w:p>
        </w:tc>
        <w:tc>
          <w:tcPr>
            <w:tcW w:w="4960" w:type="dxa"/>
            <w:vAlign w:val="bottom"/>
          </w:tcPr>
          <w:p>
            <w:pPr>
              <w:spacing w:after="0"/>
              <w:rPr>
                <w:sz w:val="21"/>
                <w:szCs w:val="21"/>
                <w:color w:val="auto"/>
              </w:rPr>
            </w:pPr>
          </w:p>
        </w:tc>
      </w:tr>
      <w:tr>
        <w:trPr>
          <w:trHeight w:val="242"/>
        </w:trPr>
        <w:tc>
          <w:tcPr>
            <w:tcW w:w="960" w:type="dxa"/>
            <w:vAlign w:val="bottom"/>
          </w:tcPr>
          <w:p>
            <w:pPr>
              <w:spacing w:after="0"/>
              <w:rPr>
                <w:sz w:val="21"/>
                <w:szCs w:val="21"/>
                <w:color w:val="auto"/>
              </w:rPr>
            </w:pPr>
          </w:p>
        </w:tc>
        <w:tc>
          <w:tcPr>
            <w:tcW w:w="8720" w:type="dxa"/>
            <w:vAlign w:val="bottom"/>
            <w:gridSpan w:val="3"/>
          </w:tcPr>
          <w:p>
            <w:pPr>
              <w:ind w:left="340"/>
              <w:spacing w:after="0" w:line="242" w:lineRule="exact"/>
              <w:rPr>
                <w:sz w:val="20"/>
                <w:szCs w:val="20"/>
                <w:color w:val="auto"/>
              </w:rPr>
            </w:pPr>
            <w:r>
              <w:rPr>
                <w:rFonts w:ascii="Arial" w:cs="Arial" w:eastAsia="Arial" w:hAnsi="Arial"/>
                <w:sz w:val="22"/>
                <w:szCs w:val="22"/>
                <w:color w:val="auto"/>
              </w:rPr>
              <w:t>Item 2 to Schedule 13D is amended, in pertinent part, as follows:</w:t>
            </w:r>
          </w:p>
        </w:tc>
      </w:tr>
      <w:tr>
        <w:trPr>
          <w:trHeight w:val="261"/>
        </w:trPr>
        <w:tc>
          <w:tcPr>
            <w:tcW w:w="960" w:type="dxa"/>
            <w:vAlign w:val="bottom"/>
          </w:tcPr>
          <w:p>
            <w:pPr>
              <w:spacing w:after="0"/>
              <w:rPr>
                <w:sz w:val="22"/>
                <w:szCs w:val="22"/>
                <w:color w:val="auto"/>
              </w:rPr>
            </w:pPr>
          </w:p>
        </w:tc>
        <w:tc>
          <w:tcPr>
            <w:tcW w:w="8720" w:type="dxa"/>
            <w:vAlign w:val="bottom"/>
            <w:gridSpan w:val="3"/>
          </w:tcPr>
          <w:p>
            <w:pPr>
              <w:ind w:left="340"/>
              <w:spacing w:after="0"/>
              <w:rPr>
                <w:sz w:val="20"/>
                <w:szCs w:val="20"/>
                <w:color w:val="auto"/>
              </w:rPr>
            </w:pPr>
            <w:r>
              <w:rPr>
                <w:rFonts w:ascii="Arial" w:cs="Arial" w:eastAsia="Arial" w:hAnsi="Arial"/>
                <w:sz w:val="22"/>
                <w:szCs w:val="22"/>
                <w:color w:val="auto"/>
                <w:w w:val="91"/>
              </w:rPr>
              <w:t>This statement is being filed by Mario J. Gabelli (“Mario Gabelli”) and various entities which he</w:t>
            </w:r>
          </w:p>
        </w:tc>
      </w:tr>
    </w:tbl>
    <w:p>
      <w:pPr>
        <w:ind w:right="40"/>
        <w:spacing w:after="0" w:line="230" w:lineRule="auto"/>
        <w:rPr>
          <w:sz w:val="20"/>
          <w:szCs w:val="20"/>
          <w:color w:val="auto"/>
        </w:rPr>
      </w:pPr>
      <w:r>
        <w:rPr>
          <w:rFonts w:ascii="Arial" w:cs="Arial" w:eastAsia="Arial" w:hAnsi="Arial"/>
          <w:sz w:val="22"/>
          <w:szCs w:val="22"/>
          <w:color w:val="auto"/>
        </w:rPr>
        <w:t>directly or indirectly controls or for which he acts as chief investment officer. These entities, except for LICT Corporation (“LICT) and CIBL, Inc. (“CIBL”), engage in various aspects of the securities business, primarily as investment adviser to various institutional and individual clients, including registered investment companies and pension plans, and as general partner or the equivalent of various private investment partnerships or private funds and as a registered broker-dealer. Certain of these entities may also make investments for their own accounts.</w:t>
      </w:r>
    </w:p>
    <w:p>
      <w:pPr>
        <w:spacing w:after="0" w:line="3" w:lineRule="exact"/>
        <w:rPr>
          <w:sz w:val="20"/>
          <w:szCs w:val="20"/>
          <w:color w:val="auto"/>
        </w:rPr>
      </w:pPr>
    </w:p>
    <w:p>
      <w:pPr>
        <w:ind w:right="60" w:firstLine="1297"/>
        <w:spacing w:after="0" w:line="267" w:lineRule="auto"/>
        <w:rPr>
          <w:sz w:val="20"/>
          <w:szCs w:val="20"/>
          <w:color w:val="auto"/>
        </w:rPr>
      </w:pPr>
      <w:r>
        <w:rPr>
          <w:rFonts w:ascii="Arial" w:cs="Arial" w:eastAsia="Arial" w:hAnsi="Arial"/>
          <w:sz w:val="19"/>
          <w:szCs w:val="19"/>
          <w:color w:val="auto"/>
        </w:rPr>
        <w:t>The foregoing persons in the aggregate often own beneficially more than 5% of a class of equity securities of a particular issuer. Although several of the foregoing persons are treated as institutional investors for purposes of reporting their beneficial ownership on the short-form Schedule 13G, the holdings of those who do not qualify as institutional investors may exceed the 1% threshold presented for filing on Schedule 13G or implementation of their investment philosophy may from time to time require action which could be viewed as not completely passive. In order to avoid any question as to whether their beneficial ownership is being reported on the proper form and in order to provide greater investment flexibility and administrative uniformity, these persons have decided to file their beneficial ownership reports on the more detailed Schedule 13D form rather than on the short-form Schedule 13G and thereby to provide more expansive disclosure than may be necessary.</w:t>
      </w:r>
    </w:p>
    <w:p>
      <w:pPr>
        <w:ind w:firstLine="1297"/>
        <w:spacing w:after="0" w:line="241" w:lineRule="auto"/>
        <w:rPr>
          <w:sz w:val="20"/>
          <w:szCs w:val="20"/>
          <w:color w:val="auto"/>
        </w:rPr>
      </w:pPr>
      <w:r>
        <w:rPr>
          <w:rFonts w:ascii="Arial" w:cs="Arial" w:eastAsia="Arial" w:hAnsi="Arial"/>
          <w:sz w:val="21"/>
          <w:szCs w:val="21"/>
          <w:color w:val="auto"/>
        </w:rPr>
        <w:t>(a), (b) and (c) - This statement is being filed by one or more of the following persons: GGCP, Inc. (“GGCP”), GGCP Holdings LLC (“GGCP Holdings”), GAMCO Investors, Inc. (“GBL”), Associated Capital Group, Inc. (“AC”), Gabelli Funds, LLC (“Gabelli Funds”), GAMCO Asset Management Inc. (“GAMCO”), Teton Advisors, Inc. (“Teton Advisors”), Gabelli &amp; Company Investment Advisers, Inc. (“GCIA”), Morgan Group Holding Co., (“MGH”), G.research, LLC (“G.research”), MJG Associates, Inc. (“MJG Associates”), Gabelli Foundation, Inc. (“Foundation”), Mario Gabelli, LICT and CIBL. Those of the foregoing persons signing this Schedule 13D are hereinafter referred to as the “Reporting Persons”.</w:t>
      </w:r>
    </w:p>
    <w:p>
      <w:pPr>
        <w:spacing w:after="0" w:line="4" w:lineRule="exact"/>
        <w:rPr>
          <w:sz w:val="20"/>
          <w:szCs w:val="20"/>
          <w:color w:val="auto"/>
        </w:rPr>
      </w:pPr>
    </w:p>
    <w:p>
      <w:pPr>
        <w:ind w:right="40" w:firstLine="1297"/>
        <w:spacing w:after="0" w:line="230" w:lineRule="auto"/>
        <w:rPr>
          <w:sz w:val="20"/>
          <w:szCs w:val="20"/>
          <w:color w:val="auto"/>
        </w:rPr>
      </w:pPr>
      <w:r>
        <w:rPr>
          <w:rFonts w:ascii="Arial" w:cs="Arial" w:eastAsia="Arial" w:hAnsi="Arial"/>
          <w:sz w:val="22"/>
          <w:szCs w:val="22"/>
          <w:color w:val="auto"/>
        </w:rPr>
        <w:t>GGCP makes investments for its own account and is the manager and a member of GGCP Holdings which is the controlling shareholder of GBL and AC. GBL, a public company listed on the New York Stock Exchange, is the parent company for a variety of companies engaged in the securities business, including certain of those named below. AC, a public company listed on the New York Stock Exchange, is the parent company for a variety of companies engaged in the securities business, including certain of those listed below.</w:t>
      </w:r>
    </w:p>
    <w:p>
      <w:pPr>
        <w:spacing w:after="0" w:line="3" w:lineRule="exact"/>
        <w:rPr>
          <w:sz w:val="20"/>
          <w:szCs w:val="20"/>
          <w:color w:val="auto"/>
        </w:rPr>
      </w:pPr>
    </w:p>
    <w:p>
      <w:pPr>
        <w:ind w:right="120" w:firstLine="1297"/>
        <w:spacing w:after="0" w:line="230" w:lineRule="auto"/>
        <w:rPr>
          <w:sz w:val="20"/>
          <w:szCs w:val="20"/>
          <w:color w:val="auto"/>
        </w:rPr>
      </w:pPr>
      <w:r>
        <w:rPr>
          <w:rFonts w:ascii="Arial" w:cs="Arial" w:eastAsia="Arial" w:hAnsi="Arial"/>
          <w:sz w:val="22"/>
          <w:szCs w:val="22"/>
          <w:color w:val="auto"/>
        </w:rPr>
        <w:t>GAMCO, a wholly-owned subsidiary of GBL, is an investment adviser registered under the Investment Advisers Act of 1940, as amended (“Advisers Act”). GAMCO is an investment manager providing discretionary managed account services for employee benefit plans, private investors, endowments, foundations and others.</w:t>
      </w:r>
    </w:p>
    <w:p>
      <w:pPr>
        <w:spacing w:after="0" w:line="2" w:lineRule="exact"/>
        <w:rPr>
          <w:sz w:val="20"/>
          <w:szCs w:val="20"/>
          <w:color w:val="auto"/>
        </w:rPr>
      </w:pPr>
    </w:p>
    <w:p>
      <w:pPr>
        <w:ind w:right="80" w:firstLine="1297"/>
        <w:spacing w:after="0" w:line="241" w:lineRule="auto"/>
        <w:rPr>
          <w:sz w:val="20"/>
          <w:szCs w:val="20"/>
          <w:color w:val="auto"/>
        </w:rPr>
      </w:pPr>
      <w:r>
        <w:rPr>
          <w:rFonts w:ascii="Arial" w:cs="Arial" w:eastAsia="Arial" w:hAnsi="Arial"/>
          <w:sz w:val="21"/>
          <w:szCs w:val="21"/>
          <w:color w:val="auto"/>
        </w:rPr>
        <w:t>GCIA, a wholly owned subsidiary of AC, is an investment adviser registered under the Advisers Act and serves as a general partner or investment manager to limited partnerships and offshore investment companies and other accounts. As a part of its business, GCIA may purchase or sell securities for its own account. GCIA is a general partner or investment manager of a number of funds or partnerships, including Gabelli Associates Fund, L.P., Gabelli Associates Fund II, L.P., Gabelli Associates Limited, Gabelli Associates Limited II E, ALCE Partners, L.P., Gabelli Capital Structure Arbitrage Fund LP, Gabelli Capital Structure Arbitrage Fund Limited, Gabelli Intermediate Credit Fund L.P., GAMA Select Energy + L.P., GAMCO Medical Opportunities L.P., and Gabelli Multimedia Partners, L.P.</w:t>
      </w:r>
    </w:p>
    <w:p>
      <w:pPr>
        <w:spacing w:after="0" w:line="4" w:lineRule="exact"/>
        <w:rPr>
          <w:sz w:val="20"/>
          <w:szCs w:val="20"/>
          <w:color w:val="auto"/>
        </w:rPr>
      </w:pPr>
    </w:p>
    <w:p>
      <w:pPr>
        <w:ind w:right="60" w:firstLine="1297"/>
        <w:spacing w:after="0" w:line="230" w:lineRule="auto"/>
        <w:rPr>
          <w:sz w:val="20"/>
          <w:szCs w:val="20"/>
          <w:color w:val="auto"/>
        </w:rPr>
      </w:pPr>
      <w:r>
        <w:rPr>
          <w:rFonts w:ascii="Arial" w:cs="Arial" w:eastAsia="Arial" w:hAnsi="Arial"/>
          <w:sz w:val="22"/>
          <w:szCs w:val="22"/>
          <w:color w:val="auto"/>
        </w:rPr>
        <w:t>G.research is a wholly owned subsidiary of MGH. MGH in turn is controlled by AC through an 83% ownership interest. G.research, is a broker-dealer registered under the Securities Exchange Act of 1934, as amended (“1934 Act”), which as a part of its business regularly purchases and sells securities for its own account.</w:t>
      </w:r>
    </w:p>
    <w:p>
      <w:pPr>
        <w:spacing w:after="0" w:line="2" w:lineRule="exact"/>
        <w:rPr>
          <w:sz w:val="20"/>
          <w:szCs w:val="20"/>
          <w:color w:val="auto"/>
        </w:rPr>
      </w:pPr>
    </w:p>
    <w:p>
      <w:pPr>
        <w:ind w:right="40" w:firstLine="1297"/>
        <w:spacing w:after="0" w:line="243" w:lineRule="auto"/>
        <w:rPr>
          <w:sz w:val="20"/>
          <w:szCs w:val="20"/>
          <w:color w:val="auto"/>
        </w:rPr>
      </w:pPr>
      <w:r>
        <w:rPr>
          <w:rFonts w:ascii="Arial" w:cs="Arial" w:eastAsia="Arial" w:hAnsi="Arial"/>
          <w:sz w:val="20"/>
          <w:szCs w:val="20"/>
          <w:color w:val="auto"/>
        </w:rPr>
        <w:t xml:space="preserve">Gabelli Funds, a wholly owned subsidiary of GBL, is a limited liability company. Gabelli Funds is an investment adviser registered under the Advisers Act which provides advisory services for The Gabelli Equity Trust Inc., The Gabelli Asset Fund, The GAMCO Growth Fund, The Gabelli Convertible and Income Securities Fund Inc., The Gabelli Value 25 Fund Inc., The Gabelli Small Cap Growth Fund, The Gabelli Equity Income Fund, The Gabelli ABC Fund, The GAMCO Global Content &amp; Connectivity Fund, The Gabelli Gold Fund, Inc., The Gabelli Multimedia Trust Inc., The Gabelli Global Rising Income &amp; Dividend Fund, The Gabelli Capital Asset Fund, The GAMCO International Growth Fund, Inc., The GAMCO Global Growth Fund, The Gabelli Utility Trust, The Gabelli Utilities Fund, The Gabelli Dividend Growth Fund, The Gabelli Focus Five Fund, The Comstock Capital Value Fund, The Gabelli Dividend and Income Trust, The Gabelli Global Utility &amp; Income Trust, The GAMCO Global Gold, Natural Resources, &amp; Income Trust, The GAMCO Natural Resources Gold &amp; Income Trust, The GDL Fund, Gabelli Enterprise Mergers &amp; Acquisitions Fund, The Gabelli ESG Fund, Inc., The Gabelli International Small Cap Fund, The Gabelli Healthcare &amp; Wellness </w:t>
      </w:r>
      <w:r>
        <w:rPr>
          <w:rFonts w:ascii="Arial" w:cs="Arial" w:eastAsia="Arial" w:hAnsi="Arial"/>
          <w:sz w:val="33"/>
          <w:szCs w:val="33"/>
          <w:color w:val="auto"/>
          <w:vertAlign w:val="superscript"/>
        </w:rPr>
        <w:t>Rx</w:t>
      </w:r>
      <w:r>
        <w:rPr>
          <w:rFonts w:ascii="Arial" w:cs="Arial" w:eastAsia="Arial" w:hAnsi="Arial"/>
          <w:sz w:val="20"/>
          <w:szCs w:val="20"/>
          <w:color w:val="auto"/>
        </w:rPr>
        <w:t xml:space="preserve"> Trust, The Gabelli Global Small and Mid Cap Value Trust, Gabelli Value Plus+ Trust, Gabelli Merger Plus+ Trust Plc, The Gabelli Global Financial Services Fund, The Gabelli Global Mini Mites Fund, The Gabelli Go Anywhere Trust, The Gabelli Media Mogul Fund, The Gabelli Pet Parents’ Fund, The Gabelli U.S. Treasury Money Market Fund, Bancroft Fund Ltd. and Ellsworth Growth &amp; Income Fund Ltd. (collectively, the “Funds”), which are registered investment companies. Gabelli Funds is also the investment adviser to The GAMCO International SICAV (sub-funds GAMCO Merger Arbitrage and GAMCO All Cap Value), a UCITS III vehicle.</w:t>
      </w:r>
    </w:p>
    <w:p>
      <w:pPr>
        <w:spacing w:after="0" w:line="13" w:lineRule="exact"/>
        <w:rPr>
          <w:sz w:val="20"/>
          <w:szCs w:val="20"/>
          <w:color w:val="auto"/>
        </w:rPr>
      </w:pPr>
    </w:p>
    <w:p>
      <w:pPr>
        <w:ind w:right="40" w:firstLine="1297"/>
        <w:spacing w:after="0" w:line="197" w:lineRule="auto"/>
        <w:rPr>
          <w:sz w:val="20"/>
          <w:szCs w:val="20"/>
          <w:color w:val="auto"/>
        </w:rPr>
      </w:pPr>
      <w:r>
        <w:rPr>
          <w:rFonts w:ascii="Arial" w:cs="Arial" w:eastAsia="Arial" w:hAnsi="Arial"/>
          <w:sz w:val="21"/>
          <w:szCs w:val="21"/>
          <w:color w:val="auto"/>
        </w:rPr>
        <w:t>Teton Advisors, an investment adviser registered under the Advisers Act, provides discretionary advisory services to The TETON Westwood Mighty Mites</w:t>
      </w:r>
      <w:r>
        <w:rPr>
          <w:rFonts w:ascii="Arial" w:cs="Arial" w:eastAsia="Arial" w:hAnsi="Arial"/>
          <w:sz w:val="35"/>
          <w:szCs w:val="35"/>
          <w:color w:val="auto"/>
          <w:vertAlign w:val="superscript"/>
        </w:rPr>
        <w:t>sm</w:t>
      </w:r>
      <w:r>
        <w:rPr>
          <w:rFonts w:ascii="Arial" w:cs="Arial" w:eastAsia="Arial" w:hAnsi="Arial"/>
          <w:sz w:val="21"/>
          <w:szCs w:val="21"/>
          <w:color w:val="auto"/>
        </w:rPr>
        <w:t xml:space="preserve"> Fund, The TETON Westwood Income Fund, The TETON Westwood SmallCap Equity Fund, TETON Westwood Intermediate Bond Fund, and The TETON Westwood Mid-Cap Equity Fund.</w:t>
      </w:r>
    </w:p>
    <w:p>
      <w:pPr>
        <w:spacing w:after="0" w:line="2" w:lineRule="exact"/>
        <w:rPr>
          <w:sz w:val="20"/>
          <w:szCs w:val="20"/>
          <w:color w:val="auto"/>
        </w:rPr>
      </w:pPr>
    </w:p>
    <w:p>
      <w:pPr>
        <w:ind w:right="120" w:firstLine="1297"/>
        <w:spacing w:after="0" w:line="287" w:lineRule="auto"/>
        <w:rPr>
          <w:sz w:val="20"/>
          <w:szCs w:val="20"/>
          <w:color w:val="auto"/>
        </w:rPr>
      </w:pPr>
      <w:r>
        <w:rPr>
          <w:rFonts w:ascii="Arial" w:cs="Arial" w:eastAsia="Arial" w:hAnsi="Arial"/>
          <w:sz w:val="19"/>
          <w:szCs w:val="19"/>
          <w:color w:val="auto"/>
        </w:rPr>
        <w:t>MJG Associates provides advisory services to private investment partnerships and offshore funds. Mario Gabelli is the sole shareholder, director and employee of MJG Associates. MJG Associates is the Investment Manager of Gabelli International Limited and Gabelli Fund, LDC. Mario J. Gabelli is the general partner of Gabelli Performance Partnership, LP.</w:t>
      </w:r>
    </w:p>
    <w:p>
      <w:pPr>
        <w:sectPr>
          <w:pgSz w:w="11900" w:h="16921" w:orient="portrait"/>
          <w:cols w:equalWidth="0" w:num="1">
            <w:col w:w="11420"/>
          </w:cols>
          <w:pgMar w:left="240" w:top="118" w:right="239" w:bottom="0" w:gutter="0" w:footer="0" w:header="0"/>
        </w:sectPr>
      </w:pPr>
    </w:p>
    <w:bookmarkStart w:id="9" w:name="page10"/>
    <w:bookmarkEnd w:id="9"/>
    <w:p>
      <w:pPr>
        <w:ind w:right="300" w:firstLine="1297"/>
        <w:spacing w:after="0" w:line="239" w:lineRule="auto"/>
        <w:rPr>
          <w:sz w:val="20"/>
          <w:szCs w:val="20"/>
          <w:color w:val="auto"/>
        </w:rPr>
      </w:pPr>
      <w:r>
        <w:rPr>
          <w:rFonts w:ascii="Arial" w:cs="Arial" w:eastAsia="Arial" w:hAnsi="Arial"/>
          <w:sz w:val="22"/>
          <w:szCs w:val="22"/>
          <w:color w:val="auto"/>
        </w:rPr>
        <w:t>The Foundation is a private foundation. Mario Gabelli is the Chairman, a Trustee and the Investment Manager of the Foundation. Elisa M. Wilson is the President of the Foundation.</w:t>
      </w:r>
    </w:p>
    <w:p>
      <w:pPr>
        <w:spacing w:after="0" w:line="1" w:lineRule="exact"/>
        <w:rPr>
          <w:sz w:val="20"/>
          <w:szCs w:val="20"/>
          <w:color w:val="auto"/>
        </w:rPr>
      </w:pPr>
    </w:p>
    <w:p>
      <w:pPr>
        <w:ind w:right="20" w:firstLine="1297"/>
        <w:spacing w:after="0" w:line="267" w:lineRule="auto"/>
        <w:rPr>
          <w:sz w:val="20"/>
          <w:szCs w:val="20"/>
          <w:color w:val="auto"/>
        </w:rPr>
      </w:pPr>
      <w:r>
        <w:rPr>
          <w:rFonts w:ascii="Arial" w:cs="Arial" w:eastAsia="Arial" w:hAnsi="Arial"/>
          <w:sz w:val="19"/>
          <w:szCs w:val="19"/>
          <w:color w:val="auto"/>
        </w:rPr>
        <w:t>LICT is a holding company with operating subsidiaries engaged primarily in the rural telephone industry. LICT actively pursues new business ventures and acquisitions. LICT makes investments in marketable securities to preserve capital and maintain liquidity for financing their business activities and acquisitions and are not engaged in the business of investing, or trading in securities. Mario J. Gabelli is the Chief Executive Officer, a director, and substantial shareholder of LICT.</w:t>
      </w:r>
    </w:p>
    <w:p>
      <w:pPr>
        <w:ind w:right="40" w:firstLine="1297"/>
        <w:spacing w:after="0" w:line="241" w:lineRule="auto"/>
        <w:rPr>
          <w:sz w:val="20"/>
          <w:szCs w:val="20"/>
          <w:color w:val="auto"/>
        </w:rPr>
      </w:pPr>
      <w:r>
        <w:rPr>
          <w:rFonts w:ascii="Arial" w:cs="Arial" w:eastAsia="Arial" w:hAnsi="Arial"/>
          <w:sz w:val="21"/>
          <w:szCs w:val="21"/>
          <w:color w:val="auto"/>
        </w:rPr>
        <w:t>CIBL is a holding company with interests in telecommunications operations, primarily in the rural telephone industry. CIBL actively pursues new business ventures and acquisitions. CIBL makes investments in marketable securities to preserve capital and maintain liquidity for financing their business activities and acquisitions and are not engaged in the business of investing, or trading in securities. Mario J. Gabelli is a director, and substantial shareholder of CIBL.</w:t>
      </w:r>
    </w:p>
    <w:p>
      <w:pPr>
        <w:spacing w:after="0" w:line="2" w:lineRule="exact"/>
        <w:rPr>
          <w:sz w:val="20"/>
          <w:szCs w:val="20"/>
          <w:color w:val="auto"/>
        </w:rPr>
      </w:pPr>
    </w:p>
    <w:p>
      <w:pPr>
        <w:ind w:right="100" w:firstLine="1297"/>
        <w:spacing w:after="0" w:line="230" w:lineRule="auto"/>
        <w:rPr>
          <w:sz w:val="20"/>
          <w:szCs w:val="20"/>
          <w:color w:val="auto"/>
        </w:rPr>
      </w:pPr>
      <w:r>
        <w:rPr>
          <w:rFonts w:ascii="Arial" w:cs="Arial" w:eastAsia="Arial" w:hAnsi="Arial"/>
          <w:sz w:val="22"/>
          <w:szCs w:val="22"/>
          <w:color w:val="auto"/>
        </w:rPr>
        <w:t>Mario Gabelli is the controlling stockholder, Chief Executive Officer and a director of GGCP and Chairman and Chief Executive Officer of GBL. He is the Executive Chairman of AC. Mario Gabelli is also a member of GGCP Holdings. Mario Gabelli is the controlling shareholder of Teton.</w:t>
      </w:r>
    </w:p>
    <w:p>
      <w:pPr>
        <w:ind w:left="1300"/>
        <w:spacing w:after="0" w:line="232" w:lineRule="auto"/>
        <w:rPr>
          <w:sz w:val="20"/>
          <w:szCs w:val="20"/>
          <w:color w:val="auto"/>
        </w:rPr>
      </w:pPr>
      <w:r>
        <w:rPr>
          <w:rFonts w:ascii="Arial" w:cs="Arial" w:eastAsia="Arial" w:hAnsi="Arial"/>
          <w:sz w:val="22"/>
          <w:szCs w:val="22"/>
          <w:color w:val="auto"/>
        </w:rPr>
        <w:t>The Reporting Persons do not admit that they constitute a group.</w:t>
      </w:r>
    </w:p>
    <w:p>
      <w:pPr>
        <w:spacing w:after="0" w:line="1" w:lineRule="exact"/>
        <w:rPr>
          <w:sz w:val="20"/>
          <w:szCs w:val="20"/>
          <w:color w:val="auto"/>
        </w:rPr>
      </w:pPr>
    </w:p>
    <w:p>
      <w:pPr>
        <w:ind w:right="20" w:firstLine="1297"/>
        <w:spacing w:after="0" w:line="267" w:lineRule="auto"/>
        <w:rPr>
          <w:sz w:val="20"/>
          <w:szCs w:val="20"/>
          <w:color w:val="auto"/>
        </w:rPr>
      </w:pPr>
      <w:r>
        <w:rPr>
          <w:rFonts w:ascii="Arial" w:cs="Arial" w:eastAsia="Arial" w:hAnsi="Arial"/>
          <w:sz w:val="19"/>
          <w:szCs w:val="19"/>
          <w:color w:val="auto"/>
        </w:rPr>
        <w:t>GAMCO is a New York corporation and GBL, MGH and Teton Advisors are Delaware corporations, each having its principal business office at One Corporate Center, Rye, New York 10580. GGCP is a Wyoming corporation and AC and GCIA are Delaware corporations each having its principal business office 191 Mason Street, Greenwich, CT 06830. GGCP Holdings is a Delaware limited liability corporation having its principal business office at 191 Mason Street, Greenwich, CT 06830. G.research is a Delaware limited liability company having its principal officers at One Corporate Center, Rye, New York 10580. Gabelli Funds is a New York limited liability company having its principal business office at One Corporate Center, Rye, New York 10580. MJG Associates is a Connecticut corporation having its principal business office at 191 Mason Street, Greenwich, CT</w:t>
      </w:r>
    </w:p>
    <w:p>
      <w:pPr>
        <w:spacing w:after="0"/>
        <w:rPr>
          <w:sz w:val="20"/>
          <w:szCs w:val="20"/>
          <w:color w:val="auto"/>
        </w:rPr>
      </w:pPr>
      <w:r>
        <w:rPr>
          <w:rFonts w:ascii="Arial" w:cs="Arial" w:eastAsia="Arial" w:hAnsi="Arial"/>
          <w:sz w:val="19"/>
          <w:szCs w:val="19"/>
          <w:color w:val="auto"/>
        </w:rPr>
        <w:t>06830. The Foundation is a Nevada corporation having its principal offices at 165 West Liberty Street, Reno, Nevada 89501.</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LICT is a Delaware corporation having its principal place of business as 401 Theodore Fremd Avenue, Rye, New York 10580.</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CIBL, Inc. is a Delaware corporation having its principal place of business as 165 West Liberty Street, Suite 220, Reno, NV 89501.</w:t>
      </w:r>
    </w:p>
    <w:p>
      <w:pPr>
        <w:spacing w:after="0" w:line="25" w:lineRule="exact"/>
        <w:rPr>
          <w:sz w:val="20"/>
          <w:szCs w:val="20"/>
          <w:color w:val="auto"/>
        </w:rPr>
      </w:pPr>
    </w:p>
    <w:p>
      <w:pPr>
        <w:jc w:val="both"/>
        <w:ind w:right="60" w:firstLine="1297"/>
        <w:spacing w:after="0" w:line="230" w:lineRule="auto"/>
        <w:rPr>
          <w:sz w:val="20"/>
          <w:szCs w:val="20"/>
          <w:color w:val="auto"/>
        </w:rPr>
      </w:pPr>
      <w:r>
        <w:rPr>
          <w:rFonts w:ascii="Arial" w:cs="Arial" w:eastAsia="Arial" w:hAnsi="Arial"/>
          <w:sz w:val="22"/>
          <w:szCs w:val="22"/>
          <w:color w:val="auto"/>
        </w:rPr>
        <w:t>For information required by instruction C to Schedule 13D with respect to the executive officers and directors of the foregoing entities and other related persons (collectively, “Covered Persons”), reference is made to Schedule I annexed hereto and incorporated herein by reference.</w:t>
      </w:r>
    </w:p>
    <w:p>
      <w:pPr>
        <w:ind w:left="1620" w:hanging="315"/>
        <w:spacing w:after="0" w:line="232" w:lineRule="auto"/>
        <w:tabs>
          <w:tab w:leader="none" w:pos="1620" w:val="left"/>
        </w:tabs>
        <w:numPr>
          <w:ilvl w:val="0"/>
          <w:numId w:val="44"/>
        </w:numPr>
        <w:rPr>
          <w:rFonts w:ascii="Arial" w:cs="Arial" w:eastAsia="Arial" w:hAnsi="Arial"/>
          <w:sz w:val="22"/>
          <w:szCs w:val="22"/>
          <w:color w:val="auto"/>
        </w:rPr>
      </w:pPr>
      <w:r>
        <w:rPr>
          <w:rFonts w:ascii="Arial" w:cs="Arial" w:eastAsia="Arial" w:hAnsi="Arial"/>
          <w:sz w:val="22"/>
          <w:szCs w:val="22"/>
          <w:color w:val="auto"/>
        </w:rPr>
        <w:t>– Not applicable.</w:t>
      </w:r>
    </w:p>
    <w:p>
      <w:pPr>
        <w:ind w:left="1600" w:hanging="295"/>
        <w:spacing w:after="0" w:line="230" w:lineRule="auto"/>
        <w:tabs>
          <w:tab w:leader="none" w:pos="1600" w:val="left"/>
        </w:tabs>
        <w:numPr>
          <w:ilvl w:val="0"/>
          <w:numId w:val="44"/>
        </w:numPr>
        <w:rPr>
          <w:rFonts w:ascii="Arial" w:cs="Arial" w:eastAsia="Arial" w:hAnsi="Arial"/>
          <w:sz w:val="22"/>
          <w:szCs w:val="22"/>
          <w:color w:val="auto"/>
        </w:rPr>
      </w:pPr>
      <w:r>
        <w:rPr>
          <w:rFonts w:ascii="Arial" w:cs="Arial" w:eastAsia="Arial" w:hAnsi="Arial"/>
          <w:sz w:val="22"/>
          <w:szCs w:val="22"/>
          <w:color w:val="auto"/>
        </w:rPr>
        <w:t>– Not applicable.</w:t>
      </w:r>
    </w:p>
    <w:p>
      <w:pPr>
        <w:ind w:left="1580" w:hanging="275"/>
        <w:spacing w:after="0"/>
        <w:tabs>
          <w:tab w:leader="none" w:pos="1580" w:val="left"/>
        </w:tabs>
        <w:numPr>
          <w:ilvl w:val="0"/>
          <w:numId w:val="44"/>
        </w:numPr>
        <w:rPr>
          <w:rFonts w:ascii="Arial" w:cs="Arial" w:eastAsia="Arial" w:hAnsi="Arial"/>
          <w:sz w:val="22"/>
          <w:szCs w:val="22"/>
          <w:color w:val="auto"/>
        </w:rPr>
      </w:pPr>
      <w:r>
        <w:rPr>
          <w:rFonts w:ascii="Arial" w:cs="Arial" w:eastAsia="Arial" w:hAnsi="Arial"/>
          <w:sz w:val="22"/>
          <w:szCs w:val="22"/>
          <w:color w:val="auto"/>
        </w:rPr>
        <w:t>– Reference is made to Schedule I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960" w:type="dxa"/>
            <w:vAlign w:val="bottom"/>
          </w:tcPr>
          <w:p>
            <w:pPr>
              <w:spacing w:after="0"/>
              <w:rPr>
                <w:sz w:val="20"/>
                <w:szCs w:val="20"/>
                <w:color w:val="auto"/>
              </w:rPr>
            </w:pPr>
            <w:r>
              <w:rPr>
                <w:rFonts w:ascii="Arial" w:cs="Arial" w:eastAsia="Arial" w:hAnsi="Arial"/>
                <w:sz w:val="22"/>
                <w:szCs w:val="22"/>
                <w:color w:val="auto"/>
              </w:rPr>
              <w:t>Item 5.</w:t>
            </w:r>
          </w:p>
        </w:tc>
        <w:tc>
          <w:tcPr>
            <w:tcW w:w="1600" w:type="dxa"/>
            <w:vAlign w:val="bottom"/>
          </w:tcPr>
          <w:p>
            <w:pPr>
              <w:spacing w:after="0"/>
              <w:rPr>
                <w:sz w:val="21"/>
                <w:szCs w:val="21"/>
                <w:color w:val="auto"/>
              </w:rPr>
            </w:pPr>
          </w:p>
        </w:tc>
        <w:tc>
          <w:tcPr>
            <w:tcW w:w="304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88"/>
              </w:rPr>
              <w:t>Interest In Securities Of The Issuer</w:t>
            </w:r>
          </w:p>
        </w:tc>
        <w:tc>
          <w:tcPr>
            <w:tcW w:w="1320" w:type="dxa"/>
            <w:vAlign w:val="bottom"/>
          </w:tcPr>
          <w:p>
            <w:pPr>
              <w:spacing w:after="0"/>
              <w:rPr>
                <w:sz w:val="21"/>
                <w:szCs w:val="21"/>
                <w:color w:val="auto"/>
              </w:rPr>
            </w:pPr>
          </w:p>
        </w:tc>
      </w:tr>
      <w:tr>
        <w:trPr>
          <w:trHeight w:val="260"/>
        </w:trPr>
        <w:tc>
          <w:tcPr>
            <w:tcW w:w="960" w:type="dxa"/>
            <w:vAlign w:val="bottom"/>
          </w:tcPr>
          <w:p>
            <w:pPr>
              <w:spacing w:after="0"/>
              <w:rPr>
                <w:sz w:val="22"/>
                <w:szCs w:val="22"/>
                <w:color w:val="auto"/>
              </w:rPr>
            </w:pPr>
          </w:p>
        </w:tc>
        <w:tc>
          <w:tcPr>
            <w:tcW w:w="5960" w:type="dxa"/>
            <w:vAlign w:val="bottom"/>
            <w:gridSpan w:val="3"/>
          </w:tcPr>
          <w:p>
            <w:pPr>
              <w:ind w:left="340"/>
              <w:spacing w:after="0"/>
              <w:rPr>
                <w:sz w:val="20"/>
                <w:szCs w:val="20"/>
                <w:color w:val="auto"/>
              </w:rPr>
            </w:pPr>
            <w:r>
              <w:rPr>
                <w:rFonts w:ascii="Arial" w:cs="Arial" w:eastAsia="Arial" w:hAnsi="Arial"/>
                <w:sz w:val="22"/>
                <w:szCs w:val="22"/>
                <w:color w:val="auto"/>
                <w:w w:val="88"/>
              </w:rPr>
              <w:t>Item 5 to Schedule 13D is amended, in pertinent part, as follows:</w:t>
            </w:r>
          </w:p>
        </w:tc>
      </w:tr>
    </w:tbl>
    <w:p>
      <w:pPr>
        <w:ind w:right="40" w:firstLine="1305"/>
        <w:spacing w:after="0" w:line="232" w:lineRule="auto"/>
        <w:tabs>
          <w:tab w:leader="none" w:pos="1590" w:val="left"/>
        </w:tabs>
        <w:numPr>
          <w:ilvl w:val="0"/>
          <w:numId w:val="45"/>
        </w:numPr>
        <w:rPr>
          <w:rFonts w:ascii="Arial" w:cs="Arial" w:eastAsia="Arial" w:hAnsi="Arial"/>
          <w:sz w:val="22"/>
          <w:szCs w:val="22"/>
          <w:color w:val="auto"/>
        </w:rPr>
      </w:pPr>
      <w:r>
        <w:rPr>
          <w:rFonts w:ascii="Arial" w:cs="Arial" w:eastAsia="Arial" w:hAnsi="Arial"/>
          <w:sz w:val="22"/>
          <w:szCs w:val="22"/>
          <w:color w:val="auto"/>
        </w:rPr>
        <w:t>The aggregate number of Securities to which this Schedule 13D relates is 775,418 shares, representing 14.39% of the 5,388,672 shares outstanding as reported by the Issuer as of October 14, 2019. The Reporting Persons beneficially own those Securities as follows:</w:t>
      </w:r>
    </w:p>
    <w:tbl>
      <w:tblPr>
        <w:tblLayout w:type="fixed"/>
        <w:tblInd w:w="0" w:type="dxa"/>
        <w:tblCellMar>
          <w:top w:w="0" w:type="dxa"/>
          <w:left w:w="0" w:type="dxa"/>
          <w:bottom w:w="0" w:type="dxa"/>
          <w:right w:w="0" w:type="dxa"/>
        </w:tblCellMar>
      </w:tblPr>
      <w:tr>
        <w:trPr>
          <w:trHeight w:val="201"/>
        </w:trPr>
        <w:tc>
          <w:tcPr>
            <w:tcW w:w="3280" w:type="dxa"/>
            <w:vAlign w:val="bottom"/>
          </w:tcPr>
          <w:p>
            <w:pPr>
              <w:spacing w:after="0"/>
              <w:rPr>
                <w:sz w:val="17"/>
                <w:szCs w:val="17"/>
                <w:color w:val="auto"/>
              </w:rPr>
            </w:pPr>
          </w:p>
        </w:tc>
        <w:tc>
          <w:tcPr>
            <w:tcW w:w="4520" w:type="dxa"/>
            <w:vAlign w:val="bottom"/>
          </w:tcPr>
          <w:p>
            <w:pPr>
              <w:jc w:val="center"/>
              <w:ind w:left="870"/>
              <w:spacing w:after="0" w:line="201" w:lineRule="exact"/>
              <w:rPr>
                <w:sz w:val="20"/>
                <w:szCs w:val="20"/>
                <w:color w:val="auto"/>
              </w:rPr>
            </w:pPr>
            <w:r>
              <w:rPr>
                <w:rFonts w:ascii="Arial" w:cs="Arial" w:eastAsia="Arial" w:hAnsi="Arial"/>
                <w:sz w:val="18"/>
                <w:szCs w:val="18"/>
                <w:color w:val="auto"/>
                <w:w w:val="88"/>
              </w:rPr>
              <w:t>Shares of</w:t>
            </w:r>
          </w:p>
        </w:tc>
        <w:tc>
          <w:tcPr>
            <w:tcW w:w="3620" w:type="dxa"/>
            <w:vAlign w:val="bottom"/>
          </w:tcPr>
          <w:p>
            <w:pPr>
              <w:jc w:val="center"/>
              <w:ind w:right="150"/>
              <w:spacing w:after="0" w:line="201" w:lineRule="exact"/>
              <w:rPr>
                <w:sz w:val="20"/>
                <w:szCs w:val="20"/>
                <w:color w:val="auto"/>
              </w:rPr>
            </w:pPr>
            <w:r>
              <w:rPr>
                <w:rFonts w:ascii="Arial" w:cs="Arial" w:eastAsia="Arial" w:hAnsi="Arial"/>
                <w:sz w:val="18"/>
                <w:szCs w:val="18"/>
                <w:color w:val="auto"/>
                <w:w w:val="92"/>
              </w:rPr>
              <w:t>% of Class of</w:t>
            </w:r>
          </w:p>
        </w:tc>
      </w:t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Name</w:t>
            </w:r>
          </w:p>
        </w:tc>
        <w:tc>
          <w:tcPr>
            <w:tcW w:w="4520" w:type="dxa"/>
            <w:vAlign w:val="bottom"/>
          </w:tcPr>
          <w:p>
            <w:pPr>
              <w:jc w:val="center"/>
              <w:ind w:left="870"/>
              <w:spacing w:after="0"/>
              <w:rPr>
                <w:sz w:val="20"/>
                <w:szCs w:val="20"/>
                <w:color w:val="auto"/>
              </w:rPr>
            </w:pPr>
            <w:r>
              <w:rPr>
                <w:rFonts w:ascii="Arial" w:cs="Arial" w:eastAsia="Arial" w:hAnsi="Arial"/>
                <w:sz w:val="18"/>
                <w:szCs w:val="18"/>
                <w:color w:val="auto"/>
                <w:w w:val="90"/>
              </w:rPr>
              <w:t>Common Stock</w:t>
            </w:r>
          </w:p>
        </w:tc>
        <w:tc>
          <w:tcPr>
            <w:tcW w:w="3620" w:type="dxa"/>
            <w:vAlign w:val="bottom"/>
          </w:tcPr>
          <w:p>
            <w:pPr>
              <w:jc w:val="center"/>
              <w:ind w:right="130"/>
              <w:spacing w:after="0"/>
              <w:rPr>
                <w:sz w:val="20"/>
                <w:szCs w:val="20"/>
                <w:color w:val="auto"/>
              </w:rPr>
            </w:pPr>
            <w:r>
              <w:rPr>
                <w:rFonts w:ascii="Arial" w:cs="Arial" w:eastAsia="Arial" w:hAnsi="Arial"/>
                <w:sz w:val="18"/>
                <w:szCs w:val="18"/>
                <w:color w:val="auto"/>
                <w:w w:val="93"/>
              </w:rPr>
              <w:t>Common</w:t>
            </w:r>
          </w:p>
        </w:tc>
      </w:tr>
      <w:tr>
        <w:trPr>
          <w:trHeight w:val="223"/>
        </w:trPr>
        <w:tc>
          <w:tcPr>
            <w:tcW w:w="3280" w:type="dxa"/>
            <w:vAlign w:val="bottom"/>
            <w:tcBorders>
              <w:bottom w:val="single" w:sz="8" w:color="auto"/>
            </w:tcBorders>
          </w:tcPr>
          <w:p>
            <w:pPr>
              <w:spacing w:after="0"/>
              <w:rPr>
                <w:sz w:val="19"/>
                <w:szCs w:val="19"/>
                <w:color w:val="auto"/>
              </w:rPr>
            </w:pPr>
          </w:p>
        </w:tc>
        <w:tc>
          <w:tcPr>
            <w:tcW w:w="4520" w:type="dxa"/>
            <w:vAlign w:val="bottom"/>
            <w:tcBorders>
              <w:bottom w:val="single" w:sz="8" w:color="auto"/>
            </w:tcBorders>
          </w:tcPr>
          <w:p>
            <w:pPr>
              <w:spacing w:after="0"/>
              <w:rPr>
                <w:sz w:val="19"/>
                <w:szCs w:val="19"/>
                <w:color w:val="auto"/>
              </w:rPr>
            </w:pPr>
          </w:p>
        </w:tc>
        <w:tc>
          <w:tcPr>
            <w:tcW w:w="3620" w:type="dxa"/>
            <w:vAlign w:val="bottom"/>
            <w:tcBorders>
              <w:bottom w:val="single" w:sz="8" w:color="auto"/>
            </w:tcBorders>
          </w:tcPr>
          <w:p>
            <w:pPr>
              <w:spacing w:after="0"/>
              <w:rPr>
                <w:sz w:val="19"/>
                <w:szCs w:val="19"/>
                <w:color w:val="auto"/>
              </w:rPr>
            </w:pPr>
          </w:p>
        </w:tc>
      </w:t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Gabelli Funds</w:t>
            </w:r>
          </w:p>
        </w:tc>
        <w:tc>
          <w:tcPr>
            <w:tcW w:w="4520" w:type="dxa"/>
            <w:vAlign w:val="bottom"/>
          </w:tcPr>
          <w:p>
            <w:pPr>
              <w:jc w:val="center"/>
              <w:ind w:left="850"/>
              <w:spacing w:after="0"/>
              <w:rPr>
                <w:sz w:val="20"/>
                <w:szCs w:val="20"/>
                <w:color w:val="auto"/>
              </w:rPr>
            </w:pPr>
            <w:r>
              <w:rPr>
                <w:rFonts w:ascii="Arial" w:cs="Arial" w:eastAsia="Arial" w:hAnsi="Arial"/>
                <w:sz w:val="18"/>
                <w:szCs w:val="18"/>
                <w:color w:val="auto"/>
                <w:w w:val="89"/>
              </w:rPr>
              <w:t>119,500</w:t>
            </w:r>
          </w:p>
        </w:tc>
        <w:tc>
          <w:tcPr>
            <w:tcW w:w="3620" w:type="dxa"/>
            <w:vAlign w:val="bottom"/>
          </w:tcPr>
          <w:p>
            <w:pPr>
              <w:jc w:val="center"/>
              <w:ind w:right="150"/>
              <w:spacing w:after="0"/>
              <w:rPr>
                <w:sz w:val="20"/>
                <w:szCs w:val="20"/>
                <w:color w:val="auto"/>
              </w:rPr>
            </w:pPr>
            <w:r>
              <w:rPr>
                <w:rFonts w:ascii="Arial" w:cs="Arial" w:eastAsia="Arial" w:hAnsi="Arial"/>
                <w:sz w:val="18"/>
                <w:szCs w:val="18"/>
                <w:color w:val="auto"/>
                <w:w w:val="90"/>
              </w:rPr>
              <w:t>2.22%</w:t>
            </w:r>
          </w:p>
        </w:tc>
      </w:tr>
      <w:tr>
        <w:trPr>
          <w:trHeight w:val="418"/>
        </w:trPr>
        <w:tc>
          <w:tcPr>
            <w:tcW w:w="3280" w:type="dxa"/>
            <w:vAlign w:val="bottom"/>
          </w:tcPr>
          <w:p>
            <w:pPr>
              <w:spacing w:after="0"/>
              <w:rPr>
                <w:sz w:val="20"/>
                <w:szCs w:val="20"/>
                <w:color w:val="auto"/>
              </w:rPr>
            </w:pPr>
            <w:r>
              <w:rPr>
                <w:rFonts w:ascii="Arial" w:cs="Arial" w:eastAsia="Arial" w:hAnsi="Arial"/>
                <w:sz w:val="18"/>
                <w:szCs w:val="18"/>
                <w:color w:val="auto"/>
              </w:rPr>
              <w:t>GAMCO</w:t>
            </w:r>
          </w:p>
        </w:tc>
        <w:tc>
          <w:tcPr>
            <w:tcW w:w="4520" w:type="dxa"/>
            <w:vAlign w:val="bottom"/>
          </w:tcPr>
          <w:p>
            <w:pPr>
              <w:jc w:val="center"/>
              <w:ind w:left="850"/>
              <w:spacing w:after="0"/>
              <w:rPr>
                <w:sz w:val="20"/>
                <w:szCs w:val="20"/>
                <w:color w:val="auto"/>
              </w:rPr>
            </w:pPr>
            <w:r>
              <w:rPr>
                <w:rFonts w:ascii="Arial" w:cs="Arial" w:eastAsia="Arial" w:hAnsi="Arial"/>
                <w:sz w:val="18"/>
                <w:szCs w:val="18"/>
                <w:color w:val="auto"/>
                <w:w w:val="89"/>
              </w:rPr>
              <w:t>543,118</w:t>
            </w:r>
          </w:p>
        </w:tc>
        <w:tc>
          <w:tcPr>
            <w:tcW w:w="3620" w:type="dxa"/>
            <w:vAlign w:val="bottom"/>
          </w:tcPr>
          <w:p>
            <w:pPr>
              <w:jc w:val="center"/>
              <w:ind w:right="130"/>
              <w:spacing w:after="0"/>
              <w:rPr>
                <w:sz w:val="20"/>
                <w:szCs w:val="20"/>
                <w:color w:val="auto"/>
              </w:rPr>
            </w:pPr>
            <w:r>
              <w:rPr>
                <w:rFonts w:ascii="Arial" w:cs="Arial" w:eastAsia="Arial" w:hAnsi="Arial"/>
                <w:sz w:val="18"/>
                <w:szCs w:val="18"/>
                <w:color w:val="auto"/>
                <w:w w:val="91"/>
              </w:rPr>
              <w:t>10.08%</w:t>
            </w:r>
          </w:p>
        </w:tc>
      </w:tr>
      <w:tr>
        <w:trPr>
          <w:trHeight w:val="432"/>
        </w:trPr>
        <w:tc>
          <w:tcPr>
            <w:tcW w:w="3280" w:type="dxa"/>
            <w:vAlign w:val="bottom"/>
          </w:tcPr>
          <w:p>
            <w:pPr>
              <w:spacing w:after="0"/>
              <w:rPr>
                <w:sz w:val="20"/>
                <w:szCs w:val="20"/>
                <w:color w:val="auto"/>
              </w:rPr>
            </w:pPr>
            <w:r>
              <w:rPr>
                <w:rFonts w:ascii="Arial" w:cs="Arial" w:eastAsia="Arial" w:hAnsi="Arial"/>
                <w:sz w:val="18"/>
                <w:szCs w:val="18"/>
                <w:color w:val="auto"/>
              </w:rPr>
              <w:t>Teton Advisors</w:t>
            </w:r>
          </w:p>
        </w:tc>
        <w:tc>
          <w:tcPr>
            <w:tcW w:w="4520" w:type="dxa"/>
            <w:vAlign w:val="bottom"/>
          </w:tcPr>
          <w:p>
            <w:pPr>
              <w:jc w:val="center"/>
              <w:ind w:left="870"/>
              <w:spacing w:after="0"/>
              <w:rPr>
                <w:sz w:val="20"/>
                <w:szCs w:val="20"/>
                <w:color w:val="auto"/>
              </w:rPr>
            </w:pPr>
            <w:r>
              <w:rPr>
                <w:rFonts w:ascii="Arial" w:cs="Arial" w:eastAsia="Arial" w:hAnsi="Arial"/>
                <w:sz w:val="18"/>
                <w:szCs w:val="18"/>
                <w:color w:val="auto"/>
                <w:w w:val="86"/>
              </w:rPr>
              <w:t>111,300</w:t>
            </w:r>
          </w:p>
        </w:tc>
        <w:tc>
          <w:tcPr>
            <w:tcW w:w="3620" w:type="dxa"/>
            <w:vAlign w:val="bottom"/>
          </w:tcPr>
          <w:p>
            <w:pPr>
              <w:jc w:val="center"/>
              <w:ind w:right="150"/>
              <w:spacing w:after="0"/>
              <w:rPr>
                <w:sz w:val="20"/>
                <w:szCs w:val="20"/>
                <w:color w:val="auto"/>
              </w:rPr>
            </w:pPr>
            <w:r>
              <w:rPr>
                <w:rFonts w:ascii="Arial" w:cs="Arial" w:eastAsia="Arial" w:hAnsi="Arial"/>
                <w:sz w:val="18"/>
                <w:szCs w:val="18"/>
                <w:color w:val="auto"/>
                <w:w w:val="90"/>
              </w:rPr>
              <w:t>2.07%</w:t>
            </w:r>
          </w:p>
        </w:tc>
      </w:tr>
      <w:tr>
        <w:trPr>
          <w:trHeight w:val="432"/>
        </w:trPr>
        <w:tc>
          <w:tcPr>
            <w:tcW w:w="3280" w:type="dxa"/>
            <w:vAlign w:val="bottom"/>
          </w:tcPr>
          <w:p>
            <w:pPr>
              <w:spacing w:after="0"/>
              <w:rPr>
                <w:sz w:val="20"/>
                <w:szCs w:val="20"/>
                <w:color w:val="auto"/>
              </w:rPr>
            </w:pPr>
            <w:r>
              <w:rPr>
                <w:rFonts w:ascii="Arial" w:cs="Arial" w:eastAsia="Arial" w:hAnsi="Arial"/>
                <w:sz w:val="18"/>
                <w:szCs w:val="18"/>
                <w:color w:val="auto"/>
              </w:rPr>
              <w:t>AC</w:t>
            </w:r>
          </w:p>
        </w:tc>
        <w:tc>
          <w:tcPr>
            <w:tcW w:w="4520" w:type="dxa"/>
            <w:vAlign w:val="bottom"/>
          </w:tcPr>
          <w:p>
            <w:pPr>
              <w:jc w:val="center"/>
              <w:ind w:left="870"/>
              <w:spacing w:after="0"/>
              <w:rPr>
                <w:sz w:val="20"/>
                <w:szCs w:val="20"/>
                <w:color w:val="auto"/>
              </w:rPr>
            </w:pPr>
            <w:r>
              <w:rPr>
                <w:rFonts w:ascii="Arial" w:cs="Arial" w:eastAsia="Arial" w:hAnsi="Arial"/>
                <w:sz w:val="18"/>
                <w:szCs w:val="18"/>
                <w:color w:val="auto"/>
                <w:w w:val="88"/>
              </w:rPr>
              <w:t>1,500</w:t>
            </w:r>
          </w:p>
        </w:tc>
        <w:tc>
          <w:tcPr>
            <w:tcW w:w="3620" w:type="dxa"/>
            <w:vAlign w:val="bottom"/>
          </w:tcPr>
          <w:p>
            <w:pPr>
              <w:jc w:val="center"/>
              <w:ind w:right="150"/>
              <w:spacing w:after="0"/>
              <w:rPr>
                <w:sz w:val="20"/>
                <w:szCs w:val="20"/>
                <w:color w:val="auto"/>
              </w:rPr>
            </w:pPr>
            <w:r>
              <w:rPr>
                <w:rFonts w:ascii="Arial" w:cs="Arial" w:eastAsia="Arial" w:hAnsi="Arial"/>
                <w:sz w:val="18"/>
                <w:szCs w:val="18"/>
                <w:color w:val="auto"/>
                <w:w w:val="90"/>
              </w:rPr>
              <w:t>0.03%</w:t>
            </w:r>
          </w:p>
        </w:tc>
      </w:tr>
    </w:tbl>
    <w:p>
      <w:pPr>
        <w:spacing w:after="0" w:line="222" w:lineRule="exact"/>
        <w:rPr>
          <w:sz w:val="20"/>
          <w:szCs w:val="20"/>
          <w:color w:val="auto"/>
        </w:rPr>
      </w:pPr>
    </w:p>
    <w:p>
      <w:pPr>
        <w:ind w:right="100" w:firstLine="1297"/>
        <w:spacing w:after="0" w:line="234" w:lineRule="auto"/>
        <w:rPr>
          <w:sz w:val="20"/>
          <w:szCs w:val="20"/>
          <w:color w:val="auto"/>
        </w:rPr>
      </w:pPr>
      <w:r>
        <w:rPr>
          <w:rFonts w:ascii="Arial" w:cs="Arial" w:eastAsia="Arial" w:hAnsi="Arial"/>
          <w:sz w:val="22"/>
          <w:szCs w:val="22"/>
          <w:color w:val="auto"/>
        </w:rPr>
        <w:t>Mario Gabelli is deemed to have beneficial ownership of the Securities owned beneficially by each of the foregoing persons. GCIA is deemed to have beneficial ownership of the Securities owned beneficially by G.research. AC, GBL and GGCP are deemed to have beneficial ownership of the Securities owned beneficially by each of the foregoing persons other than Mario Gabelli and the Foundation.</w:t>
      </w:r>
    </w:p>
    <w:p>
      <w:pPr>
        <w:spacing w:after="0" w:line="4" w:lineRule="exact"/>
        <w:rPr>
          <w:sz w:val="20"/>
          <w:szCs w:val="20"/>
          <w:color w:val="auto"/>
        </w:rPr>
      </w:pPr>
    </w:p>
    <w:p>
      <w:pPr>
        <w:ind w:right="120" w:firstLine="1305"/>
        <w:spacing w:after="0" w:line="267" w:lineRule="auto"/>
        <w:tabs>
          <w:tab w:leader="none" w:pos="1603" w:val="left"/>
        </w:tabs>
        <w:numPr>
          <w:ilvl w:val="0"/>
          <w:numId w:val="46"/>
        </w:numPr>
        <w:rPr>
          <w:rFonts w:ascii="Arial" w:cs="Arial" w:eastAsia="Arial" w:hAnsi="Arial"/>
          <w:sz w:val="19"/>
          <w:szCs w:val="19"/>
          <w:color w:val="auto"/>
        </w:rPr>
      </w:pPr>
      <w:r>
        <w:rPr>
          <w:rFonts w:ascii="Arial" w:cs="Arial" w:eastAsia="Arial" w:hAnsi="Arial"/>
          <w:sz w:val="19"/>
          <w:szCs w:val="19"/>
          <w:color w:val="auto"/>
        </w:rPr>
        <w:t>Each of the Reporting Persons and Covered Persons has the sole power to vote or direct the vote and sole power to dispose or to direct the disposition of the Securities reported for it, either for its own benefit or for the benefit of its investment clients or its partners, as the case may be, except that that (i) GAMCO does not have the authority to vote 32,000 of the reported</w:t>
      </w:r>
    </w:p>
    <w:p>
      <w:pPr>
        <w:ind w:right="120"/>
        <w:spacing w:after="0" w:line="267" w:lineRule="auto"/>
        <w:rPr>
          <w:sz w:val="20"/>
          <w:szCs w:val="20"/>
          <w:color w:val="auto"/>
        </w:rPr>
      </w:pPr>
      <w:r>
        <w:rPr>
          <w:rFonts w:ascii="Arial" w:cs="Arial" w:eastAsia="Arial" w:hAnsi="Arial"/>
          <w:sz w:val="19"/>
          <w:szCs w:val="19"/>
          <w:color w:val="auto"/>
        </w:rPr>
        <w:t>shares, (ii) Gabelli Funds has sole dispositive and voting power with respect to the shares of the Issuer held by the Funds so long as the aggregate voting interest of all joint filers does not exceed 25% of their total voting interest in the Issuer and, in that event, the Proxy Voting Committee of each Fund shall respectively vote that Fund’s shares, (iii) at any time, the Proxy Voting Committee of each such Fund may take and exercise in its sole discretion the entire voting power with respect to the shares held by such fund under special circumstances such as regulatory considerations, and (iv) the power of Mario Gabelli, AC, GBL, and GGCP is indirect with respect to Securities beneficially owned directly by other Reporting Persons.</w:t>
      </w:r>
    </w:p>
    <w:p>
      <w:pPr>
        <w:ind w:right="120" w:firstLine="1305"/>
        <w:spacing w:after="0" w:line="230" w:lineRule="auto"/>
        <w:tabs>
          <w:tab w:leader="none" w:pos="1590" w:val="left"/>
        </w:tabs>
        <w:numPr>
          <w:ilvl w:val="0"/>
          <w:numId w:val="47"/>
        </w:numPr>
        <w:rPr>
          <w:rFonts w:ascii="Arial" w:cs="Arial" w:eastAsia="Arial" w:hAnsi="Arial"/>
          <w:sz w:val="22"/>
          <w:szCs w:val="22"/>
          <w:color w:val="auto"/>
        </w:rPr>
      </w:pPr>
      <w:r>
        <w:rPr>
          <w:rFonts w:ascii="Arial" w:cs="Arial" w:eastAsia="Arial" w:hAnsi="Arial"/>
          <w:sz w:val="22"/>
          <w:szCs w:val="22"/>
          <w:color w:val="auto"/>
        </w:rPr>
        <w:t>Information with respect to all transactions in the Securities which were effected during the past sixty days or since the most recent filing on Schedule 13D, whichever is less, by each of the Reporting Persons and Covered Persons is set forth on Schedule II annexed hereto and incorporated herein by reference.</w:t>
      </w:r>
    </w:p>
    <w:p>
      <w:pPr>
        <w:spacing w:after="0" w:line="2" w:lineRule="exact"/>
        <w:rPr>
          <w:rFonts w:ascii="Arial" w:cs="Arial" w:eastAsia="Arial" w:hAnsi="Arial"/>
          <w:sz w:val="22"/>
          <w:szCs w:val="22"/>
          <w:color w:val="auto"/>
        </w:rPr>
      </w:pPr>
    </w:p>
    <w:p>
      <w:pPr>
        <w:ind w:left="1600" w:hanging="295"/>
        <w:spacing w:after="0"/>
        <w:tabs>
          <w:tab w:leader="none" w:pos="1600" w:val="left"/>
        </w:tabs>
        <w:numPr>
          <w:ilvl w:val="0"/>
          <w:numId w:val="48"/>
        </w:numPr>
        <w:rPr>
          <w:rFonts w:ascii="Arial" w:cs="Arial" w:eastAsia="Arial" w:hAnsi="Arial"/>
          <w:sz w:val="22"/>
          <w:szCs w:val="22"/>
          <w:color w:val="auto"/>
        </w:rPr>
      </w:pPr>
      <w:r>
        <w:rPr>
          <w:rFonts w:ascii="Arial" w:cs="Arial" w:eastAsia="Arial" w:hAnsi="Arial"/>
          <w:sz w:val="22"/>
          <w:szCs w:val="22"/>
          <w:color w:val="auto"/>
        </w:rPr>
        <w:t>Not applicable.</w:t>
      </w:r>
    </w:p>
    <w:p>
      <w:pPr>
        <w:sectPr>
          <w:pgSz w:w="11900" w:h="16838" w:orient="portrait"/>
          <w:cols w:equalWidth="0" w:num="1">
            <w:col w:w="11420"/>
          </w:cols>
          <w:pgMar w:left="240" w:top="118" w:right="239" w:bottom="83" w:gutter="0" w:footer="0" w:header="0"/>
        </w:sectPr>
      </w:pPr>
    </w:p>
    <w:bookmarkStart w:id="10" w:name="page11"/>
    <w:bookmarkEnd w:id="10"/>
    <w:p>
      <w:pPr>
        <w:jc w:val="center"/>
        <w:spacing w:after="0"/>
        <w:rPr>
          <w:sz w:val="20"/>
          <w:szCs w:val="20"/>
          <w:color w:val="auto"/>
        </w:rPr>
      </w:pPr>
      <w:r>
        <w:rPr>
          <w:rFonts w:ascii="Arial" w:cs="Arial" w:eastAsia="Arial" w:hAnsi="Arial"/>
          <w:sz w:val="10"/>
          <w:szCs w:val="1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67310</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783" w:right="1440" w:bottom="1440" w:gutter="0" w:footer="0" w:header="0"/>
        </w:sectPr>
      </w:pPr>
    </w:p>
    <w:bookmarkStart w:id="11" w:name="page12"/>
    <w:bookmarkEnd w:id="11"/>
    <w:p>
      <w:pPr>
        <w:spacing w:after="0"/>
        <w:rPr>
          <w:sz w:val="20"/>
          <w:szCs w:val="20"/>
          <w:color w:val="auto"/>
        </w:rPr>
      </w:pPr>
      <w:r>
        <w:rPr>
          <w:rFonts w:ascii="Arial" w:cs="Arial" w:eastAsia="Arial" w:hAnsi="Arial"/>
          <w:sz w:val="22"/>
          <w:szCs w:val="22"/>
          <w:u w:val="single" w:color="auto"/>
          <w:color w:val="auto"/>
        </w:rPr>
        <w:t>Signature</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After reasonable inquiry and to the best of my knowledge and belief, I certify that the information set forth in this statement</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is true, complete and correct.</w:t>
      </w:r>
    </w:p>
    <w:p>
      <w:pPr>
        <w:spacing w:after="0"/>
        <w:rPr>
          <w:sz w:val="20"/>
          <w:szCs w:val="20"/>
          <w:color w:val="auto"/>
        </w:rPr>
      </w:pPr>
      <w:r>
        <w:rPr>
          <w:rFonts w:ascii="Arial" w:cs="Arial" w:eastAsia="Arial" w:hAnsi="Arial"/>
          <w:sz w:val="22"/>
          <w:szCs w:val="22"/>
          <w:color w:val="auto"/>
        </w:rPr>
        <w:t>Dated: November 12, 2019</w:t>
      </w:r>
    </w:p>
    <w:p>
      <w:pPr>
        <w:spacing w:after="0" w:line="200" w:lineRule="exact"/>
        <w:rPr>
          <w:sz w:val="20"/>
          <w:szCs w:val="20"/>
          <w:color w:val="auto"/>
        </w:rPr>
      </w:pPr>
    </w:p>
    <w:p>
      <w:pPr>
        <w:spacing w:after="0" w:line="25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GGCP, INC.</w:t>
      </w:r>
    </w:p>
    <w:p>
      <w:pPr>
        <w:spacing w:after="0" w:line="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MARIO J. GABELLI</w:t>
      </w:r>
    </w:p>
    <w:p>
      <w:pPr>
        <w:spacing w:after="0" w:line="200" w:lineRule="exact"/>
        <w:rPr>
          <w:sz w:val="20"/>
          <w:szCs w:val="20"/>
          <w:color w:val="auto"/>
        </w:rPr>
      </w:pPr>
    </w:p>
    <w:p>
      <w:pPr>
        <w:spacing w:after="0" w:line="25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r>
        <w:rPr>
          <w:rFonts w:ascii="Arial" w:cs="Arial" w:eastAsia="Arial" w:hAnsi="Arial"/>
          <w:sz w:val="22"/>
          <w:szCs w:val="22"/>
          <w:u w:val="single" w:color="auto"/>
          <w:color w:val="auto"/>
        </w:rPr>
        <w:t>/s/ David Goldman</w:t>
      </w:r>
    </w:p>
    <w:p>
      <w:pPr>
        <w:ind w:left="4160"/>
        <w:spacing w:after="0" w:line="238" w:lineRule="auto"/>
        <w:rPr>
          <w:sz w:val="20"/>
          <w:szCs w:val="20"/>
          <w:color w:val="auto"/>
        </w:rPr>
      </w:pPr>
      <w:r>
        <w:rPr>
          <w:rFonts w:ascii="Arial" w:cs="Arial" w:eastAsia="Arial" w:hAnsi="Arial"/>
          <w:sz w:val="22"/>
          <w:szCs w:val="22"/>
          <w:color w:val="auto"/>
        </w:rPr>
        <w:t>David Goldman</w:t>
      </w:r>
    </w:p>
    <w:p>
      <w:pPr>
        <w:ind w:left="4160"/>
        <w:spacing w:after="0"/>
        <w:rPr>
          <w:sz w:val="20"/>
          <w:szCs w:val="20"/>
          <w:color w:val="auto"/>
        </w:rPr>
      </w:pPr>
      <w:r>
        <w:rPr>
          <w:rFonts w:ascii="Arial" w:cs="Arial" w:eastAsia="Arial" w:hAnsi="Arial"/>
          <w:sz w:val="22"/>
          <w:szCs w:val="22"/>
          <w:color w:val="auto"/>
        </w:rPr>
        <w:t>Attorney-in-Fact</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TETON ADVISORS, INC.</w:t>
      </w:r>
    </w:p>
    <w:p>
      <w:pPr>
        <w:spacing w:after="0" w:line="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GABELLI FUNDS, LLC</w:t>
      </w:r>
    </w:p>
    <w:p>
      <w:pPr>
        <w:spacing w:after="0" w:line="200" w:lineRule="exact"/>
        <w:rPr>
          <w:sz w:val="20"/>
          <w:szCs w:val="20"/>
          <w:color w:val="auto"/>
        </w:rPr>
      </w:pPr>
    </w:p>
    <w:p>
      <w:pPr>
        <w:spacing w:after="0" w:line="25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r>
        <w:rPr>
          <w:rFonts w:ascii="Arial" w:cs="Arial" w:eastAsia="Arial" w:hAnsi="Arial"/>
          <w:sz w:val="22"/>
          <w:szCs w:val="22"/>
          <w:u w:val="single" w:color="auto"/>
          <w:color w:val="auto"/>
        </w:rPr>
        <w:t>/s/ David Goldman</w:t>
      </w:r>
    </w:p>
    <w:p>
      <w:pPr>
        <w:spacing w:after="0" w:line="3" w:lineRule="exact"/>
        <w:rPr>
          <w:sz w:val="20"/>
          <w:szCs w:val="20"/>
          <w:color w:val="auto"/>
        </w:rPr>
      </w:pPr>
    </w:p>
    <w:p>
      <w:pPr>
        <w:ind w:left="4160"/>
        <w:spacing w:after="0"/>
        <w:rPr>
          <w:sz w:val="20"/>
          <w:szCs w:val="20"/>
          <w:color w:val="auto"/>
        </w:rPr>
      </w:pPr>
      <w:r>
        <w:rPr>
          <w:rFonts w:ascii="Arial" w:cs="Arial" w:eastAsia="Arial" w:hAnsi="Arial"/>
          <w:sz w:val="22"/>
          <w:szCs w:val="22"/>
          <w:color w:val="auto"/>
        </w:rPr>
        <w:t>David Goldman</w:t>
      </w:r>
    </w:p>
    <w:p>
      <w:pPr>
        <w:jc w:val="center"/>
        <w:ind w:right="340"/>
        <w:spacing w:after="0"/>
        <w:rPr>
          <w:sz w:val="20"/>
          <w:szCs w:val="20"/>
          <w:color w:val="auto"/>
        </w:rPr>
      </w:pPr>
      <w:r>
        <w:rPr>
          <w:rFonts w:ascii="Arial" w:cs="Arial" w:eastAsia="Arial" w:hAnsi="Arial"/>
          <w:sz w:val="18"/>
          <w:szCs w:val="18"/>
          <w:color w:val="auto"/>
        </w:rPr>
        <w:t>General Counsel – Teton Advisors, Inc</w:t>
      </w:r>
      <w:r>
        <w:rPr>
          <w:rFonts w:ascii="Arial" w:cs="Arial" w:eastAsia="Arial" w:hAnsi="Arial"/>
          <w:sz w:val="18"/>
          <w:szCs w:val="18"/>
          <w:b w:val="1"/>
          <w:bCs w:val="1"/>
          <w:color w:val="auto"/>
        </w:rPr>
        <w:t>.</w:t>
      </w:r>
    </w:p>
    <w:p>
      <w:pPr>
        <w:spacing w:after="0" w:line="4" w:lineRule="exact"/>
        <w:rPr>
          <w:sz w:val="20"/>
          <w:szCs w:val="20"/>
          <w:color w:val="auto"/>
        </w:rPr>
      </w:pPr>
    </w:p>
    <w:p>
      <w:pPr>
        <w:jc w:val="center"/>
        <w:ind w:right="380"/>
        <w:spacing w:after="0"/>
        <w:rPr>
          <w:sz w:val="20"/>
          <w:szCs w:val="20"/>
          <w:color w:val="auto"/>
        </w:rPr>
      </w:pPr>
      <w:r>
        <w:rPr>
          <w:rFonts w:ascii="Arial" w:cs="Arial" w:eastAsia="Arial" w:hAnsi="Arial"/>
          <w:sz w:val="22"/>
          <w:szCs w:val="22"/>
          <w:color w:val="auto"/>
        </w:rPr>
        <w:t>&amp; Gabelli Funds, LLC</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GAMCO INVESTORS, INC.</w:t>
      </w:r>
    </w:p>
    <w:p>
      <w:pPr>
        <w:spacing w:after="0" w:line="200" w:lineRule="exact"/>
        <w:rPr>
          <w:sz w:val="20"/>
          <w:szCs w:val="20"/>
          <w:color w:val="auto"/>
        </w:rPr>
      </w:pPr>
    </w:p>
    <w:p>
      <w:pPr>
        <w:spacing w:after="0" w:line="27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r>
        <w:rPr>
          <w:rFonts w:ascii="Arial" w:cs="Arial" w:eastAsia="Arial" w:hAnsi="Arial"/>
          <w:sz w:val="22"/>
          <w:szCs w:val="22"/>
          <w:u w:val="single" w:color="auto"/>
          <w:color w:val="auto"/>
        </w:rPr>
        <w:t>/s/ Kevin Handwerker</w:t>
      </w:r>
    </w:p>
    <w:p>
      <w:pPr>
        <w:spacing w:after="0" w:line="8" w:lineRule="exact"/>
        <w:rPr>
          <w:sz w:val="20"/>
          <w:szCs w:val="20"/>
          <w:color w:val="auto"/>
        </w:rPr>
      </w:pPr>
    </w:p>
    <w:p>
      <w:pPr>
        <w:ind w:left="4160"/>
        <w:spacing w:after="0"/>
        <w:rPr>
          <w:sz w:val="20"/>
          <w:szCs w:val="20"/>
          <w:color w:val="auto"/>
        </w:rPr>
      </w:pPr>
      <w:r>
        <w:rPr>
          <w:rFonts w:ascii="Arial" w:cs="Arial" w:eastAsia="Arial" w:hAnsi="Arial"/>
          <w:sz w:val="22"/>
          <w:szCs w:val="22"/>
          <w:color w:val="auto"/>
        </w:rPr>
        <w:t>Kevin Handwerker</w:t>
      </w:r>
    </w:p>
    <w:p>
      <w:pPr>
        <w:spacing w:after="0" w:line="13"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General Counsel &amp; Secretary – GAMCO Investors, Inc.</w:t>
      </w:r>
    </w:p>
    <w:p>
      <w:pPr>
        <w:spacing w:after="0" w:line="200" w:lineRule="exact"/>
        <w:rPr>
          <w:sz w:val="20"/>
          <w:szCs w:val="20"/>
          <w:color w:val="auto"/>
        </w:rPr>
      </w:pPr>
    </w:p>
    <w:p>
      <w:pPr>
        <w:spacing w:after="0" w:line="29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ASSOCIATED CAPITAL GROUP, INC.</w:t>
      </w:r>
    </w:p>
    <w:p>
      <w:pPr>
        <w:spacing w:after="0" w:line="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GAMCO ASSET MANAGEMENT INC.</w:t>
      </w:r>
    </w:p>
    <w:p>
      <w:pPr>
        <w:spacing w:after="0" w:line="200" w:lineRule="exact"/>
        <w:rPr>
          <w:sz w:val="20"/>
          <w:szCs w:val="20"/>
          <w:color w:val="auto"/>
        </w:rPr>
      </w:pPr>
    </w:p>
    <w:p>
      <w:pPr>
        <w:spacing w:after="0" w:line="25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r>
        <w:rPr>
          <w:rFonts w:ascii="Arial" w:cs="Arial" w:eastAsia="Arial" w:hAnsi="Arial"/>
          <w:sz w:val="22"/>
          <w:szCs w:val="22"/>
          <w:u w:val="single" w:color="auto"/>
          <w:color w:val="auto"/>
        </w:rPr>
        <w:t>/s/ Douglas R. Jamieson</w:t>
      </w:r>
    </w:p>
    <w:p>
      <w:pPr>
        <w:ind w:left="4160"/>
        <w:spacing w:after="0" w:line="238" w:lineRule="auto"/>
        <w:rPr>
          <w:sz w:val="20"/>
          <w:szCs w:val="20"/>
          <w:color w:val="auto"/>
        </w:rPr>
      </w:pPr>
      <w:r>
        <w:rPr>
          <w:rFonts w:ascii="Arial" w:cs="Arial" w:eastAsia="Arial" w:hAnsi="Arial"/>
          <w:sz w:val="22"/>
          <w:szCs w:val="22"/>
          <w:color w:val="auto"/>
        </w:rPr>
        <w:t>Douglas R. Jamieson</w:t>
      </w:r>
    </w:p>
    <w:p>
      <w:pPr>
        <w:ind w:left="4320"/>
        <w:spacing w:after="0" w:line="230" w:lineRule="auto"/>
        <w:rPr>
          <w:sz w:val="20"/>
          <w:szCs w:val="20"/>
          <w:color w:val="auto"/>
        </w:rPr>
      </w:pPr>
      <w:r>
        <w:rPr>
          <w:rFonts w:ascii="Arial" w:cs="Arial" w:eastAsia="Arial" w:hAnsi="Arial"/>
          <w:sz w:val="22"/>
          <w:szCs w:val="22"/>
          <w:color w:val="auto"/>
        </w:rPr>
        <w:t>President &amp; Chief Executive Officer – Associated Capital</w:t>
      </w:r>
    </w:p>
    <w:p>
      <w:pPr>
        <w:ind w:left="4540"/>
        <w:spacing w:after="0" w:line="231" w:lineRule="auto"/>
        <w:rPr>
          <w:sz w:val="20"/>
          <w:szCs w:val="20"/>
          <w:color w:val="auto"/>
        </w:rPr>
      </w:pPr>
      <w:r>
        <w:rPr>
          <w:rFonts w:ascii="Arial" w:cs="Arial" w:eastAsia="Arial" w:hAnsi="Arial"/>
          <w:sz w:val="22"/>
          <w:szCs w:val="22"/>
          <w:color w:val="auto"/>
        </w:rPr>
        <w:t>Group, Inc.</w:t>
      </w:r>
    </w:p>
    <w:p>
      <w:pPr>
        <w:spacing w:after="0" w:line="1"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President – GAMCO Asset Management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04" w:right="239" w:bottom="1440" w:gutter="0" w:footer="0" w:header="0"/>
        </w:sectPr>
      </w:pPr>
    </w:p>
    <w:bookmarkStart w:id="12" w:name="page13"/>
    <w:bookmarkEnd w:id="12"/>
    <w:p>
      <w:pPr>
        <w:ind w:left="5420"/>
        <w:spacing w:after="0"/>
        <w:rPr>
          <w:sz w:val="20"/>
          <w:szCs w:val="20"/>
          <w:color w:val="auto"/>
        </w:rPr>
      </w:pPr>
      <w:r>
        <w:rPr>
          <w:rFonts w:ascii="Arial" w:cs="Arial" w:eastAsia="Arial" w:hAnsi="Arial"/>
          <w:sz w:val="22"/>
          <w:szCs w:val="22"/>
          <w:color w:val="auto"/>
        </w:rPr>
        <w:t>Schedule I</w:t>
      </w:r>
    </w:p>
    <w:p>
      <w:pPr>
        <w:ind w:left="2880"/>
        <w:spacing w:after="0" w:line="238" w:lineRule="auto"/>
        <w:rPr>
          <w:sz w:val="20"/>
          <w:szCs w:val="20"/>
          <w:color w:val="auto"/>
        </w:rPr>
      </w:pPr>
      <w:r>
        <w:rPr>
          <w:rFonts w:ascii="Arial" w:cs="Arial" w:eastAsia="Arial" w:hAnsi="Arial"/>
          <w:sz w:val="22"/>
          <w:szCs w:val="22"/>
          <w:color w:val="auto"/>
        </w:rPr>
        <w:t>Information with Respect to Executive</w:t>
      </w:r>
    </w:p>
    <w:p>
      <w:pPr>
        <w:ind w:left="3900"/>
        <w:spacing w:after="0" w:line="230" w:lineRule="auto"/>
        <w:rPr>
          <w:sz w:val="20"/>
          <w:szCs w:val="20"/>
          <w:color w:val="auto"/>
        </w:rPr>
      </w:pPr>
      <w:r>
        <w:rPr>
          <w:rFonts w:ascii="Arial" w:cs="Arial" w:eastAsia="Arial" w:hAnsi="Arial"/>
          <w:sz w:val="22"/>
          <w:szCs w:val="22"/>
          <w:u w:val="single" w:color="auto"/>
          <w:color w:val="auto"/>
        </w:rPr>
        <w:t>Officers and Directors of the Undersigned</w:t>
      </w:r>
    </w:p>
    <w:p>
      <w:pPr>
        <w:spacing w:after="0" w:line="1" w:lineRule="exact"/>
        <w:rPr>
          <w:sz w:val="20"/>
          <w:szCs w:val="20"/>
          <w:color w:val="auto"/>
        </w:rPr>
      </w:pPr>
    </w:p>
    <w:p>
      <w:pPr>
        <w:ind w:left="2720"/>
        <w:spacing w:after="0"/>
        <w:rPr>
          <w:sz w:val="20"/>
          <w:szCs w:val="20"/>
          <w:color w:val="auto"/>
        </w:rPr>
      </w:pPr>
      <w:r>
        <w:rPr>
          <w:rFonts w:ascii="Arial" w:cs="Arial" w:eastAsia="Arial" w:hAnsi="Arial"/>
          <w:sz w:val="22"/>
          <w:szCs w:val="22"/>
          <w:color w:val="auto"/>
        </w:rPr>
        <w:t>Schedule I to Schedule 13D is amended, in pertinent part, as follows:</w:t>
      </w:r>
    </w:p>
    <w:p>
      <w:pPr>
        <w:spacing w:after="0" w:line="22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following sets forth as to each of the executive officers and directors of the undersigned: his name; his business address; his present principal occupation or employment and the name, principal business and address of any corporation or other organization in which such employment is conducted. Unless otherwise specified, the principal employer of each such individual is GAMCO Asset Management Inc., Gabelli Funds, LLC, Gabelli &amp; Company Investment Advisers, Inc., G.research, LLC, Teton Advisors, Inc., Associated Capital Group, Inc. or GAMCO Investors, Inc., the business address of each of which is One Corporate Center, Rye, New York 10580, and each such individual identified below is a citizen of the United States. To the knowledge of the undersigned, during the last five years, no such person has been convicted in a criminal proceeding (excluding traffic violations or similar misdemeanors), and no such person was a party to a civil proceeding of a judicial or administrative body of competent jurisdiction as a result of which he was or is subject to a judgment, decree or final order enjoining future violations of, or prohibiting or mandating activities subject to, federal or state securities law or finding any violation with respect to such laws except as reported in Item 2(d) and (e) of this Schedule 13D.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04" w:right="239" w:bottom="1440" w:gutter="0" w:footer="0" w:header="0"/>
        </w:sectPr>
      </w:pPr>
    </w:p>
    <w:bookmarkStart w:id="13" w:name="page14"/>
    <w:bookmarkEnd w:id="13"/>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GAMCO Investors,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252158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521585" cy="17145"/>
                    </a:xfrm>
                    <a:prstGeom prst="rect">
                      <a:avLst/>
                    </a:prstGeom>
                    <a:noFill/>
                  </pic:spPr>
                </pic:pic>
              </a:graphicData>
            </a:graphic>
          </wp:anchor>
        </w:drawing>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80" w:type="dxa"/>
            <w:vAlign w:val="bottom"/>
          </w:tcPr>
          <w:p>
            <w:pPr>
              <w:ind w:left="680"/>
              <w:spacing w:after="0"/>
              <w:rPr>
                <w:sz w:val="20"/>
                <w:szCs w:val="20"/>
                <w:color w:val="auto"/>
              </w:rPr>
            </w:pPr>
            <w:r>
              <w:rPr>
                <w:rFonts w:ascii="Arial" w:cs="Arial" w:eastAsia="Arial" w:hAnsi="Arial"/>
                <w:sz w:val="18"/>
                <w:szCs w:val="18"/>
                <w:color w:val="auto"/>
              </w:rPr>
              <w:t>Edwin L. Artzt</w:t>
            </w:r>
          </w:p>
        </w:tc>
        <w:tc>
          <w:tcPr>
            <w:tcW w:w="6360" w:type="dxa"/>
            <w:vAlign w:val="bottom"/>
          </w:tcPr>
          <w:p>
            <w:pPr>
              <w:spacing w:after="0"/>
              <w:rPr>
                <w:sz w:val="20"/>
                <w:szCs w:val="20"/>
                <w:color w:val="auto"/>
              </w:rPr>
            </w:pPr>
            <w:r>
              <w:rPr>
                <w:rFonts w:ascii="Arial" w:cs="Arial" w:eastAsia="Arial" w:hAnsi="Arial"/>
                <w:sz w:val="18"/>
                <w:szCs w:val="18"/>
                <w:color w:val="auto"/>
              </w:rPr>
              <w:t>Former Chairman and Chief Executive Officer</w:t>
            </w:r>
          </w:p>
        </w:tc>
      </w:tr>
      <w:tr>
        <w:trPr>
          <w:trHeight w:val="216"/>
        </w:trPr>
        <w:tc>
          <w:tcPr>
            <w:tcW w:w="398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Procter &amp; Gamble Company</w:t>
            </w:r>
          </w:p>
        </w:tc>
      </w:tr>
      <w:tr>
        <w:trPr>
          <w:trHeight w:val="216"/>
        </w:trPr>
        <w:tc>
          <w:tcPr>
            <w:tcW w:w="398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900 Adams Crossing</w:t>
            </w:r>
          </w:p>
        </w:tc>
      </w:tr>
      <w:tr>
        <w:trPr>
          <w:trHeight w:val="230"/>
        </w:trPr>
        <w:tc>
          <w:tcPr>
            <w:tcW w:w="3980" w:type="dxa"/>
            <w:vAlign w:val="bottom"/>
          </w:tcPr>
          <w:p>
            <w:pPr>
              <w:spacing w:after="0"/>
              <w:rPr>
                <w:sz w:val="20"/>
                <w:szCs w:val="20"/>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Cincinnati, OH 45202</w:t>
            </w:r>
          </w:p>
        </w:tc>
      </w:tr>
      <w:tr>
        <w:trPr>
          <w:trHeight w:val="418"/>
        </w:trPr>
        <w:tc>
          <w:tcPr>
            <w:tcW w:w="3980" w:type="dxa"/>
            <w:vAlign w:val="bottom"/>
          </w:tcPr>
          <w:p>
            <w:pPr>
              <w:ind w:left="660"/>
              <w:spacing w:after="0"/>
              <w:rPr>
                <w:sz w:val="20"/>
                <w:szCs w:val="20"/>
                <w:color w:val="auto"/>
              </w:rPr>
            </w:pPr>
            <w:r>
              <w:rPr>
                <w:rFonts w:ascii="Arial" w:cs="Arial" w:eastAsia="Arial" w:hAnsi="Arial"/>
                <w:sz w:val="18"/>
                <w:szCs w:val="18"/>
                <w:color w:val="auto"/>
              </w:rPr>
              <w:t>Raymond C. Avansino</w:t>
            </w:r>
          </w:p>
        </w:tc>
        <w:tc>
          <w:tcPr>
            <w:tcW w:w="6360" w:type="dxa"/>
            <w:vAlign w:val="bottom"/>
          </w:tcPr>
          <w:p>
            <w:pPr>
              <w:spacing w:after="0"/>
              <w:rPr>
                <w:sz w:val="20"/>
                <w:szCs w:val="20"/>
                <w:color w:val="auto"/>
              </w:rPr>
            </w:pPr>
            <w:r>
              <w:rPr>
                <w:rFonts w:ascii="Arial" w:cs="Arial" w:eastAsia="Arial" w:hAnsi="Arial"/>
                <w:sz w:val="18"/>
                <w:szCs w:val="18"/>
                <w:color w:val="auto"/>
              </w:rPr>
              <w:t>Chairman &amp; Chief Executive Officer</w:t>
            </w:r>
          </w:p>
        </w:tc>
      </w:tr>
      <w:tr>
        <w:trPr>
          <w:trHeight w:val="216"/>
        </w:trPr>
        <w:tc>
          <w:tcPr>
            <w:tcW w:w="398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E.L. Wiegand Foundation</w:t>
            </w:r>
          </w:p>
        </w:tc>
      </w:tr>
      <w:tr>
        <w:trPr>
          <w:trHeight w:val="216"/>
        </w:trPr>
        <w:tc>
          <w:tcPr>
            <w:tcW w:w="398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165 West Liberty Street</w:t>
            </w:r>
          </w:p>
        </w:tc>
      </w:tr>
      <w:tr>
        <w:trPr>
          <w:trHeight w:val="230"/>
        </w:trPr>
        <w:tc>
          <w:tcPr>
            <w:tcW w:w="3980" w:type="dxa"/>
            <w:vAlign w:val="bottom"/>
          </w:tcPr>
          <w:p>
            <w:pPr>
              <w:spacing w:after="0"/>
              <w:rPr>
                <w:sz w:val="20"/>
                <w:szCs w:val="20"/>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Reno, NV 89501</w:t>
            </w:r>
          </w:p>
        </w:tc>
      </w:tr>
      <w:tr>
        <w:trPr>
          <w:trHeight w:val="418"/>
        </w:trPr>
        <w:tc>
          <w:tcPr>
            <w:tcW w:w="3980" w:type="dxa"/>
            <w:vAlign w:val="bottom"/>
          </w:tcPr>
          <w:p>
            <w:pPr>
              <w:ind w:left="640"/>
              <w:spacing w:after="0"/>
              <w:rPr>
                <w:sz w:val="20"/>
                <w:szCs w:val="20"/>
                <w:color w:val="auto"/>
              </w:rPr>
            </w:pPr>
            <w:r>
              <w:rPr>
                <w:rFonts w:ascii="Arial" w:cs="Arial" w:eastAsia="Arial" w:hAnsi="Arial"/>
                <w:sz w:val="18"/>
                <w:szCs w:val="18"/>
                <w:color w:val="auto"/>
              </w:rPr>
              <w:t>Leslie B. Daniels</w:t>
            </w:r>
          </w:p>
        </w:tc>
        <w:tc>
          <w:tcPr>
            <w:tcW w:w="6360" w:type="dxa"/>
            <w:vAlign w:val="bottom"/>
          </w:tcPr>
          <w:p>
            <w:pPr>
              <w:spacing w:after="0"/>
              <w:rPr>
                <w:sz w:val="20"/>
                <w:szCs w:val="20"/>
                <w:color w:val="auto"/>
              </w:rPr>
            </w:pPr>
            <w:r>
              <w:rPr>
                <w:rFonts w:ascii="Arial" w:cs="Arial" w:eastAsia="Arial" w:hAnsi="Arial"/>
                <w:sz w:val="18"/>
                <w:szCs w:val="18"/>
                <w:color w:val="auto"/>
              </w:rPr>
              <w:t>Operating Partner</w:t>
            </w:r>
          </w:p>
        </w:tc>
      </w:tr>
      <w:tr>
        <w:trPr>
          <w:trHeight w:val="216"/>
        </w:trPr>
        <w:tc>
          <w:tcPr>
            <w:tcW w:w="398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AE Industrial Partners, LP</w:t>
            </w:r>
          </w:p>
        </w:tc>
      </w:tr>
      <w:tr>
        <w:trPr>
          <w:trHeight w:val="216"/>
        </w:trPr>
        <w:tc>
          <w:tcPr>
            <w:tcW w:w="398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2500 N. Military Trail, Suite 470</w:t>
            </w:r>
          </w:p>
        </w:tc>
      </w:tr>
      <w:tr>
        <w:trPr>
          <w:trHeight w:val="230"/>
        </w:trPr>
        <w:tc>
          <w:tcPr>
            <w:tcW w:w="3980" w:type="dxa"/>
            <w:vAlign w:val="bottom"/>
          </w:tcPr>
          <w:p>
            <w:pPr>
              <w:spacing w:after="0"/>
              <w:rPr>
                <w:sz w:val="20"/>
                <w:szCs w:val="20"/>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Boca Raton, FL 33431</w:t>
            </w:r>
          </w:p>
        </w:tc>
      </w:tr>
      <w:tr>
        <w:trPr>
          <w:trHeight w:val="418"/>
        </w:trPr>
        <w:tc>
          <w:tcPr>
            <w:tcW w:w="3980" w:type="dxa"/>
            <w:vAlign w:val="bottom"/>
          </w:tcPr>
          <w:p>
            <w:pPr>
              <w:ind w:left="660"/>
              <w:spacing w:after="0"/>
              <w:rPr>
                <w:sz w:val="20"/>
                <w:szCs w:val="20"/>
                <w:color w:val="auto"/>
              </w:rPr>
            </w:pPr>
            <w:r>
              <w:rPr>
                <w:rFonts w:ascii="Arial" w:cs="Arial" w:eastAsia="Arial" w:hAnsi="Arial"/>
                <w:sz w:val="18"/>
                <w:szCs w:val="18"/>
                <w:color w:val="auto"/>
              </w:rPr>
              <w:t>Mario J. Gabelli</w:t>
            </w:r>
          </w:p>
        </w:tc>
        <w:tc>
          <w:tcPr>
            <w:tcW w:w="6360" w:type="dxa"/>
            <w:vAlign w:val="bottom"/>
          </w:tcPr>
          <w:p>
            <w:pPr>
              <w:spacing w:after="0"/>
              <w:rPr>
                <w:sz w:val="20"/>
                <w:szCs w:val="20"/>
                <w:color w:val="auto"/>
              </w:rPr>
            </w:pPr>
            <w:r>
              <w:rPr>
                <w:rFonts w:ascii="Arial" w:cs="Arial" w:eastAsia="Arial" w:hAnsi="Arial"/>
                <w:sz w:val="18"/>
                <w:szCs w:val="18"/>
                <w:color w:val="auto"/>
              </w:rPr>
              <w:t>Chief Executive Officer and Chief Investment Officer of GGCP, Inc.</w:t>
            </w:r>
          </w:p>
        </w:tc>
      </w:tr>
      <w:tr>
        <w:trPr>
          <w:trHeight w:val="216"/>
        </w:trPr>
        <w:tc>
          <w:tcPr>
            <w:tcW w:w="398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Chairman &amp; Chief Executive Officer of GAMCO Investors, Inc.</w:t>
            </w:r>
          </w:p>
        </w:tc>
      </w:tr>
      <w:tr>
        <w:trPr>
          <w:trHeight w:val="216"/>
        </w:trPr>
        <w:tc>
          <w:tcPr>
            <w:tcW w:w="398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Executive Chairman of Associated Capital Group, Inc.</w:t>
            </w:r>
          </w:p>
        </w:tc>
      </w:tr>
      <w:tr>
        <w:trPr>
          <w:trHeight w:val="230"/>
        </w:trPr>
        <w:tc>
          <w:tcPr>
            <w:tcW w:w="3980" w:type="dxa"/>
            <w:vAlign w:val="bottom"/>
          </w:tcPr>
          <w:p>
            <w:pPr>
              <w:spacing w:after="0"/>
              <w:rPr>
                <w:sz w:val="20"/>
                <w:szCs w:val="20"/>
                <w:color w:val="auto"/>
              </w:rPr>
            </w:pPr>
          </w:p>
        </w:tc>
        <w:tc>
          <w:tcPr>
            <w:tcW w:w="6360" w:type="dxa"/>
            <w:vAlign w:val="bottom"/>
          </w:tcPr>
          <w:p>
            <w:pPr>
              <w:spacing w:after="0"/>
              <w:rPr>
                <w:sz w:val="20"/>
                <w:szCs w:val="20"/>
                <w:color w:val="auto"/>
              </w:rPr>
            </w:pPr>
            <w:r>
              <w:rPr>
                <w:rFonts w:ascii="Arial" w:cs="Arial" w:eastAsia="Arial" w:hAnsi="Arial"/>
                <w:sz w:val="18"/>
                <w:szCs w:val="18"/>
                <w:color w:val="auto"/>
                <w:w w:val="91"/>
              </w:rPr>
              <w:t>Director/Trustee of all registered investment companies advised by Gabelli Funds, LLC.</w:t>
            </w:r>
          </w:p>
        </w:tc>
      </w:tr>
      <w:tr>
        <w:trPr>
          <w:trHeight w:val="418"/>
        </w:trPr>
        <w:tc>
          <w:tcPr>
            <w:tcW w:w="3980" w:type="dxa"/>
            <w:vAlign w:val="bottom"/>
          </w:tcPr>
          <w:p>
            <w:pPr>
              <w:spacing w:after="0"/>
              <w:rPr>
                <w:sz w:val="24"/>
                <w:szCs w:val="24"/>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398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c/o GAMCO Investors, Inc.</w:t>
            </w:r>
          </w:p>
        </w:tc>
      </w:tr>
      <w:tr>
        <w:trPr>
          <w:trHeight w:val="216"/>
        </w:trPr>
        <w:tc>
          <w:tcPr>
            <w:tcW w:w="3980" w:type="dxa"/>
            <w:vAlign w:val="bottom"/>
          </w:tcPr>
          <w:p>
            <w:pPr>
              <w:ind w:left="640"/>
              <w:spacing w:after="0"/>
              <w:rPr>
                <w:sz w:val="20"/>
                <w:szCs w:val="20"/>
                <w:color w:val="auto"/>
              </w:rPr>
            </w:pPr>
            <w:r>
              <w:rPr>
                <w:rFonts w:ascii="Arial" w:cs="Arial" w:eastAsia="Arial" w:hAnsi="Arial"/>
                <w:sz w:val="18"/>
                <w:szCs w:val="18"/>
                <w:color w:val="auto"/>
              </w:rPr>
              <w:t>Elisa M. Wilson</w:t>
            </w:r>
          </w:p>
        </w:tc>
        <w:tc>
          <w:tcPr>
            <w:tcW w:w="6360" w:type="dxa"/>
            <w:vAlign w:val="bottom"/>
          </w:tcPr>
          <w:p>
            <w:pPr>
              <w:spacing w:after="0"/>
              <w:rPr>
                <w:sz w:val="20"/>
                <w:szCs w:val="20"/>
                <w:color w:val="auto"/>
              </w:rPr>
            </w:pPr>
            <w:r>
              <w:rPr>
                <w:rFonts w:ascii="Arial" w:cs="Arial" w:eastAsia="Arial" w:hAnsi="Arial"/>
                <w:sz w:val="18"/>
                <w:szCs w:val="18"/>
                <w:color w:val="auto"/>
              </w:rPr>
              <w:t>One Corporate Center</w:t>
            </w:r>
          </w:p>
        </w:tc>
      </w:tr>
      <w:tr>
        <w:trPr>
          <w:trHeight w:val="230"/>
        </w:trPr>
        <w:tc>
          <w:tcPr>
            <w:tcW w:w="3980" w:type="dxa"/>
            <w:vAlign w:val="bottom"/>
          </w:tcPr>
          <w:p>
            <w:pPr>
              <w:spacing w:after="0"/>
              <w:rPr>
                <w:sz w:val="20"/>
                <w:szCs w:val="20"/>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Rye, NY 10580</w:t>
            </w:r>
          </w:p>
        </w:tc>
      </w:tr>
      <w:tr>
        <w:trPr>
          <w:trHeight w:val="418"/>
        </w:trPr>
        <w:tc>
          <w:tcPr>
            <w:tcW w:w="3980" w:type="dxa"/>
            <w:vAlign w:val="bottom"/>
          </w:tcPr>
          <w:p>
            <w:pPr>
              <w:ind w:left="680"/>
              <w:spacing w:after="0"/>
              <w:rPr>
                <w:sz w:val="20"/>
                <w:szCs w:val="20"/>
                <w:color w:val="auto"/>
              </w:rPr>
            </w:pPr>
            <w:r>
              <w:rPr>
                <w:rFonts w:ascii="Arial" w:cs="Arial" w:eastAsia="Arial" w:hAnsi="Arial"/>
                <w:sz w:val="18"/>
                <w:szCs w:val="18"/>
                <w:color w:val="auto"/>
              </w:rPr>
              <w:t>Eugene R. McGrath</w:t>
            </w:r>
          </w:p>
        </w:tc>
        <w:tc>
          <w:tcPr>
            <w:tcW w:w="6360" w:type="dxa"/>
            <w:vAlign w:val="bottom"/>
          </w:tcPr>
          <w:p>
            <w:pPr>
              <w:spacing w:after="0"/>
              <w:rPr>
                <w:sz w:val="20"/>
                <w:szCs w:val="20"/>
                <w:color w:val="auto"/>
              </w:rPr>
            </w:pPr>
            <w:r>
              <w:rPr>
                <w:rFonts w:ascii="Arial" w:cs="Arial" w:eastAsia="Arial" w:hAnsi="Arial"/>
                <w:sz w:val="18"/>
                <w:szCs w:val="18"/>
                <w:color w:val="auto"/>
              </w:rPr>
              <w:t>Former Chairman and Chief Executive Officer</w:t>
            </w:r>
          </w:p>
        </w:tc>
      </w:tr>
      <w:tr>
        <w:trPr>
          <w:trHeight w:val="216"/>
        </w:trPr>
        <w:tc>
          <w:tcPr>
            <w:tcW w:w="398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Consolidated Edison, Inc.</w:t>
            </w:r>
          </w:p>
        </w:tc>
      </w:tr>
      <w:tr>
        <w:trPr>
          <w:trHeight w:val="216"/>
        </w:trPr>
        <w:tc>
          <w:tcPr>
            <w:tcW w:w="398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4 Irving Place</w:t>
            </w:r>
          </w:p>
        </w:tc>
      </w:tr>
      <w:tr>
        <w:trPr>
          <w:trHeight w:val="230"/>
        </w:trPr>
        <w:tc>
          <w:tcPr>
            <w:tcW w:w="3980" w:type="dxa"/>
            <w:vAlign w:val="bottom"/>
          </w:tcPr>
          <w:p>
            <w:pPr>
              <w:spacing w:after="0"/>
              <w:rPr>
                <w:sz w:val="20"/>
                <w:szCs w:val="20"/>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New York, NY 10003</w:t>
            </w:r>
          </w:p>
        </w:tc>
      </w:tr>
      <w:tr>
        <w:trPr>
          <w:trHeight w:val="418"/>
        </w:trPr>
        <w:tc>
          <w:tcPr>
            <w:tcW w:w="3980" w:type="dxa"/>
            <w:vAlign w:val="bottom"/>
          </w:tcPr>
          <w:p>
            <w:pPr>
              <w:ind w:left="680"/>
              <w:spacing w:after="0"/>
              <w:rPr>
                <w:sz w:val="20"/>
                <w:szCs w:val="20"/>
                <w:color w:val="auto"/>
              </w:rPr>
            </w:pPr>
            <w:r>
              <w:rPr>
                <w:rFonts w:ascii="Arial" w:cs="Arial" w:eastAsia="Arial" w:hAnsi="Arial"/>
                <w:sz w:val="18"/>
                <w:szCs w:val="18"/>
                <w:color w:val="auto"/>
              </w:rPr>
              <w:t>Robert S. Prather</w:t>
            </w:r>
          </w:p>
        </w:tc>
        <w:tc>
          <w:tcPr>
            <w:tcW w:w="6360" w:type="dxa"/>
            <w:vAlign w:val="bottom"/>
          </w:tcPr>
          <w:p>
            <w:pPr>
              <w:spacing w:after="0"/>
              <w:rPr>
                <w:sz w:val="20"/>
                <w:szCs w:val="20"/>
                <w:color w:val="auto"/>
              </w:rPr>
            </w:pPr>
            <w:r>
              <w:rPr>
                <w:rFonts w:ascii="Arial" w:cs="Arial" w:eastAsia="Arial" w:hAnsi="Arial"/>
                <w:sz w:val="18"/>
                <w:szCs w:val="18"/>
                <w:color w:val="auto"/>
              </w:rPr>
              <w:t>President &amp; Chief Executive Officer</w:t>
            </w:r>
          </w:p>
        </w:tc>
      </w:tr>
      <w:tr>
        <w:trPr>
          <w:trHeight w:val="216"/>
        </w:trPr>
        <w:tc>
          <w:tcPr>
            <w:tcW w:w="398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Heartland Media, LLC</w:t>
            </w:r>
          </w:p>
        </w:tc>
      </w:tr>
      <w:tr>
        <w:trPr>
          <w:trHeight w:val="216"/>
        </w:trPr>
        <w:tc>
          <w:tcPr>
            <w:tcW w:w="398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1843 West Wesley Road</w:t>
            </w:r>
          </w:p>
        </w:tc>
      </w:tr>
      <w:tr>
        <w:trPr>
          <w:trHeight w:val="230"/>
        </w:trPr>
        <w:tc>
          <w:tcPr>
            <w:tcW w:w="3980" w:type="dxa"/>
            <w:vAlign w:val="bottom"/>
          </w:tcPr>
          <w:p>
            <w:pPr>
              <w:spacing w:after="0"/>
              <w:rPr>
                <w:sz w:val="20"/>
                <w:szCs w:val="20"/>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Atlanta, GA 30327</w:t>
            </w:r>
          </w:p>
        </w:tc>
      </w:tr>
      <w:tr>
        <w:trPr>
          <w:trHeight w:val="418"/>
        </w:trPr>
        <w:tc>
          <w:tcPr>
            <w:tcW w:w="3980" w:type="dxa"/>
            <w:vAlign w:val="bottom"/>
          </w:tcPr>
          <w:p>
            <w:pPr>
              <w:spacing w:after="0"/>
              <w:rPr>
                <w:sz w:val="20"/>
                <w:szCs w:val="20"/>
                <w:color w:val="auto"/>
              </w:rPr>
            </w:pPr>
            <w:r>
              <w:rPr>
                <w:rFonts w:ascii="Arial" w:cs="Arial" w:eastAsia="Arial" w:hAnsi="Arial"/>
                <w:sz w:val="18"/>
                <w:szCs w:val="18"/>
                <w:color w:val="auto"/>
              </w:rPr>
              <w:t>Officers:</w:t>
            </w:r>
          </w:p>
        </w:tc>
        <w:tc>
          <w:tcPr>
            <w:tcW w:w="6360" w:type="dxa"/>
            <w:vAlign w:val="bottom"/>
          </w:tcPr>
          <w:p>
            <w:pPr>
              <w:spacing w:after="0"/>
              <w:rPr>
                <w:sz w:val="24"/>
                <w:szCs w:val="24"/>
                <w:color w:val="auto"/>
              </w:rPr>
            </w:pPr>
          </w:p>
        </w:tc>
      </w:tr>
      <w:tr>
        <w:trPr>
          <w:trHeight w:val="230"/>
        </w:trPr>
        <w:tc>
          <w:tcPr>
            <w:tcW w:w="3980" w:type="dxa"/>
            <w:vAlign w:val="bottom"/>
          </w:tcPr>
          <w:p>
            <w:pPr>
              <w:ind w:left="660"/>
              <w:spacing w:after="0"/>
              <w:rPr>
                <w:sz w:val="20"/>
                <w:szCs w:val="20"/>
                <w:color w:val="auto"/>
              </w:rPr>
            </w:pPr>
            <w:r>
              <w:rPr>
                <w:rFonts w:ascii="Arial" w:cs="Arial" w:eastAsia="Arial" w:hAnsi="Arial"/>
                <w:sz w:val="18"/>
                <w:szCs w:val="18"/>
                <w:color w:val="auto"/>
              </w:rPr>
              <w:t>Mario J. Gabelli</w:t>
            </w:r>
          </w:p>
        </w:tc>
        <w:tc>
          <w:tcPr>
            <w:tcW w:w="6360" w:type="dxa"/>
            <w:vAlign w:val="bottom"/>
          </w:tcPr>
          <w:p>
            <w:pPr>
              <w:spacing w:after="0"/>
              <w:rPr>
                <w:sz w:val="20"/>
                <w:szCs w:val="20"/>
                <w:color w:val="auto"/>
              </w:rPr>
            </w:pPr>
            <w:r>
              <w:rPr>
                <w:rFonts w:ascii="Arial" w:cs="Arial" w:eastAsia="Arial" w:hAnsi="Arial"/>
                <w:sz w:val="18"/>
                <w:szCs w:val="18"/>
                <w:color w:val="auto"/>
              </w:rPr>
              <w:t>Chairman and Chief Executive Officer</w:t>
            </w:r>
          </w:p>
        </w:tc>
      </w:tr>
      <w:tr>
        <w:trPr>
          <w:trHeight w:val="432"/>
        </w:trPr>
        <w:tc>
          <w:tcPr>
            <w:tcW w:w="3980" w:type="dxa"/>
            <w:vAlign w:val="bottom"/>
          </w:tcPr>
          <w:p>
            <w:pPr>
              <w:ind w:left="660"/>
              <w:spacing w:after="0"/>
              <w:rPr>
                <w:sz w:val="20"/>
                <w:szCs w:val="20"/>
                <w:color w:val="auto"/>
              </w:rPr>
            </w:pPr>
            <w:r>
              <w:rPr>
                <w:rFonts w:ascii="Arial" w:cs="Arial" w:eastAsia="Arial" w:hAnsi="Arial"/>
                <w:sz w:val="18"/>
                <w:szCs w:val="18"/>
                <w:color w:val="auto"/>
              </w:rPr>
              <w:t>Henry G. Van der Eb</w:t>
            </w:r>
          </w:p>
        </w:tc>
        <w:tc>
          <w:tcPr>
            <w:tcW w:w="6360" w:type="dxa"/>
            <w:vAlign w:val="bottom"/>
          </w:tcPr>
          <w:p>
            <w:pPr>
              <w:spacing w:after="0"/>
              <w:rPr>
                <w:sz w:val="20"/>
                <w:szCs w:val="20"/>
                <w:color w:val="auto"/>
              </w:rPr>
            </w:pPr>
            <w:r>
              <w:rPr>
                <w:rFonts w:ascii="Arial" w:cs="Arial" w:eastAsia="Arial" w:hAnsi="Arial"/>
                <w:sz w:val="18"/>
                <w:szCs w:val="18"/>
                <w:color w:val="auto"/>
              </w:rPr>
              <w:t>Senior Vice President</w:t>
            </w:r>
          </w:p>
        </w:tc>
      </w:tr>
      <w:tr>
        <w:trPr>
          <w:trHeight w:val="432"/>
        </w:trPr>
        <w:tc>
          <w:tcPr>
            <w:tcW w:w="3980" w:type="dxa"/>
            <w:vAlign w:val="bottom"/>
          </w:tcPr>
          <w:p>
            <w:pPr>
              <w:ind w:left="660"/>
              <w:spacing w:after="0"/>
              <w:rPr>
                <w:sz w:val="20"/>
                <w:szCs w:val="20"/>
                <w:color w:val="auto"/>
              </w:rPr>
            </w:pPr>
            <w:r>
              <w:rPr>
                <w:rFonts w:ascii="Arial" w:cs="Arial" w:eastAsia="Arial" w:hAnsi="Arial"/>
                <w:sz w:val="18"/>
                <w:szCs w:val="18"/>
                <w:color w:val="auto"/>
              </w:rPr>
              <w:t>Bruce N. Alpert</w:t>
            </w:r>
          </w:p>
        </w:tc>
        <w:tc>
          <w:tcPr>
            <w:tcW w:w="6360" w:type="dxa"/>
            <w:vAlign w:val="bottom"/>
          </w:tcPr>
          <w:p>
            <w:pPr>
              <w:spacing w:after="0"/>
              <w:rPr>
                <w:sz w:val="20"/>
                <w:szCs w:val="20"/>
                <w:color w:val="auto"/>
              </w:rPr>
            </w:pPr>
            <w:r>
              <w:rPr>
                <w:rFonts w:ascii="Arial" w:cs="Arial" w:eastAsia="Arial" w:hAnsi="Arial"/>
                <w:sz w:val="18"/>
                <w:szCs w:val="18"/>
                <w:color w:val="auto"/>
              </w:rPr>
              <w:t>Senior Vice President</w:t>
            </w:r>
          </w:p>
        </w:tc>
      </w:tr>
      <w:tr>
        <w:trPr>
          <w:trHeight w:val="432"/>
        </w:trPr>
        <w:tc>
          <w:tcPr>
            <w:tcW w:w="3980" w:type="dxa"/>
            <w:vAlign w:val="bottom"/>
          </w:tcPr>
          <w:p>
            <w:pPr>
              <w:ind w:left="660"/>
              <w:spacing w:after="0"/>
              <w:rPr>
                <w:sz w:val="20"/>
                <w:szCs w:val="20"/>
                <w:color w:val="auto"/>
              </w:rPr>
            </w:pPr>
            <w:r>
              <w:rPr>
                <w:rFonts w:ascii="Arial" w:cs="Arial" w:eastAsia="Arial" w:hAnsi="Arial"/>
                <w:sz w:val="18"/>
                <w:szCs w:val="18"/>
                <w:color w:val="auto"/>
              </w:rPr>
              <w:t>Agnes Mullady</w:t>
            </w:r>
          </w:p>
        </w:tc>
        <w:tc>
          <w:tcPr>
            <w:tcW w:w="6360" w:type="dxa"/>
            <w:vAlign w:val="bottom"/>
          </w:tcPr>
          <w:p>
            <w:pPr>
              <w:spacing w:after="0"/>
              <w:rPr>
                <w:sz w:val="20"/>
                <w:szCs w:val="20"/>
                <w:color w:val="auto"/>
              </w:rPr>
            </w:pPr>
            <w:r>
              <w:rPr>
                <w:rFonts w:ascii="Arial" w:cs="Arial" w:eastAsia="Arial" w:hAnsi="Arial"/>
                <w:sz w:val="18"/>
                <w:szCs w:val="18"/>
                <w:color w:val="auto"/>
              </w:rPr>
              <w:t>Senior Vice President</w:t>
            </w:r>
          </w:p>
        </w:tc>
      </w:tr>
      <w:tr>
        <w:trPr>
          <w:trHeight w:val="432"/>
        </w:trPr>
        <w:tc>
          <w:tcPr>
            <w:tcW w:w="3980" w:type="dxa"/>
            <w:vAlign w:val="bottom"/>
          </w:tcPr>
          <w:p>
            <w:pPr>
              <w:ind w:left="660"/>
              <w:spacing w:after="0"/>
              <w:rPr>
                <w:sz w:val="20"/>
                <w:szCs w:val="20"/>
                <w:color w:val="auto"/>
              </w:rPr>
            </w:pPr>
            <w:r>
              <w:rPr>
                <w:rFonts w:ascii="Arial" w:cs="Arial" w:eastAsia="Arial" w:hAnsi="Arial"/>
                <w:sz w:val="18"/>
                <w:szCs w:val="18"/>
                <w:color w:val="auto"/>
              </w:rPr>
              <w:t>Kevin Handwerker</w:t>
            </w:r>
          </w:p>
        </w:tc>
        <w:tc>
          <w:tcPr>
            <w:tcW w:w="6360" w:type="dxa"/>
            <w:vAlign w:val="bottom"/>
          </w:tcPr>
          <w:p>
            <w:pPr>
              <w:spacing w:after="0"/>
              <w:rPr>
                <w:sz w:val="20"/>
                <w:szCs w:val="20"/>
                <w:color w:val="auto"/>
              </w:rPr>
            </w:pPr>
            <w:r>
              <w:rPr>
                <w:rFonts w:ascii="Arial" w:cs="Arial" w:eastAsia="Arial" w:hAnsi="Arial"/>
                <w:sz w:val="18"/>
                <w:szCs w:val="18"/>
                <w:color w:val="auto"/>
              </w:rPr>
              <w:t>Executive Vice President, General Counsel and Secretary</w:t>
            </w:r>
          </w:p>
        </w:tc>
      </w:tr>
      <w:tr>
        <w:trPr>
          <w:trHeight w:val="432"/>
        </w:trPr>
        <w:tc>
          <w:tcPr>
            <w:tcW w:w="3980" w:type="dxa"/>
            <w:vAlign w:val="bottom"/>
          </w:tcPr>
          <w:p>
            <w:pPr>
              <w:ind w:left="660"/>
              <w:spacing w:after="0"/>
              <w:rPr>
                <w:sz w:val="20"/>
                <w:szCs w:val="20"/>
                <w:color w:val="auto"/>
              </w:rPr>
            </w:pPr>
            <w:r>
              <w:rPr>
                <w:rFonts w:ascii="Arial" w:cs="Arial" w:eastAsia="Arial" w:hAnsi="Arial"/>
                <w:sz w:val="18"/>
                <w:szCs w:val="18"/>
                <w:color w:val="auto"/>
              </w:rPr>
              <w:t>Kieran Caterina</w:t>
            </w:r>
          </w:p>
        </w:tc>
        <w:tc>
          <w:tcPr>
            <w:tcW w:w="6360" w:type="dxa"/>
            <w:vAlign w:val="bottom"/>
          </w:tcPr>
          <w:p>
            <w:pPr>
              <w:spacing w:after="0"/>
              <w:rPr>
                <w:sz w:val="20"/>
                <w:szCs w:val="20"/>
                <w:color w:val="auto"/>
              </w:rPr>
            </w:pPr>
            <w:r>
              <w:rPr>
                <w:rFonts w:ascii="Arial" w:cs="Arial" w:eastAsia="Arial" w:hAnsi="Arial"/>
                <w:sz w:val="18"/>
                <w:szCs w:val="18"/>
                <w:color w:val="auto"/>
              </w:rPr>
              <w:t>Chief Accounting Officer</w:t>
            </w:r>
          </w:p>
        </w:tc>
      </w:tr>
      <w:tr>
        <w:trPr>
          <w:trHeight w:val="850"/>
        </w:trPr>
        <w:tc>
          <w:tcPr>
            <w:tcW w:w="3980" w:type="dxa"/>
            <w:vAlign w:val="bottom"/>
          </w:tcPr>
          <w:p>
            <w:pPr>
              <w:spacing w:after="0"/>
              <w:rPr>
                <w:sz w:val="20"/>
                <w:szCs w:val="20"/>
                <w:color w:val="auto"/>
              </w:rPr>
            </w:pPr>
            <w:r>
              <w:rPr>
                <w:rFonts w:ascii="Arial" w:cs="Arial" w:eastAsia="Arial" w:hAnsi="Arial"/>
                <w:sz w:val="18"/>
                <w:szCs w:val="18"/>
                <w:color w:val="auto"/>
              </w:rPr>
              <w:t>GAMCO Asset Management Inc.</w:t>
            </w:r>
          </w:p>
        </w:tc>
        <w:tc>
          <w:tcPr>
            <w:tcW w:w="6360" w:type="dxa"/>
            <w:vAlign w:val="bottom"/>
          </w:tcPr>
          <w:p>
            <w:pPr>
              <w:spacing w:after="0"/>
              <w:rPr>
                <w:sz w:val="24"/>
                <w:szCs w:val="24"/>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Directors:</w:t>
            </w:r>
          </w:p>
        </w:tc>
        <w:tc>
          <w:tcPr>
            <w:tcW w:w="6360" w:type="dxa"/>
            <w:vAlign w:val="bottom"/>
          </w:tcPr>
          <w:p>
            <w:pPr>
              <w:spacing w:after="0"/>
              <w:rPr>
                <w:sz w:val="20"/>
                <w:szCs w:val="20"/>
                <w:color w:val="auto"/>
              </w:rPr>
            </w:pPr>
          </w:p>
        </w:tc>
      </w:tr>
      <w:tr>
        <w:trPr>
          <w:trHeight w:val="223"/>
        </w:trPr>
        <w:tc>
          <w:tcPr>
            <w:tcW w:w="3980" w:type="dxa"/>
            <w:vAlign w:val="bottom"/>
            <w:tcBorders>
              <w:bottom w:val="single" w:sz="8" w:color="auto"/>
            </w:tcBorders>
          </w:tcPr>
          <w:p>
            <w:pPr>
              <w:spacing w:after="0"/>
              <w:rPr>
                <w:sz w:val="19"/>
                <w:szCs w:val="19"/>
                <w:color w:val="auto"/>
              </w:rPr>
            </w:pPr>
          </w:p>
        </w:tc>
        <w:tc>
          <w:tcPr>
            <w:tcW w:w="6360" w:type="dxa"/>
            <w:vAlign w:val="bottom"/>
          </w:tcPr>
          <w:p>
            <w:pPr>
              <w:spacing w:after="0"/>
              <w:rPr>
                <w:sz w:val="19"/>
                <w:szCs w:val="19"/>
                <w:color w:val="auto"/>
              </w:rPr>
            </w:pPr>
          </w:p>
        </w:tc>
      </w:tr>
      <w:tr>
        <w:trPr>
          <w:trHeight w:val="202"/>
        </w:trPr>
        <w:tc>
          <w:tcPr>
            <w:tcW w:w="3980" w:type="dxa"/>
            <w:vAlign w:val="bottom"/>
          </w:tcPr>
          <w:p>
            <w:pPr>
              <w:ind w:left="660"/>
              <w:spacing w:after="0" w:line="201" w:lineRule="exact"/>
              <w:rPr>
                <w:sz w:val="20"/>
                <w:szCs w:val="20"/>
                <w:color w:val="auto"/>
              </w:rPr>
            </w:pPr>
            <w:r>
              <w:rPr>
                <w:rFonts w:ascii="Arial" w:cs="Arial" w:eastAsia="Arial" w:hAnsi="Arial"/>
                <w:sz w:val="18"/>
                <w:szCs w:val="18"/>
                <w:color w:val="auto"/>
              </w:rPr>
              <w:t>Douglas R. Jamieson</w:t>
            </w:r>
          </w:p>
        </w:tc>
        <w:tc>
          <w:tcPr>
            <w:tcW w:w="6360" w:type="dxa"/>
            <w:vAlign w:val="bottom"/>
          </w:tcPr>
          <w:p>
            <w:pPr>
              <w:spacing w:after="0"/>
              <w:rPr>
                <w:sz w:val="17"/>
                <w:szCs w:val="17"/>
                <w:color w:val="auto"/>
              </w:rPr>
            </w:pPr>
          </w:p>
        </w:tc>
      </w:tr>
      <w:tr>
        <w:trPr>
          <w:trHeight w:val="216"/>
        </w:trPr>
        <w:tc>
          <w:tcPr>
            <w:tcW w:w="3980" w:type="dxa"/>
            <w:vAlign w:val="bottom"/>
          </w:tcPr>
          <w:p>
            <w:pPr>
              <w:ind w:left="660"/>
              <w:spacing w:after="0"/>
              <w:rPr>
                <w:sz w:val="20"/>
                <w:szCs w:val="20"/>
                <w:color w:val="auto"/>
              </w:rPr>
            </w:pPr>
            <w:r>
              <w:rPr>
                <w:rFonts w:ascii="Arial" w:cs="Arial" w:eastAsia="Arial" w:hAnsi="Arial"/>
                <w:sz w:val="18"/>
                <w:szCs w:val="18"/>
                <w:color w:val="auto"/>
              </w:rPr>
              <w:t>Regina M. Pitaro</w:t>
            </w:r>
          </w:p>
        </w:tc>
        <w:tc>
          <w:tcPr>
            <w:tcW w:w="6360" w:type="dxa"/>
            <w:vAlign w:val="bottom"/>
          </w:tcPr>
          <w:p>
            <w:pPr>
              <w:spacing w:after="0"/>
              <w:rPr>
                <w:sz w:val="18"/>
                <w:szCs w:val="18"/>
                <w:color w:val="auto"/>
              </w:rPr>
            </w:pPr>
          </w:p>
        </w:tc>
      </w:tr>
      <w:tr>
        <w:trPr>
          <w:trHeight w:val="230"/>
        </w:trPr>
        <w:tc>
          <w:tcPr>
            <w:tcW w:w="3980" w:type="dxa"/>
            <w:vAlign w:val="bottom"/>
          </w:tcPr>
          <w:p>
            <w:pPr>
              <w:ind w:left="660"/>
              <w:spacing w:after="0"/>
              <w:rPr>
                <w:sz w:val="20"/>
                <w:szCs w:val="20"/>
                <w:color w:val="auto"/>
              </w:rPr>
            </w:pPr>
            <w:r>
              <w:rPr>
                <w:rFonts w:ascii="Arial" w:cs="Arial" w:eastAsia="Arial" w:hAnsi="Arial"/>
                <w:sz w:val="18"/>
                <w:szCs w:val="18"/>
                <w:color w:val="auto"/>
              </w:rPr>
              <w:t>William S. Selby</w:t>
            </w:r>
          </w:p>
        </w:tc>
        <w:tc>
          <w:tcPr>
            <w:tcW w:w="6360" w:type="dxa"/>
            <w:vAlign w:val="bottom"/>
          </w:tcPr>
          <w:p>
            <w:pPr>
              <w:spacing w:after="0"/>
              <w:rPr>
                <w:sz w:val="20"/>
                <w:szCs w:val="20"/>
                <w:color w:val="auto"/>
              </w:rPr>
            </w:pPr>
          </w:p>
        </w:tc>
      </w:tr>
      <w:tr>
        <w:trPr>
          <w:trHeight w:val="432"/>
        </w:trPr>
        <w:tc>
          <w:tcPr>
            <w:tcW w:w="3980" w:type="dxa"/>
            <w:vAlign w:val="bottom"/>
          </w:tcPr>
          <w:p>
            <w:pPr>
              <w:spacing w:after="0"/>
              <w:rPr>
                <w:sz w:val="20"/>
                <w:szCs w:val="20"/>
                <w:color w:val="auto"/>
              </w:rPr>
            </w:pPr>
            <w:r>
              <w:rPr>
                <w:rFonts w:ascii="Arial" w:cs="Arial" w:eastAsia="Arial" w:hAnsi="Arial"/>
                <w:sz w:val="18"/>
                <w:szCs w:val="18"/>
                <w:color w:val="auto"/>
              </w:rPr>
              <w:t>Officers:</w:t>
            </w:r>
          </w:p>
        </w:tc>
        <w:tc>
          <w:tcPr>
            <w:tcW w:w="6360" w:type="dxa"/>
            <w:vAlign w:val="bottom"/>
          </w:tcPr>
          <w:p>
            <w:pPr>
              <w:spacing w:after="0"/>
              <w:rPr>
                <w:sz w:val="24"/>
                <w:szCs w:val="24"/>
                <w:color w:val="auto"/>
              </w:rPr>
            </w:pPr>
          </w:p>
        </w:tc>
      </w:tr>
      <w:tr>
        <w:trPr>
          <w:trHeight w:val="432"/>
        </w:trPr>
        <w:tc>
          <w:tcPr>
            <w:tcW w:w="3980" w:type="dxa"/>
            <w:vAlign w:val="bottom"/>
          </w:tcPr>
          <w:p>
            <w:pPr>
              <w:ind w:left="660"/>
              <w:spacing w:after="0"/>
              <w:rPr>
                <w:sz w:val="20"/>
                <w:szCs w:val="20"/>
                <w:color w:val="auto"/>
              </w:rPr>
            </w:pPr>
            <w:r>
              <w:rPr>
                <w:rFonts w:ascii="Arial" w:cs="Arial" w:eastAsia="Arial" w:hAnsi="Arial"/>
                <w:sz w:val="18"/>
                <w:szCs w:val="18"/>
                <w:color w:val="auto"/>
              </w:rPr>
              <w:t>Mario J. Gabelli</w:t>
            </w:r>
          </w:p>
        </w:tc>
        <w:tc>
          <w:tcPr>
            <w:tcW w:w="6360" w:type="dxa"/>
            <w:vAlign w:val="bottom"/>
          </w:tcPr>
          <w:p>
            <w:pPr>
              <w:spacing w:after="0"/>
              <w:rPr>
                <w:sz w:val="20"/>
                <w:szCs w:val="20"/>
                <w:color w:val="auto"/>
              </w:rPr>
            </w:pPr>
            <w:r>
              <w:rPr>
                <w:rFonts w:ascii="Arial" w:cs="Arial" w:eastAsia="Arial" w:hAnsi="Arial"/>
                <w:sz w:val="18"/>
                <w:szCs w:val="18"/>
                <w:color w:val="auto"/>
              </w:rPr>
              <w:t>Chief Executive Officer and Chief Investment Officer – Value Portfolios</w:t>
            </w:r>
          </w:p>
        </w:tc>
      </w:tr>
      <w:tr>
        <w:trPr>
          <w:trHeight w:val="432"/>
        </w:trPr>
        <w:tc>
          <w:tcPr>
            <w:tcW w:w="3980" w:type="dxa"/>
            <w:vAlign w:val="bottom"/>
          </w:tcPr>
          <w:p>
            <w:pPr>
              <w:ind w:left="660"/>
              <w:spacing w:after="0"/>
              <w:rPr>
                <w:sz w:val="20"/>
                <w:szCs w:val="20"/>
                <w:color w:val="auto"/>
              </w:rPr>
            </w:pPr>
            <w:r>
              <w:rPr>
                <w:rFonts w:ascii="Arial" w:cs="Arial" w:eastAsia="Arial" w:hAnsi="Arial"/>
                <w:sz w:val="18"/>
                <w:szCs w:val="18"/>
                <w:color w:val="auto"/>
              </w:rPr>
              <w:t>Douglas R. Jamieson</w:t>
            </w:r>
          </w:p>
        </w:tc>
        <w:tc>
          <w:tcPr>
            <w:tcW w:w="6360" w:type="dxa"/>
            <w:vAlign w:val="bottom"/>
          </w:tcPr>
          <w:p>
            <w:pPr>
              <w:spacing w:after="0"/>
              <w:rPr>
                <w:sz w:val="20"/>
                <w:szCs w:val="20"/>
                <w:color w:val="auto"/>
              </w:rPr>
            </w:pPr>
            <w:r>
              <w:rPr>
                <w:rFonts w:ascii="Arial" w:cs="Arial" w:eastAsia="Arial" w:hAnsi="Arial"/>
                <w:sz w:val="18"/>
                <w:szCs w:val="18"/>
                <w:color w:val="auto"/>
              </w:rPr>
              <w:t>President, Chief Operating Officer and Managing Director</w:t>
            </w:r>
          </w:p>
        </w:tc>
      </w:tr>
      <w:tr>
        <w:trPr>
          <w:trHeight w:val="432"/>
        </w:trPr>
        <w:tc>
          <w:tcPr>
            <w:tcW w:w="3980" w:type="dxa"/>
            <w:vAlign w:val="bottom"/>
          </w:tcPr>
          <w:p>
            <w:pPr>
              <w:ind w:left="680"/>
              <w:spacing w:after="0"/>
              <w:rPr>
                <w:sz w:val="20"/>
                <w:szCs w:val="20"/>
                <w:color w:val="auto"/>
              </w:rPr>
            </w:pPr>
            <w:r>
              <w:rPr>
                <w:rFonts w:ascii="Arial" w:cs="Arial" w:eastAsia="Arial" w:hAnsi="Arial"/>
                <w:sz w:val="18"/>
                <w:szCs w:val="18"/>
                <w:color w:val="auto"/>
              </w:rPr>
              <w:t>David Goldman</w:t>
            </w:r>
          </w:p>
        </w:tc>
        <w:tc>
          <w:tcPr>
            <w:tcW w:w="6360" w:type="dxa"/>
            <w:vAlign w:val="bottom"/>
          </w:tcPr>
          <w:p>
            <w:pPr>
              <w:spacing w:after="0"/>
              <w:rPr>
                <w:sz w:val="20"/>
                <w:szCs w:val="20"/>
                <w:color w:val="auto"/>
              </w:rPr>
            </w:pPr>
            <w:r>
              <w:rPr>
                <w:rFonts w:ascii="Arial" w:cs="Arial" w:eastAsia="Arial" w:hAnsi="Arial"/>
                <w:sz w:val="18"/>
                <w:szCs w:val="18"/>
                <w:color w:val="auto"/>
              </w:rPr>
              <w:t>General Counsel, Secretary &amp; Chief Compliance Officer</w:t>
            </w:r>
          </w:p>
        </w:tc>
      </w:tr>
    </w:tbl>
    <w:p>
      <w:pPr>
        <w:sectPr>
          <w:pgSz w:w="11900" w:h="16838" w:orient="portrait"/>
          <w:cols w:equalWidth="0" w:num="1">
            <w:col w:w="10340"/>
          </w:cols>
          <w:pgMar w:left="240" w:top="1440" w:right="1319" w:bottom="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Gabelli Funds,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Officers: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960" w:type="dxa"/>
            <w:vAlign w:val="bottom"/>
            <w:tcBorders>
              <w:top w:val="single" w:sz="8" w:color="auto"/>
            </w:tcBorders>
          </w:tcPr>
          <w:p>
            <w:pPr>
              <w:jc w:val="center"/>
              <w:ind w:right="1370"/>
              <w:spacing w:after="0"/>
              <w:rPr>
                <w:sz w:val="20"/>
                <w:szCs w:val="20"/>
                <w:color w:val="auto"/>
              </w:rPr>
            </w:pPr>
            <w:r>
              <w:rPr>
                <w:rFonts w:ascii="Arial" w:cs="Arial" w:eastAsia="Arial" w:hAnsi="Arial"/>
                <w:sz w:val="18"/>
                <w:szCs w:val="18"/>
                <w:color w:val="auto"/>
                <w:w w:val="94"/>
              </w:rPr>
              <w:t>Mario J. Gabelli</w:t>
            </w:r>
          </w:p>
        </w:tc>
        <w:tc>
          <w:tcPr>
            <w:tcW w:w="20" w:type="dxa"/>
            <w:vAlign w:val="bottom"/>
            <w:tcBorders>
              <w:top w:val="single" w:sz="8" w:color="auto"/>
            </w:tcBorders>
          </w:tcPr>
          <w:p>
            <w:pPr>
              <w:spacing w:after="0"/>
              <w:rPr>
                <w:sz w:val="22"/>
                <w:szCs w:val="22"/>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Chief Investment Officer – Value Portfolios</w:t>
            </w:r>
          </w:p>
        </w:tc>
      </w:tr>
      <w:tr>
        <w:trPr>
          <w:trHeight w:val="418"/>
        </w:trPr>
        <w:tc>
          <w:tcPr>
            <w:tcW w:w="3960" w:type="dxa"/>
            <w:vAlign w:val="bottom"/>
          </w:tcPr>
          <w:p>
            <w:pPr>
              <w:jc w:val="center"/>
              <w:ind w:right="1390"/>
              <w:spacing w:after="0"/>
              <w:rPr>
                <w:sz w:val="20"/>
                <w:szCs w:val="20"/>
                <w:color w:val="auto"/>
              </w:rPr>
            </w:pPr>
            <w:r>
              <w:rPr>
                <w:rFonts w:ascii="Arial" w:cs="Arial" w:eastAsia="Arial" w:hAnsi="Arial"/>
                <w:sz w:val="18"/>
                <w:szCs w:val="18"/>
                <w:color w:val="auto"/>
                <w:w w:val="95"/>
              </w:rPr>
              <w:t>Bruce N. Alpert</w:t>
            </w:r>
          </w:p>
        </w:tc>
        <w:tc>
          <w:tcPr>
            <w:tcW w:w="20" w:type="dxa"/>
            <w:vAlign w:val="bottom"/>
          </w:tcPr>
          <w:p>
            <w:pPr>
              <w:spacing w:after="0"/>
              <w:rPr>
                <w:sz w:val="24"/>
                <w:szCs w:val="24"/>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Executive Vice President and Chief Operating Officer</w:t>
            </w:r>
          </w:p>
        </w:tc>
      </w:tr>
      <w:tr>
        <w:trPr>
          <w:trHeight w:val="432"/>
        </w:trPr>
        <w:tc>
          <w:tcPr>
            <w:tcW w:w="3960" w:type="dxa"/>
            <w:vAlign w:val="bottom"/>
          </w:tcPr>
          <w:p>
            <w:pPr>
              <w:jc w:val="center"/>
              <w:ind w:right="1410"/>
              <w:spacing w:after="0"/>
              <w:rPr>
                <w:sz w:val="20"/>
                <w:szCs w:val="20"/>
                <w:color w:val="auto"/>
              </w:rPr>
            </w:pPr>
            <w:r>
              <w:rPr>
                <w:rFonts w:ascii="Arial" w:cs="Arial" w:eastAsia="Arial" w:hAnsi="Arial"/>
                <w:sz w:val="18"/>
                <w:szCs w:val="18"/>
                <w:color w:val="auto"/>
                <w:w w:val="93"/>
              </w:rPr>
              <w:t>Agnes Mullady</w:t>
            </w:r>
          </w:p>
        </w:tc>
        <w:tc>
          <w:tcPr>
            <w:tcW w:w="20" w:type="dxa"/>
            <w:vAlign w:val="bottom"/>
          </w:tcPr>
          <w:p>
            <w:pPr>
              <w:spacing w:after="0"/>
              <w:rPr>
                <w:sz w:val="24"/>
                <w:szCs w:val="24"/>
                <w:color w:val="auto"/>
              </w:rPr>
            </w:pPr>
          </w:p>
        </w:tc>
        <w:tc>
          <w:tcPr>
            <w:tcW w:w="4720" w:type="dxa"/>
            <w:vAlign w:val="bottom"/>
          </w:tcPr>
          <w:p>
            <w:pPr>
              <w:spacing w:after="0"/>
              <w:rPr>
                <w:sz w:val="20"/>
                <w:szCs w:val="20"/>
                <w:color w:val="auto"/>
              </w:rPr>
            </w:pPr>
            <w:r>
              <w:rPr>
                <w:rFonts w:ascii="Arial" w:cs="Arial" w:eastAsia="Arial" w:hAnsi="Arial"/>
                <w:sz w:val="18"/>
                <w:szCs w:val="18"/>
                <w:color w:val="auto"/>
                <w:w w:val="91"/>
              </w:rPr>
              <w:t>President and Chief Operating Officer – Open End Fund Division</w:t>
            </w:r>
          </w:p>
        </w:tc>
      </w:tr>
      <w:tr>
        <w:trPr>
          <w:trHeight w:val="432"/>
        </w:trPr>
        <w:tc>
          <w:tcPr>
            <w:tcW w:w="3960" w:type="dxa"/>
            <w:vAlign w:val="bottom"/>
          </w:tcPr>
          <w:p>
            <w:pPr>
              <w:jc w:val="center"/>
              <w:ind w:right="1350"/>
              <w:spacing w:after="0"/>
              <w:rPr>
                <w:sz w:val="20"/>
                <w:szCs w:val="20"/>
                <w:color w:val="auto"/>
              </w:rPr>
            </w:pPr>
            <w:r>
              <w:rPr>
                <w:rFonts w:ascii="Arial" w:cs="Arial" w:eastAsia="Arial" w:hAnsi="Arial"/>
                <w:sz w:val="18"/>
                <w:szCs w:val="18"/>
                <w:color w:val="auto"/>
                <w:w w:val="93"/>
              </w:rPr>
              <w:t>David Goldman</w:t>
            </w:r>
          </w:p>
        </w:tc>
        <w:tc>
          <w:tcPr>
            <w:tcW w:w="20" w:type="dxa"/>
            <w:vAlign w:val="bottom"/>
          </w:tcPr>
          <w:p>
            <w:pPr>
              <w:spacing w:after="0"/>
              <w:rPr>
                <w:sz w:val="24"/>
                <w:szCs w:val="24"/>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General Counsel</w:t>
            </w:r>
          </w:p>
        </w:tc>
      </w:tr>
      <w:tr>
        <w:trPr>
          <w:trHeight w:val="634"/>
        </w:trPr>
        <w:tc>
          <w:tcPr>
            <w:tcW w:w="3960" w:type="dxa"/>
            <w:vAlign w:val="bottom"/>
          </w:tcPr>
          <w:p>
            <w:pPr>
              <w:spacing w:after="0"/>
              <w:rPr>
                <w:sz w:val="20"/>
                <w:szCs w:val="20"/>
                <w:color w:val="auto"/>
              </w:rPr>
            </w:pPr>
            <w:r>
              <w:rPr>
                <w:rFonts w:ascii="Arial" w:cs="Arial" w:eastAsia="Arial" w:hAnsi="Arial"/>
                <w:sz w:val="18"/>
                <w:szCs w:val="18"/>
                <w:color w:val="auto"/>
              </w:rPr>
              <w:t>Gabelli Foundation, Inc.</w:t>
            </w:r>
          </w:p>
        </w:tc>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237"/>
        </w:trPr>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Officers:</w:t>
            </w:r>
          </w:p>
        </w:tc>
        <w:tc>
          <w:tcPr>
            <w:tcW w:w="20" w:type="dxa"/>
            <w:vAlign w:val="bottom"/>
          </w:tcPr>
          <w:p>
            <w:pPr>
              <w:spacing w:after="0"/>
              <w:rPr>
                <w:sz w:val="20"/>
                <w:szCs w:val="20"/>
                <w:color w:val="auto"/>
              </w:rPr>
            </w:pPr>
          </w:p>
        </w:tc>
        <w:tc>
          <w:tcPr>
            <w:tcW w:w="4720" w:type="dxa"/>
            <w:vAlign w:val="bottom"/>
          </w:tcPr>
          <w:p>
            <w:pPr>
              <w:spacing w:after="0"/>
              <w:rPr>
                <w:sz w:val="20"/>
                <w:szCs w:val="20"/>
                <w:color w:val="auto"/>
              </w:rPr>
            </w:pPr>
          </w:p>
        </w:tc>
      </w:tr>
      <w:tr>
        <w:trPr>
          <w:trHeight w:val="230"/>
        </w:trPr>
        <w:tc>
          <w:tcPr>
            <w:tcW w:w="3960" w:type="dxa"/>
            <w:vAlign w:val="bottom"/>
          </w:tcPr>
          <w:p>
            <w:pPr>
              <w:ind w:left="720"/>
              <w:spacing w:after="0"/>
              <w:rPr>
                <w:sz w:val="20"/>
                <w:szCs w:val="20"/>
                <w:color w:val="auto"/>
              </w:rPr>
            </w:pPr>
            <w:r>
              <w:rPr>
                <w:rFonts w:ascii="Arial" w:cs="Arial" w:eastAsia="Arial" w:hAnsi="Arial"/>
                <w:sz w:val="18"/>
                <w:szCs w:val="18"/>
                <w:color w:val="auto"/>
              </w:rPr>
              <w:t>Mario J. Gabelli</w:t>
            </w:r>
          </w:p>
        </w:tc>
        <w:tc>
          <w:tcPr>
            <w:tcW w:w="4740" w:type="dxa"/>
            <w:vAlign w:val="bottom"/>
            <w:gridSpan w:val="2"/>
          </w:tcPr>
          <w:p>
            <w:pPr>
              <w:spacing w:after="0"/>
              <w:rPr>
                <w:sz w:val="20"/>
                <w:szCs w:val="20"/>
                <w:color w:val="auto"/>
              </w:rPr>
            </w:pPr>
            <w:r>
              <w:rPr>
                <w:rFonts w:ascii="Arial" w:cs="Arial" w:eastAsia="Arial" w:hAnsi="Arial"/>
                <w:sz w:val="18"/>
                <w:szCs w:val="18"/>
                <w:color w:val="auto"/>
              </w:rPr>
              <w:t>Chairman, Trustee &amp; Chief Investment Officer</w:t>
            </w:r>
          </w:p>
        </w:tc>
      </w:tr>
      <w:tr>
        <w:trPr>
          <w:trHeight w:val="418"/>
        </w:trPr>
        <w:tc>
          <w:tcPr>
            <w:tcW w:w="3960" w:type="dxa"/>
            <w:vAlign w:val="bottom"/>
          </w:tcPr>
          <w:p>
            <w:pPr>
              <w:ind w:left="720"/>
              <w:spacing w:after="0"/>
              <w:rPr>
                <w:sz w:val="20"/>
                <w:szCs w:val="20"/>
                <w:color w:val="auto"/>
              </w:rPr>
            </w:pPr>
            <w:r>
              <w:rPr>
                <w:rFonts w:ascii="Arial" w:cs="Arial" w:eastAsia="Arial" w:hAnsi="Arial"/>
                <w:sz w:val="18"/>
                <w:szCs w:val="18"/>
                <w:color w:val="auto"/>
              </w:rPr>
              <w:t>Elisa M. Wilson</w:t>
            </w:r>
          </w:p>
        </w:tc>
        <w:tc>
          <w:tcPr>
            <w:tcW w:w="4740" w:type="dxa"/>
            <w:vAlign w:val="bottom"/>
            <w:gridSpan w:val="2"/>
          </w:tcPr>
          <w:p>
            <w:pPr>
              <w:spacing w:after="0"/>
              <w:rPr>
                <w:sz w:val="20"/>
                <w:szCs w:val="20"/>
                <w:color w:val="auto"/>
              </w:rPr>
            </w:pPr>
            <w:r>
              <w:rPr>
                <w:rFonts w:ascii="Arial" w:cs="Arial" w:eastAsia="Arial" w:hAnsi="Arial"/>
                <w:sz w:val="18"/>
                <w:szCs w:val="18"/>
                <w:color w:val="auto"/>
              </w:rPr>
              <w:t>President</w:t>
            </w:r>
          </w:p>
        </w:tc>
      </w:tr>
      <w:tr>
        <w:trPr>
          <w:trHeight w:val="432"/>
        </w:trPr>
        <w:tc>
          <w:tcPr>
            <w:tcW w:w="3960" w:type="dxa"/>
            <w:vAlign w:val="bottom"/>
          </w:tcPr>
          <w:p>
            <w:pPr>
              <w:ind w:left="720"/>
              <w:spacing w:after="0"/>
              <w:rPr>
                <w:sz w:val="20"/>
                <w:szCs w:val="20"/>
                <w:color w:val="auto"/>
              </w:rPr>
            </w:pPr>
            <w:r>
              <w:rPr>
                <w:rFonts w:ascii="Arial" w:cs="Arial" w:eastAsia="Arial" w:hAnsi="Arial"/>
                <w:sz w:val="18"/>
                <w:szCs w:val="18"/>
                <w:color w:val="auto"/>
              </w:rPr>
              <w:t>Marc Gabelli</w:t>
            </w:r>
          </w:p>
        </w:tc>
        <w:tc>
          <w:tcPr>
            <w:tcW w:w="4740" w:type="dxa"/>
            <w:vAlign w:val="bottom"/>
            <w:gridSpan w:val="2"/>
          </w:tcPr>
          <w:p>
            <w:pPr>
              <w:spacing w:after="0"/>
              <w:rPr>
                <w:sz w:val="20"/>
                <w:szCs w:val="20"/>
                <w:color w:val="auto"/>
              </w:rPr>
            </w:pPr>
            <w:r>
              <w:rPr>
                <w:rFonts w:ascii="Arial" w:cs="Arial" w:eastAsia="Arial" w:hAnsi="Arial"/>
                <w:sz w:val="18"/>
                <w:szCs w:val="18"/>
                <w:color w:val="auto"/>
              </w:rPr>
              <w:t>Trustee</w:t>
            </w:r>
          </w:p>
        </w:tc>
      </w:tr>
      <w:tr>
        <w:trPr>
          <w:trHeight w:val="432"/>
        </w:trPr>
        <w:tc>
          <w:tcPr>
            <w:tcW w:w="3960" w:type="dxa"/>
            <w:vAlign w:val="bottom"/>
          </w:tcPr>
          <w:p>
            <w:pPr>
              <w:ind w:left="720"/>
              <w:spacing w:after="0"/>
              <w:rPr>
                <w:sz w:val="20"/>
                <w:szCs w:val="20"/>
                <w:color w:val="auto"/>
              </w:rPr>
            </w:pPr>
            <w:r>
              <w:rPr>
                <w:rFonts w:ascii="Arial" w:cs="Arial" w:eastAsia="Arial" w:hAnsi="Arial"/>
                <w:sz w:val="18"/>
                <w:szCs w:val="18"/>
                <w:color w:val="auto"/>
              </w:rPr>
              <w:t>Matthew R. Gabelli</w:t>
            </w:r>
          </w:p>
        </w:tc>
        <w:tc>
          <w:tcPr>
            <w:tcW w:w="4740" w:type="dxa"/>
            <w:vAlign w:val="bottom"/>
            <w:gridSpan w:val="2"/>
          </w:tcPr>
          <w:p>
            <w:pPr>
              <w:spacing w:after="0"/>
              <w:rPr>
                <w:sz w:val="20"/>
                <w:szCs w:val="20"/>
                <w:color w:val="auto"/>
              </w:rPr>
            </w:pPr>
            <w:r>
              <w:rPr>
                <w:rFonts w:ascii="Arial" w:cs="Arial" w:eastAsia="Arial" w:hAnsi="Arial"/>
                <w:sz w:val="18"/>
                <w:szCs w:val="18"/>
                <w:color w:val="auto"/>
              </w:rPr>
              <w:t>Trustee</w:t>
            </w:r>
          </w:p>
        </w:tc>
      </w:tr>
      <w:tr>
        <w:trPr>
          <w:trHeight w:val="432"/>
        </w:trPr>
        <w:tc>
          <w:tcPr>
            <w:tcW w:w="3960" w:type="dxa"/>
            <w:vAlign w:val="bottom"/>
          </w:tcPr>
          <w:p>
            <w:pPr>
              <w:ind w:left="720"/>
              <w:spacing w:after="0"/>
              <w:rPr>
                <w:sz w:val="20"/>
                <w:szCs w:val="20"/>
                <w:color w:val="auto"/>
              </w:rPr>
            </w:pPr>
            <w:r>
              <w:rPr>
                <w:rFonts w:ascii="Arial" w:cs="Arial" w:eastAsia="Arial" w:hAnsi="Arial"/>
                <w:sz w:val="18"/>
                <w:szCs w:val="18"/>
                <w:color w:val="auto"/>
              </w:rPr>
              <w:t>Michael Gabelli</w:t>
            </w:r>
          </w:p>
        </w:tc>
        <w:tc>
          <w:tcPr>
            <w:tcW w:w="4740" w:type="dxa"/>
            <w:vAlign w:val="bottom"/>
            <w:gridSpan w:val="2"/>
          </w:tcPr>
          <w:p>
            <w:pPr>
              <w:spacing w:after="0"/>
              <w:rPr>
                <w:sz w:val="20"/>
                <w:szCs w:val="20"/>
                <w:color w:val="auto"/>
              </w:rPr>
            </w:pPr>
            <w:r>
              <w:rPr>
                <w:rFonts w:ascii="Arial" w:cs="Arial" w:eastAsia="Arial" w:hAnsi="Arial"/>
                <w:sz w:val="18"/>
                <w:szCs w:val="18"/>
                <w:color w:val="auto"/>
              </w:rPr>
              <w:t>Trustee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341" w:right="1440" w:bottom="1440" w:gutter="0" w:footer="0" w:header="0"/>
        </w:sectPr>
      </w:pPr>
    </w:p>
    <w:bookmarkStart w:id="15" w:name="page16"/>
    <w:bookmarkEnd w:id="15"/>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GGCP,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4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r>
      <w:tr>
        <w:trPr>
          <w:trHeight w:val="189"/>
        </w:trPr>
        <w:tc>
          <w:tcPr>
            <w:tcW w:w="4120" w:type="dxa"/>
            <w:vAlign w:val="bottom"/>
          </w:tcPr>
          <w:p>
            <w:pPr>
              <w:ind w:left="460"/>
              <w:spacing w:after="0" w:line="189" w:lineRule="exact"/>
              <w:rPr>
                <w:sz w:val="20"/>
                <w:szCs w:val="20"/>
                <w:color w:val="auto"/>
              </w:rPr>
            </w:pPr>
            <w:r>
              <w:rPr>
                <w:rFonts w:ascii="Arial" w:cs="Arial" w:eastAsia="Arial" w:hAnsi="Arial"/>
                <w:sz w:val="18"/>
                <w:szCs w:val="18"/>
                <w:color w:val="auto"/>
              </w:rPr>
              <w:t>Mario J. Gabelli</w:t>
            </w:r>
          </w:p>
        </w:tc>
        <w:tc>
          <w:tcPr>
            <w:tcW w:w="6900" w:type="dxa"/>
            <w:vAlign w:val="bottom"/>
            <w:gridSpan w:val="2"/>
          </w:tcPr>
          <w:p>
            <w:pPr>
              <w:spacing w:after="0" w:line="189" w:lineRule="exact"/>
              <w:rPr>
                <w:sz w:val="20"/>
                <w:szCs w:val="20"/>
                <w:color w:val="auto"/>
              </w:rPr>
            </w:pPr>
            <w:r>
              <w:rPr>
                <w:rFonts w:ascii="Arial" w:cs="Arial" w:eastAsia="Arial" w:hAnsi="Arial"/>
                <w:sz w:val="18"/>
                <w:szCs w:val="18"/>
                <w:color w:val="auto"/>
              </w:rPr>
              <w:t>Chief Executive Officer and Chief Investment Officer of GGCP, Inc.</w:t>
            </w:r>
          </w:p>
        </w:tc>
      </w:tr>
      <w:tr>
        <w:trPr>
          <w:trHeight w:val="216"/>
        </w:trPr>
        <w:tc>
          <w:tcPr>
            <w:tcW w:w="4120" w:type="dxa"/>
            <w:vAlign w:val="bottom"/>
          </w:tcPr>
          <w:p>
            <w:pPr>
              <w:spacing w:after="0"/>
              <w:rPr>
                <w:sz w:val="18"/>
                <w:szCs w:val="18"/>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Chairman &amp; Chief Executive Officer of GAMCO Investors, Inc.</w:t>
            </w:r>
          </w:p>
        </w:tc>
      </w:tr>
      <w:tr>
        <w:trPr>
          <w:trHeight w:val="216"/>
        </w:trPr>
        <w:tc>
          <w:tcPr>
            <w:tcW w:w="4120" w:type="dxa"/>
            <w:vAlign w:val="bottom"/>
          </w:tcPr>
          <w:p>
            <w:pPr>
              <w:spacing w:after="0"/>
              <w:rPr>
                <w:sz w:val="18"/>
                <w:szCs w:val="18"/>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Executive Chairman of Associated Capital Group, Inc.</w:t>
            </w:r>
          </w:p>
        </w:tc>
      </w:tr>
      <w:tr>
        <w:trPr>
          <w:trHeight w:val="230"/>
        </w:trPr>
        <w:tc>
          <w:tcPr>
            <w:tcW w:w="4120" w:type="dxa"/>
            <w:vAlign w:val="bottom"/>
          </w:tcPr>
          <w:p>
            <w:pPr>
              <w:spacing w:after="0"/>
              <w:rPr>
                <w:sz w:val="20"/>
                <w:szCs w:val="20"/>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w w:val="98"/>
              </w:rPr>
              <w:t>Director/Trustee of all registered investment companies advised by Gabelli Funds, LLC.</w:t>
            </w:r>
          </w:p>
        </w:tc>
      </w:tr>
      <w:tr>
        <w:trPr>
          <w:trHeight w:val="432"/>
        </w:trPr>
        <w:tc>
          <w:tcPr>
            <w:tcW w:w="4120" w:type="dxa"/>
            <w:vAlign w:val="bottom"/>
          </w:tcPr>
          <w:p>
            <w:pPr>
              <w:ind w:left="460"/>
              <w:spacing w:after="0"/>
              <w:rPr>
                <w:sz w:val="20"/>
                <w:szCs w:val="20"/>
                <w:color w:val="auto"/>
              </w:rPr>
            </w:pPr>
            <w:r>
              <w:rPr>
                <w:rFonts w:ascii="Arial" w:cs="Arial" w:eastAsia="Arial" w:hAnsi="Arial"/>
                <w:sz w:val="18"/>
                <w:szCs w:val="18"/>
                <w:color w:val="auto"/>
              </w:rPr>
              <w:t>Marc Gabelli</w:t>
            </w:r>
          </w:p>
        </w:tc>
        <w:tc>
          <w:tcPr>
            <w:tcW w:w="6900" w:type="dxa"/>
            <w:vAlign w:val="bottom"/>
            <w:gridSpan w:val="2"/>
          </w:tcPr>
          <w:p>
            <w:pPr>
              <w:spacing w:after="0"/>
              <w:rPr>
                <w:sz w:val="20"/>
                <w:szCs w:val="20"/>
                <w:color w:val="auto"/>
              </w:rPr>
            </w:pPr>
            <w:r>
              <w:rPr>
                <w:rFonts w:ascii="Arial" w:cs="Arial" w:eastAsia="Arial" w:hAnsi="Arial"/>
                <w:sz w:val="18"/>
                <w:szCs w:val="18"/>
                <w:color w:val="auto"/>
              </w:rPr>
              <w:t>President – GGCP, Inc.</w:t>
            </w:r>
          </w:p>
        </w:tc>
      </w:tr>
      <w:tr>
        <w:trPr>
          <w:trHeight w:val="418"/>
        </w:trPr>
        <w:tc>
          <w:tcPr>
            <w:tcW w:w="4120" w:type="dxa"/>
            <w:vAlign w:val="bottom"/>
          </w:tcPr>
          <w:p>
            <w:pPr>
              <w:ind w:left="460"/>
              <w:spacing w:after="0"/>
              <w:rPr>
                <w:sz w:val="20"/>
                <w:szCs w:val="20"/>
                <w:color w:val="auto"/>
              </w:rPr>
            </w:pPr>
            <w:r>
              <w:rPr>
                <w:rFonts w:ascii="Arial" w:cs="Arial" w:eastAsia="Arial" w:hAnsi="Arial"/>
                <w:sz w:val="18"/>
                <w:szCs w:val="18"/>
                <w:color w:val="auto"/>
              </w:rPr>
              <w:t>Matthew R. Gabelli</w:t>
            </w:r>
          </w:p>
        </w:tc>
        <w:tc>
          <w:tcPr>
            <w:tcW w:w="6900" w:type="dxa"/>
            <w:vAlign w:val="bottom"/>
            <w:gridSpan w:val="2"/>
          </w:tcPr>
          <w:p>
            <w:pPr>
              <w:spacing w:after="0"/>
              <w:rPr>
                <w:sz w:val="20"/>
                <w:szCs w:val="20"/>
                <w:color w:val="auto"/>
              </w:rPr>
            </w:pPr>
            <w:r>
              <w:rPr>
                <w:rFonts w:ascii="Arial" w:cs="Arial" w:eastAsia="Arial" w:hAnsi="Arial"/>
                <w:sz w:val="18"/>
                <w:szCs w:val="18"/>
                <w:color w:val="auto"/>
              </w:rPr>
              <w:t>Vice President – Trading</w:t>
            </w:r>
          </w:p>
        </w:tc>
      </w:tr>
      <w:tr>
        <w:trPr>
          <w:trHeight w:val="216"/>
        </w:trPr>
        <w:tc>
          <w:tcPr>
            <w:tcW w:w="4120" w:type="dxa"/>
            <w:vAlign w:val="bottom"/>
          </w:tcPr>
          <w:p>
            <w:pPr>
              <w:spacing w:after="0"/>
              <w:rPr>
                <w:sz w:val="18"/>
                <w:szCs w:val="18"/>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G.research, LLC</w:t>
            </w:r>
          </w:p>
        </w:tc>
      </w:tr>
      <w:tr>
        <w:trPr>
          <w:trHeight w:val="216"/>
        </w:trPr>
        <w:tc>
          <w:tcPr>
            <w:tcW w:w="4120" w:type="dxa"/>
            <w:vAlign w:val="bottom"/>
          </w:tcPr>
          <w:p>
            <w:pPr>
              <w:spacing w:after="0"/>
              <w:rPr>
                <w:sz w:val="18"/>
                <w:szCs w:val="18"/>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One Corporate Center</w:t>
            </w:r>
          </w:p>
        </w:tc>
      </w:tr>
      <w:tr>
        <w:trPr>
          <w:trHeight w:val="230"/>
        </w:trPr>
        <w:tc>
          <w:tcPr>
            <w:tcW w:w="4120" w:type="dxa"/>
            <w:vAlign w:val="bottom"/>
          </w:tcPr>
          <w:p>
            <w:pPr>
              <w:spacing w:after="0"/>
              <w:rPr>
                <w:sz w:val="20"/>
                <w:szCs w:val="20"/>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Rye, NY 10580</w:t>
            </w:r>
          </w:p>
        </w:tc>
      </w:tr>
      <w:tr>
        <w:trPr>
          <w:trHeight w:val="418"/>
        </w:trPr>
        <w:tc>
          <w:tcPr>
            <w:tcW w:w="4120" w:type="dxa"/>
            <w:vAlign w:val="bottom"/>
          </w:tcPr>
          <w:p>
            <w:pPr>
              <w:ind w:left="460"/>
              <w:spacing w:after="0"/>
              <w:rPr>
                <w:sz w:val="20"/>
                <w:szCs w:val="20"/>
                <w:color w:val="auto"/>
              </w:rPr>
            </w:pPr>
            <w:r>
              <w:rPr>
                <w:rFonts w:ascii="Arial" w:cs="Arial" w:eastAsia="Arial" w:hAnsi="Arial"/>
                <w:sz w:val="18"/>
                <w:szCs w:val="18"/>
                <w:color w:val="auto"/>
              </w:rPr>
              <w:t>Michael Gabelli</w:t>
            </w:r>
          </w:p>
        </w:tc>
        <w:tc>
          <w:tcPr>
            <w:tcW w:w="6900" w:type="dxa"/>
            <w:vAlign w:val="bottom"/>
            <w:gridSpan w:val="2"/>
          </w:tcPr>
          <w:p>
            <w:pPr>
              <w:spacing w:after="0"/>
              <w:rPr>
                <w:sz w:val="20"/>
                <w:szCs w:val="20"/>
                <w:color w:val="auto"/>
              </w:rPr>
            </w:pPr>
            <w:r>
              <w:rPr>
                <w:rFonts w:ascii="Arial" w:cs="Arial" w:eastAsia="Arial" w:hAnsi="Arial"/>
                <w:sz w:val="18"/>
                <w:szCs w:val="18"/>
                <w:color w:val="auto"/>
              </w:rPr>
              <w:t>President &amp; COO</w:t>
            </w:r>
          </w:p>
        </w:tc>
      </w:tr>
      <w:tr>
        <w:trPr>
          <w:trHeight w:val="216"/>
        </w:trPr>
        <w:tc>
          <w:tcPr>
            <w:tcW w:w="4120" w:type="dxa"/>
            <w:vAlign w:val="bottom"/>
          </w:tcPr>
          <w:p>
            <w:pPr>
              <w:spacing w:after="0"/>
              <w:rPr>
                <w:sz w:val="18"/>
                <w:szCs w:val="18"/>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Gabelli &amp; Partners, LLC</w:t>
            </w:r>
          </w:p>
        </w:tc>
      </w:tr>
      <w:tr>
        <w:trPr>
          <w:trHeight w:val="216"/>
        </w:trPr>
        <w:tc>
          <w:tcPr>
            <w:tcW w:w="4120" w:type="dxa"/>
            <w:vAlign w:val="bottom"/>
          </w:tcPr>
          <w:p>
            <w:pPr>
              <w:spacing w:after="0"/>
              <w:rPr>
                <w:sz w:val="18"/>
                <w:szCs w:val="18"/>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One Corporate Center</w:t>
            </w:r>
          </w:p>
        </w:tc>
      </w:tr>
      <w:tr>
        <w:trPr>
          <w:trHeight w:val="230"/>
        </w:trPr>
        <w:tc>
          <w:tcPr>
            <w:tcW w:w="4120" w:type="dxa"/>
            <w:vAlign w:val="bottom"/>
          </w:tcPr>
          <w:p>
            <w:pPr>
              <w:spacing w:after="0"/>
              <w:rPr>
                <w:sz w:val="20"/>
                <w:szCs w:val="20"/>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Rye, NY 10580</w:t>
            </w:r>
          </w:p>
        </w:tc>
      </w:tr>
      <w:tr>
        <w:trPr>
          <w:trHeight w:val="634"/>
        </w:trPr>
        <w:tc>
          <w:tcPr>
            <w:tcW w:w="4120" w:type="dxa"/>
            <w:vAlign w:val="bottom"/>
          </w:tcPr>
          <w:p>
            <w:pPr>
              <w:ind w:left="460"/>
              <w:spacing w:after="0"/>
              <w:rPr>
                <w:sz w:val="20"/>
                <w:szCs w:val="20"/>
                <w:color w:val="auto"/>
              </w:rPr>
            </w:pPr>
            <w:r>
              <w:rPr>
                <w:rFonts w:ascii="Arial" w:cs="Arial" w:eastAsia="Arial" w:hAnsi="Arial"/>
                <w:sz w:val="18"/>
                <w:szCs w:val="18"/>
                <w:color w:val="auto"/>
              </w:rPr>
              <w:t>Frederic V. Salerno</w:t>
            </w:r>
          </w:p>
        </w:tc>
        <w:tc>
          <w:tcPr>
            <w:tcW w:w="6900" w:type="dxa"/>
            <w:vAlign w:val="bottom"/>
            <w:gridSpan w:val="2"/>
          </w:tcPr>
          <w:p>
            <w:pPr>
              <w:spacing w:after="0"/>
              <w:rPr>
                <w:sz w:val="20"/>
                <w:szCs w:val="20"/>
                <w:color w:val="auto"/>
              </w:rPr>
            </w:pPr>
            <w:r>
              <w:rPr>
                <w:rFonts w:ascii="Arial" w:cs="Arial" w:eastAsia="Arial" w:hAnsi="Arial"/>
                <w:sz w:val="18"/>
                <w:szCs w:val="18"/>
                <w:color w:val="auto"/>
              </w:rPr>
              <w:t>Chairman</w:t>
            </w:r>
          </w:p>
        </w:tc>
      </w:tr>
      <w:tr>
        <w:trPr>
          <w:trHeight w:val="216"/>
        </w:trPr>
        <w:tc>
          <w:tcPr>
            <w:tcW w:w="4120" w:type="dxa"/>
            <w:vAlign w:val="bottom"/>
          </w:tcPr>
          <w:p>
            <w:pPr>
              <w:spacing w:after="0"/>
              <w:rPr>
                <w:sz w:val="18"/>
                <w:szCs w:val="18"/>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Former Vice Chairman and Chief Financial Officer</w:t>
            </w:r>
          </w:p>
        </w:tc>
      </w:tr>
      <w:tr>
        <w:trPr>
          <w:trHeight w:val="230"/>
        </w:trPr>
        <w:tc>
          <w:tcPr>
            <w:tcW w:w="4120" w:type="dxa"/>
            <w:vAlign w:val="bottom"/>
          </w:tcPr>
          <w:p>
            <w:pPr>
              <w:spacing w:after="0"/>
              <w:rPr>
                <w:sz w:val="20"/>
                <w:szCs w:val="20"/>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Verizon Communications</w:t>
            </w:r>
          </w:p>
        </w:tc>
      </w:tr>
      <w:tr>
        <w:trPr>
          <w:trHeight w:val="648"/>
        </w:trPr>
        <w:tc>
          <w:tcPr>
            <w:tcW w:w="4120" w:type="dxa"/>
            <w:vAlign w:val="bottom"/>
          </w:tcPr>
          <w:p>
            <w:pPr>
              <w:ind w:left="500"/>
              <w:spacing w:after="0"/>
              <w:rPr>
                <w:sz w:val="20"/>
                <w:szCs w:val="20"/>
                <w:color w:val="auto"/>
              </w:rPr>
            </w:pPr>
            <w:r>
              <w:rPr>
                <w:rFonts w:ascii="Arial" w:cs="Arial" w:eastAsia="Arial" w:hAnsi="Arial"/>
                <w:sz w:val="18"/>
                <w:szCs w:val="18"/>
                <w:color w:val="auto"/>
              </w:rPr>
              <w:t>Vincent S. Tese</w:t>
            </w:r>
          </w:p>
        </w:tc>
        <w:tc>
          <w:tcPr>
            <w:tcW w:w="6900" w:type="dxa"/>
            <w:vAlign w:val="bottom"/>
            <w:gridSpan w:val="2"/>
          </w:tcPr>
          <w:p>
            <w:pPr>
              <w:spacing w:after="0"/>
              <w:rPr>
                <w:sz w:val="20"/>
                <w:szCs w:val="20"/>
                <w:color w:val="auto"/>
              </w:rPr>
            </w:pPr>
            <w:r>
              <w:rPr>
                <w:rFonts w:ascii="Arial" w:cs="Arial" w:eastAsia="Arial" w:hAnsi="Arial"/>
                <w:sz w:val="18"/>
                <w:szCs w:val="18"/>
                <w:color w:val="auto"/>
              </w:rPr>
              <w:t>Executive Chairman – FCB Financial Corp</w:t>
            </w:r>
          </w:p>
        </w:tc>
      </w:tr>
      <w:tr>
        <w:trPr>
          <w:trHeight w:val="432"/>
        </w:trPr>
        <w:tc>
          <w:tcPr>
            <w:tcW w:w="4120" w:type="dxa"/>
            <w:vAlign w:val="bottom"/>
          </w:tcPr>
          <w:p>
            <w:pPr>
              <w:ind w:left="500"/>
              <w:spacing w:after="0"/>
              <w:rPr>
                <w:sz w:val="20"/>
                <w:szCs w:val="20"/>
                <w:color w:val="auto"/>
              </w:rPr>
            </w:pPr>
            <w:r>
              <w:rPr>
                <w:rFonts w:ascii="Arial" w:cs="Arial" w:eastAsia="Arial" w:hAnsi="Arial"/>
                <w:sz w:val="18"/>
                <w:szCs w:val="18"/>
                <w:color w:val="auto"/>
              </w:rPr>
              <w:t>Elisa M. Wilson</w:t>
            </w:r>
          </w:p>
        </w:tc>
        <w:tc>
          <w:tcPr>
            <w:tcW w:w="690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418"/>
        </w:trPr>
        <w:tc>
          <w:tcPr>
            <w:tcW w:w="4120" w:type="dxa"/>
            <w:vAlign w:val="bottom"/>
          </w:tcPr>
          <w:p>
            <w:pPr>
              <w:spacing w:after="0"/>
              <w:rPr>
                <w:sz w:val="20"/>
                <w:szCs w:val="20"/>
                <w:color w:val="auto"/>
              </w:rPr>
            </w:pPr>
            <w:r>
              <w:rPr>
                <w:rFonts w:ascii="Arial" w:cs="Arial" w:eastAsia="Arial" w:hAnsi="Arial"/>
                <w:sz w:val="18"/>
                <w:szCs w:val="18"/>
                <w:color w:val="auto"/>
              </w:rPr>
              <w:t>Officers:</w:t>
            </w:r>
          </w:p>
        </w:tc>
        <w:tc>
          <w:tcPr>
            <w:tcW w:w="960" w:type="dxa"/>
            <w:vAlign w:val="bottom"/>
          </w:tcPr>
          <w:p>
            <w:pPr>
              <w:spacing w:after="0"/>
              <w:rPr>
                <w:sz w:val="24"/>
                <w:szCs w:val="24"/>
                <w:color w:val="auto"/>
              </w:rPr>
            </w:pPr>
          </w:p>
        </w:tc>
        <w:tc>
          <w:tcPr>
            <w:tcW w:w="5940" w:type="dxa"/>
            <w:vAlign w:val="bottom"/>
          </w:tcPr>
          <w:p>
            <w:pPr>
              <w:spacing w:after="0"/>
              <w:rPr>
                <w:sz w:val="24"/>
                <w:szCs w:val="24"/>
                <w:color w:val="auto"/>
              </w:rPr>
            </w:pPr>
          </w:p>
        </w:tc>
      </w:tr>
      <w:tr>
        <w:trPr>
          <w:trHeight w:val="216"/>
        </w:trPr>
        <w:tc>
          <w:tcPr>
            <w:tcW w:w="4120" w:type="dxa"/>
            <w:vAlign w:val="bottom"/>
          </w:tcPr>
          <w:p>
            <w:pPr>
              <w:ind w:left="660"/>
              <w:spacing w:after="0"/>
              <w:rPr>
                <w:sz w:val="20"/>
                <w:szCs w:val="20"/>
                <w:color w:val="auto"/>
              </w:rPr>
            </w:pPr>
            <w:r>
              <w:rPr>
                <w:rFonts w:ascii="Arial" w:cs="Arial" w:eastAsia="Arial" w:hAnsi="Arial"/>
                <w:sz w:val="18"/>
                <w:szCs w:val="18"/>
                <w:color w:val="auto"/>
              </w:rPr>
              <w:t>Mario J. Gabelli</w:t>
            </w:r>
          </w:p>
        </w:tc>
        <w:tc>
          <w:tcPr>
            <w:tcW w:w="6900" w:type="dxa"/>
            <w:vAlign w:val="bottom"/>
            <w:gridSpan w:val="2"/>
          </w:tcPr>
          <w:p>
            <w:pPr>
              <w:spacing w:after="0"/>
              <w:rPr>
                <w:sz w:val="20"/>
                <w:szCs w:val="20"/>
                <w:color w:val="auto"/>
              </w:rPr>
            </w:pPr>
            <w:r>
              <w:rPr>
                <w:rFonts w:ascii="Arial" w:cs="Arial" w:eastAsia="Arial" w:hAnsi="Arial"/>
                <w:sz w:val="18"/>
                <w:szCs w:val="18"/>
                <w:color w:val="auto"/>
              </w:rPr>
              <w:t>Chief Executive Officer and Chief Investment Officer</w:t>
            </w:r>
          </w:p>
        </w:tc>
      </w:tr>
      <w:tr>
        <w:trPr>
          <w:trHeight w:val="216"/>
        </w:trPr>
        <w:tc>
          <w:tcPr>
            <w:tcW w:w="4120" w:type="dxa"/>
            <w:vAlign w:val="bottom"/>
          </w:tcPr>
          <w:p>
            <w:pPr>
              <w:ind w:left="640"/>
              <w:spacing w:after="0"/>
              <w:rPr>
                <w:sz w:val="20"/>
                <w:szCs w:val="20"/>
                <w:color w:val="auto"/>
              </w:rPr>
            </w:pPr>
            <w:r>
              <w:rPr>
                <w:rFonts w:ascii="Arial" w:cs="Arial" w:eastAsia="Arial" w:hAnsi="Arial"/>
                <w:sz w:val="18"/>
                <w:szCs w:val="18"/>
                <w:color w:val="auto"/>
              </w:rPr>
              <w:t>Marc Gabelli</w:t>
            </w:r>
          </w:p>
        </w:tc>
        <w:tc>
          <w:tcPr>
            <w:tcW w:w="6900" w:type="dxa"/>
            <w:vAlign w:val="bottom"/>
            <w:gridSpan w:val="2"/>
          </w:tcPr>
          <w:p>
            <w:pPr>
              <w:spacing w:after="0"/>
              <w:rPr>
                <w:sz w:val="20"/>
                <w:szCs w:val="20"/>
                <w:color w:val="auto"/>
              </w:rPr>
            </w:pPr>
            <w:r>
              <w:rPr>
                <w:rFonts w:ascii="Arial" w:cs="Arial" w:eastAsia="Arial" w:hAnsi="Arial"/>
                <w:sz w:val="18"/>
                <w:szCs w:val="18"/>
                <w:color w:val="auto"/>
              </w:rPr>
              <w:t>President</w:t>
            </w:r>
          </w:p>
        </w:tc>
      </w:tr>
      <w:tr>
        <w:trPr>
          <w:trHeight w:val="216"/>
        </w:trPr>
        <w:tc>
          <w:tcPr>
            <w:tcW w:w="4120" w:type="dxa"/>
            <w:vAlign w:val="bottom"/>
          </w:tcPr>
          <w:p>
            <w:pPr>
              <w:ind w:left="640"/>
              <w:spacing w:after="0"/>
              <w:rPr>
                <w:sz w:val="20"/>
                <w:szCs w:val="20"/>
                <w:color w:val="auto"/>
              </w:rPr>
            </w:pPr>
            <w:r>
              <w:rPr>
                <w:rFonts w:ascii="Arial" w:cs="Arial" w:eastAsia="Arial" w:hAnsi="Arial"/>
                <w:sz w:val="18"/>
                <w:szCs w:val="18"/>
                <w:color w:val="auto"/>
              </w:rPr>
              <w:t>Francis J. Conroy</w:t>
            </w:r>
          </w:p>
        </w:tc>
        <w:tc>
          <w:tcPr>
            <w:tcW w:w="6900" w:type="dxa"/>
            <w:vAlign w:val="bottom"/>
            <w:gridSpan w:val="2"/>
          </w:tcPr>
          <w:p>
            <w:pPr>
              <w:spacing w:after="0"/>
              <w:rPr>
                <w:sz w:val="20"/>
                <w:szCs w:val="20"/>
                <w:color w:val="auto"/>
              </w:rPr>
            </w:pPr>
            <w:r>
              <w:rPr>
                <w:rFonts w:ascii="Arial" w:cs="Arial" w:eastAsia="Arial" w:hAnsi="Arial"/>
                <w:sz w:val="18"/>
                <w:szCs w:val="18"/>
                <w:color w:val="auto"/>
              </w:rPr>
              <w:t>Special Assistant to CEO, Secretary</w:t>
            </w:r>
          </w:p>
        </w:tc>
      </w:tr>
      <w:tr>
        <w:trPr>
          <w:trHeight w:val="216"/>
        </w:trPr>
        <w:tc>
          <w:tcPr>
            <w:tcW w:w="4120" w:type="dxa"/>
            <w:vAlign w:val="bottom"/>
          </w:tcPr>
          <w:p>
            <w:pPr>
              <w:ind w:left="640"/>
              <w:spacing w:after="0"/>
              <w:rPr>
                <w:sz w:val="20"/>
                <w:szCs w:val="20"/>
                <w:color w:val="auto"/>
              </w:rPr>
            </w:pPr>
            <w:r>
              <w:rPr>
                <w:rFonts w:ascii="Arial" w:cs="Arial" w:eastAsia="Arial" w:hAnsi="Arial"/>
                <w:sz w:val="18"/>
                <w:szCs w:val="18"/>
                <w:color w:val="auto"/>
              </w:rPr>
              <w:t>Silvio A. Berni</w:t>
            </w:r>
          </w:p>
        </w:tc>
        <w:tc>
          <w:tcPr>
            <w:tcW w:w="6900" w:type="dxa"/>
            <w:vAlign w:val="bottom"/>
            <w:gridSpan w:val="2"/>
          </w:tcPr>
          <w:p>
            <w:pPr>
              <w:spacing w:after="0"/>
              <w:rPr>
                <w:sz w:val="20"/>
                <w:szCs w:val="20"/>
                <w:color w:val="auto"/>
              </w:rPr>
            </w:pPr>
            <w:r>
              <w:rPr>
                <w:rFonts w:ascii="Arial" w:cs="Arial" w:eastAsia="Arial" w:hAnsi="Arial"/>
                <w:sz w:val="18"/>
                <w:szCs w:val="18"/>
                <w:color w:val="auto"/>
                <w:w w:val="91"/>
              </w:rPr>
              <w:t>Chief Financial and Accounting Officer, Vice President Corporate Development and Controller,</w:t>
            </w:r>
          </w:p>
        </w:tc>
      </w:tr>
      <w:tr>
        <w:trPr>
          <w:trHeight w:val="230"/>
        </w:trPr>
        <w:tc>
          <w:tcPr>
            <w:tcW w:w="4120" w:type="dxa"/>
            <w:vAlign w:val="bottom"/>
          </w:tcPr>
          <w:p>
            <w:pPr>
              <w:spacing w:after="0"/>
              <w:rPr>
                <w:sz w:val="20"/>
                <w:szCs w:val="20"/>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Assistant Secretary</w:t>
            </w:r>
          </w:p>
        </w:tc>
      </w:tr>
      <w:tr>
        <w:trPr>
          <w:trHeight w:val="418"/>
        </w:trPr>
        <w:tc>
          <w:tcPr>
            <w:tcW w:w="4120" w:type="dxa"/>
            <w:vAlign w:val="bottom"/>
          </w:tcPr>
          <w:p>
            <w:pPr>
              <w:spacing w:after="0"/>
              <w:rPr>
                <w:sz w:val="20"/>
                <w:szCs w:val="20"/>
                <w:color w:val="auto"/>
              </w:rPr>
            </w:pPr>
            <w:r>
              <w:rPr>
                <w:rFonts w:ascii="Arial" w:cs="Arial" w:eastAsia="Arial" w:hAnsi="Arial"/>
                <w:sz w:val="18"/>
                <w:szCs w:val="18"/>
                <w:color w:val="auto"/>
              </w:rPr>
              <w:t>GGCP Holdings LLC</w:t>
            </w:r>
          </w:p>
        </w:tc>
        <w:tc>
          <w:tcPr>
            <w:tcW w:w="960" w:type="dxa"/>
            <w:vAlign w:val="bottom"/>
          </w:tcPr>
          <w:p>
            <w:pPr>
              <w:spacing w:after="0"/>
              <w:rPr>
                <w:sz w:val="24"/>
                <w:szCs w:val="24"/>
                <w:color w:val="auto"/>
              </w:rPr>
            </w:pPr>
          </w:p>
        </w:tc>
        <w:tc>
          <w:tcPr>
            <w:tcW w:w="5940" w:type="dxa"/>
            <w:vAlign w:val="bottom"/>
          </w:tcPr>
          <w:p>
            <w:pPr>
              <w:spacing w:after="0"/>
              <w:rPr>
                <w:sz w:val="24"/>
                <w:szCs w:val="24"/>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Members:</w:t>
            </w:r>
          </w:p>
        </w:tc>
        <w:tc>
          <w:tcPr>
            <w:tcW w:w="960" w:type="dxa"/>
            <w:vAlign w:val="bottom"/>
          </w:tcPr>
          <w:p>
            <w:pPr>
              <w:spacing w:after="0"/>
              <w:rPr>
                <w:sz w:val="20"/>
                <w:szCs w:val="20"/>
                <w:color w:val="auto"/>
              </w:rPr>
            </w:pPr>
          </w:p>
        </w:tc>
        <w:tc>
          <w:tcPr>
            <w:tcW w:w="5940" w:type="dxa"/>
            <w:vAlign w:val="bottom"/>
          </w:tcPr>
          <w:p>
            <w:pPr>
              <w:spacing w:after="0"/>
              <w:rPr>
                <w:sz w:val="20"/>
                <w:szCs w:val="20"/>
                <w:color w:val="auto"/>
              </w:rPr>
            </w:pPr>
          </w:p>
        </w:tc>
      </w:tr>
      <w:tr>
        <w:trPr>
          <w:trHeight w:val="432"/>
        </w:trPr>
        <w:tc>
          <w:tcPr>
            <w:tcW w:w="4120" w:type="dxa"/>
            <w:vAlign w:val="bottom"/>
          </w:tcPr>
          <w:p>
            <w:pPr>
              <w:ind w:left="640"/>
              <w:spacing w:after="0"/>
              <w:rPr>
                <w:sz w:val="20"/>
                <w:szCs w:val="20"/>
                <w:color w:val="auto"/>
              </w:rPr>
            </w:pPr>
            <w:r>
              <w:rPr>
                <w:rFonts w:ascii="Arial" w:cs="Arial" w:eastAsia="Arial" w:hAnsi="Arial"/>
                <w:sz w:val="18"/>
                <w:szCs w:val="18"/>
                <w:color w:val="auto"/>
              </w:rPr>
              <w:t>GGCP, Inc.</w:t>
            </w:r>
          </w:p>
        </w:tc>
        <w:tc>
          <w:tcPr>
            <w:tcW w:w="6900" w:type="dxa"/>
            <w:vAlign w:val="bottom"/>
            <w:gridSpan w:val="2"/>
          </w:tcPr>
          <w:p>
            <w:pPr>
              <w:spacing w:after="0"/>
              <w:rPr>
                <w:sz w:val="20"/>
                <w:szCs w:val="20"/>
                <w:color w:val="auto"/>
              </w:rPr>
            </w:pPr>
            <w:r>
              <w:rPr>
                <w:rFonts w:ascii="Arial" w:cs="Arial" w:eastAsia="Arial" w:hAnsi="Arial"/>
                <w:sz w:val="18"/>
                <w:szCs w:val="18"/>
                <w:color w:val="auto"/>
              </w:rPr>
              <w:t>Manager and Member</w:t>
            </w:r>
          </w:p>
        </w:tc>
      </w:tr>
      <w:tr>
        <w:trPr>
          <w:trHeight w:val="439"/>
        </w:trPr>
        <w:tc>
          <w:tcPr>
            <w:tcW w:w="412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Mario J. Gabelli</w:t>
            </w:r>
          </w:p>
        </w:tc>
        <w:tc>
          <w:tcPr>
            <w:tcW w:w="6900" w:type="dxa"/>
            <w:vAlign w:val="bottom"/>
            <w:gridSpan w:val="2"/>
          </w:tcPr>
          <w:p>
            <w:pPr>
              <w:spacing w:after="0"/>
              <w:rPr>
                <w:sz w:val="20"/>
                <w:szCs w:val="20"/>
                <w:color w:val="auto"/>
              </w:rPr>
            </w:pPr>
            <w:r>
              <w:rPr>
                <w:rFonts w:ascii="Arial" w:cs="Arial" w:eastAsia="Arial" w:hAnsi="Arial"/>
                <w:sz w:val="18"/>
                <w:szCs w:val="18"/>
                <w:color w:val="auto"/>
              </w:rPr>
              <w:t>Member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39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20"/>
          </w:cols>
          <w:pgMar w:left="240" w:top="1440" w:right="6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Teton Advisors,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120" w:type="dxa"/>
            <w:vAlign w:val="bottom"/>
            <w:tcBorders>
              <w:top w:val="single" w:sz="8" w:color="auto"/>
            </w:tcBorders>
          </w:tcPr>
          <w:p>
            <w:pPr>
              <w:ind w:left="680"/>
              <w:spacing w:after="0"/>
              <w:rPr>
                <w:sz w:val="20"/>
                <w:szCs w:val="20"/>
                <w:color w:val="auto"/>
              </w:rPr>
            </w:pPr>
            <w:r>
              <w:rPr>
                <w:rFonts w:ascii="Arial" w:cs="Arial" w:eastAsia="Arial" w:hAnsi="Arial"/>
                <w:sz w:val="18"/>
                <w:szCs w:val="18"/>
                <w:color w:val="auto"/>
              </w:rPr>
              <w:t>Marc Gabelli</w:t>
            </w:r>
          </w:p>
        </w:tc>
        <w:tc>
          <w:tcPr>
            <w:tcW w:w="4640" w:type="dxa"/>
            <w:vAlign w:val="bottom"/>
          </w:tcPr>
          <w:p>
            <w:pPr>
              <w:spacing w:after="0"/>
              <w:rPr>
                <w:sz w:val="20"/>
                <w:szCs w:val="20"/>
                <w:color w:val="auto"/>
              </w:rPr>
            </w:pPr>
            <w:r>
              <w:rPr>
                <w:rFonts w:ascii="Arial" w:cs="Arial" w:eastAsia="Arial" w:hAnsi="Arial"/>
                <w:sz w:val="18"/>
                <w:szCs w:val="18"/>
                <w:color w:val="auto"/>
              </w:rPr>
              <w:t>Executive Chairman</w:t>
            </w:r>
          </w:p>
        </w:tc>
      </w:tr>
      <w:tr>
        <w:trPr>
          <w:trHeight w:val="418"/>
        </w:trPr>
        <w:tc>
          <w:tcPr>
            <w:tcW w:w="4120" w:type="dxa"/>
            <w:vAlign w:val="bottom"/>
          </w:tcPr>
          <w:p>
            <w:pPr>
              <w:ind w:left="680"/>
              <w:spacing w:after="0"/>
              <w:rPr>
                <w:sz w:val="20"/>
                <w:szCs w:val="20"/>
                <w:color w:val="auto"/>
              </w:rPr>
            </w:pPr>
            <w:r>
              <w:rPr>
                <w:rFonts w:ascii="Arial" w:cs="Arial" w:eastAsia="Arial" w:hAnsi="Arial"/>
                <w:sz w:val="18"/>
                <w:szCs w:val="18"/>
                <w:color w:val="auto"/>
              </w:rPr>
              <w:t>Vincent J. Amabile</w:t>
            </w:r>
          </w:p>
        </w:tc>
        <w:tc>
          <w:tcPr>
            <w:tcW w:w="4640" w:type="dxa"/>
            <w:vAlign w:val="bottom"/>
          </w:tcPr>
          <w:p>
            <w:pPr>
              <w:spacing w:after="0"/>
              <w:rPr>
                <w:sz w:val="20"/>
                <w:szCs w:val="20"/>
                <w:color w:val="auto"/>
              </w:rPr>
            </w:pPr>
            <w:r>
              <w:rPr>
                <w:rFonts w:ascii="Arial" w:cs="Arial" w:eastAsia="Arial" w:hAnsi="Arial"/>
                <w:sz w:val="18"/>
                <w:szCs w:val="18"/>
                <w:color w:val="auto"/>
              </w:rPr>
              <w:t>Founder- Amabile Partners</w:t>
            </w:r>
          </w:p>
        </w:tc>
      </w:tr>
      <w:tr>
        <w:trPr>
          <w:trHeight w:val="432"/>
        </w:trPr>
        <w:tc>
          <w:tcPr>
            <w:tcW w:w="4120" w:type="dxa"/>
            <w:vAlign w:val="bottom"/>
          </w:tcPr>
          <w:p>
            <w:pPr>
              <w:ind w:left="680"/>
              <w:spacing w:after="0"/>
              <w:rPr>
                <w:sz w:val="20"/>
                <w:szCs w:val="20"/>
                <w:color w:val="auto"/>
              </w:rPr>
            </w:pPr>
            <w:r>
              <w:rPr>
                <w:rFonts w:ascii="Arial" w:cs="Arial" w:eastAsia="Arial" w:hAnsi="Arial"/>
                <w:sz w:val="18"/>
                <w:szCs w:val="18"/>
                <w:color w:val="auto"/>
              </w:rPr>
              <w:t>Stephen G. Bondi, CPA</w:t>
            </w:r>
          </w:p>
        </w:tc>
        <w:tc>
          <w:tcPr>
            <w:tcW w:w="4640" w:type="dxa"/>
            <w:vAlign w:val="bottom"/>
          </w:tcPr>
          <w:p>
            <w:pPr>
              <w:spacing w:after="0"/>
              <w:rPr>
                <w:sz w:val="20"/>
                <w:szCs w:val="20"/>
                <w:color w:val="auto"/>
              </w:rPr>
            </w:pPr>
            <w:r>
              <w:rPr>
                <w:rFonts w:ascii="Arial" w:cs="Arial" w:eastAsia="Arial" w:hAnsi="Arial"/>
                <w:sz w:val="18"/>
                <w:szCs w:val="18"/>
                <w:color w:val="auto"/>
              </w:rPr>
              <w:t>Chief Financial Officer – Mittleman Brothers, LLC</w:t>
            </w:r>
          </w:p>
        </w:tc>
      </w:tr>
      <w:tr>
        <w:trPr>
          <w:trHeight w:val="432"/>
        </w:trPr>
        <w:tc>
          <w:tcPr>
            <w:tcW w:w="4120" w:type="dxa"/>
            <w:vAlign w:val="bottom"/>
          </w:tcPr>
          <w:p>
            <w:pPr>
              <w:ind w:left="680"/>
              <w:spacing w:after="0"/>
              <w:rPr>
                <w:sz w:val="20"/>
                <w:szCs w:val="20"/>
                <w:color w:val="auto"/>
              </w:rPr>
            </w:pPr>
            <w:r>
              <w:rPr>
                <w:rFonts w:ascii="Arial" w:cs="Arial" w:eastAsia="Arial" w:hAnsi="Arial"/>
                <w:sz w:val="18"/>
                <w:szCs w:val="18"/>
                <w:color w:val="auto"/>
              </w:rPr>
              <w:t>Aaron J. Feingold, M.D.</w:t>
            </w:r>
          </w:p>
        </w:tc>
        <w:tc>
          <w:tcPr>
            <w:tcW w:w="4640" w:type="dxa"/>
            <w:vAlign w:val="bottom"/>
          </w:tcPr>
          <w:p>
            <w:pPr>
              <w:spacing w:after="0"/>
              <w:rPr>
                <w:sz w:val="20"/>
                <w:szCs w:val="20"/>
                <w:color w:val="auto"/>
              </w:rPr>
            </w:pPr>
            <w:r>
              <w:rPr>
                <w:rFonts w:ascii="Arial" w:cs="Arial" w:eastAsia="Arial" w:hAnsi="Arial"/>
                <w:sz w:val="18"/>
                <w:szCs w:val="18"/>
                <w:color w:val="auto"/>
              </w:rPr>
              <w:t>President and Founder – Raritan Bay Cardiology Group</w:t>
            </w:r>
          </w:p>
        </w:tc>
      </w:tr>
      <w:tr>
        <w:trPr>
          <w:trHeight w:val="432"/>
        </w:trPr>
        <w:tc>
          <w:tcPr>
            <w:tcW w:w="4120" w:type="dxa"/>
            <w:vAlign w:val="bottom"/>
          </w:tcPr>
          <w:p>
            <w:pPr>
              <w:ind w:left="680"/>
              <w:spacing w:after="0"/>
              <w:rPr>
                <w:sz w:val="20"/>
                <w:szCs w:val="20"/>
                <w:color w:val="auto"/>
              </w:rPr>
            </w:pPr>
            <w:r>
              <w:rPr>
                <w:rFonts w:ascii="Arial" w:cs="Arial" w:eastAsia="Arial" w:hAnsi="Arial"/>
                <w:sz w:val="18"/>
                <w:szCs w:val="18"/>
                <w:color w:val="auto"/>
              </w:rPr>
              <w:t>Nicholas F. Galluccio</w:t>
            </w:r>
          </w:p>
        </w:tc>
        <w:tc>
          <w:tcPr>
            <w:tcW w:w="4640" w:type="dxa"/>
            <w:vAlign w:val="bottom"/>
          </w:tcPr>
          <w:p>
            <w:pPr>
              <w:spacing w:after="0"/>
              <w:rPr>
                <w:sz w:val="20"/>
                <w:szCs w:val="20"/>
                <w:color w:val="auto"/>
              </w:rPr>
            </w:pPr>
            <w:r>
              <w:rPr>
                <w:rFonts w:ascii="Arial" w:cs="Arial" w:eastAsia="Arial" w:hAnsi="Arial"/>
                <w:sz w:val="18"/>
                <w:szCs w:val="18"/>
                <w:color w:val="auto"/>
              </w:rPr>
              <w:t>Chief Executive Officer and President</w:t>
            </w:r>
          </w:p>
        </w:tc>
      </w:tr>
      <w:tr>
        <w:trPr>
          <w:trHeight w:val="432"/>
        </w:trPr>
        <w:tc>
          <w:tcPr>
            <w:tcW w:w="4120" w:type="dxa"/>
            <w:vAlign w:val="bottom"/>
          </w:tcPr>
          <w:p>
            <w:pPr>
              <w:ind w:left="680"/>
              <w:spacing w:after="0"/>
              <w:rPr>
                <w:sz w:val="20"/>
                <w:szCs w:val="20"/>
                <w:color w:val="auto"/>
              </w:rPr>
            </w:pPr>
            <w:r>
              <w:rPr>
                <w:rFonts w:ascii="Arial" w:cs="Arial" w:eastAsia="Arial" w:hAnsi="Arial"/>
                <w:sz w:val="18"/>
                <w:szCs w:val="18"/>
                <w:color w:val="auto"/>
              </w:rPr>
              <w:t>Kevin M. Keeley</w:t>
            </w:r>
          </w:p>
        </w:tc>
        <w:tc>
          <w:tcPr>
            <w:tcW w:w="4640" w:type="dxa"/>
            <w:vAlign w:val="bottom"/>
          </w:tcPr>
          <w:p>
            <w:pPr>
              <w:spacing w:after="0"/>
              <w:rPr>
                <w:sz w:val="20"/>
                <w:szCs w:val="20"/>
                <w:color w:val="auto"/>
              </w:rPr>
            </w:pPr>
            <w:r>
              <w:rPr>
                <w:rFonts w:ascii="Arial" w:cs="Arial" w:eastAsia="Arial" w:hAnsi="Arial"/>
                <w:sz w:val="18"/>
                <w:szCs w:val="18"/>
                <w:color w:val="auto"/>
                <w:w w:val="91"/>
              </w:rPr>
              <w:t>President &amp; Executive Chairman – Keeley Teton Advisors, LLC</w:t>
            </w:r>
          </w:p>
        </w:tc>
      </w:tr>
      <w:tr>
        <w:trPr>
          <w:trHeight w:val="432"/>
        </w:trPr>
        <w:tc>
          <w:tcPr>
            <w:tcW w:w="4120" w:type="dxa"/>
            <w:vAlign w:val="bottom"/>
          </w:tcPr>
          <w:p>
            <w:pPr>
              <w:ind w:left="680"/>
              <w:spacing w:after="0"/>
              <w:rPr>
                <w:sz w:val="20"/>
                <w:szCs w:val="20"/>
                <w:color w:val="auto"/>
              </w:rPr>
            </w:pPr>
            <w:r>
              <w:rPr>
                <w:rFonts w:ascii="Arial" w:cs="Arial" w:eastAsia="Arial" w:hAnsi="Arial"/>
                <w:sz w:val="18"/>
                <w:szCs w:val="18"/>
                <w:color w:val="auto"/>
              </w:rPr>
              <w:t>John M. Tesoro, CPA</w:t>
            </w:r>
          </w:p>
        </w:tc>
        <w:tc>
          <w:tcPr>
            <w:tcW w:w="4640" w:type="dxa"/>
            <w:vAlign w:val="bottom"/>
          </w:tcPr>
          <w:p>
            <w:pPr>
              <w:spacing w:after="0"/>
              <w:rPr>
                <w:sz w:val="20"/>
                <w:szCs w:val="20"/>
                <w:color w:val="auto"/>
              </w:rPr>
            </w:pPr>
            <w:r>
              <w:rPr>
                <w:rFonts w:ascii="Arial" w:cs="Arial" w:eastAsia="Arial" w:hAnsi="Arial"/>
                <w:sz w:val="18"/>
                <w:szCs w:val="18"/>
                <w:color w:val="auto"/>
              </w:rPr>
              <w:t>Retired Partner – KPMG LLP</w:t>
            </w:r>
          </w:p>
        </w:tc>
      </w:tr>
      <w:tr>
        <w:trPr>
          <w:trHeight w:val="648"/>
        </w:trPr>
        <w:tc>
          <w:tcPr>
            <w:tcW w:w="4120" w:type="dxa"/>
            <w:vAlign w:val="bottom"/>
          </w:tcPr>
          <w:p>
            <w:pPr>
              <w:spacing w:after="0"/>
              <w:rPr>
                <w:sz w:val="20"/>
                <w:szCs w:val="20"/>
                <w:color w:val="auto"/>
              </w:rPr>
            </w:pPr>
            <w:r>
              <w:rPr>
                <w:rFonts w:ascii="Arial" w:cs="Arial" w:eastAsia="Arial" w:hAnsi="Arial"/>
                <w:sz w:val="18"/>
                <w:szCs w:val="18"/>
                <w:color w:val="auto"/>
              </w:rPr>
              <w:t>Officers:</w:t>
            </w:r>
          </w:p>
        </w:tc>
        <w:tc>
          <w:tcPr>
            <w:tcW w:w="4640" w:type="dxa"/>
            <w:vAlign w:val="bottom"/>
          </w:tcPr>
          <w:p>
            <w:pPr>
              <w:spacing w:after="0"/>
              <w:rPr>
                <w:sz w:val="24"/>
                <w:szCs w:val="24"/>
                <w:color w:val="auto"/>
              </w:rPr>
            </w:pPr>
          </w:p>
        </w:tc>
      </w:tr>
      <w:tr>
        <w:trPr>
          <w:trHeight w:val="432"/>
        </w:trPr>
        <w:tc>
          <w:tcPr>
            <w:tcW w:w="4120" w:type="dxa"/>
            <w:vAlign w:val="bottom"/>
          </w:tcPr>
          <w:p>
            <w:pPr>
              <w:ind w:left="680"/>
              <w:spacing w:after="0"/>
              <w:rPr>
                <w:sz w:val="20"/>
                <w:szCs w:val="20"/>
                <w:color w:val="auto"/>
              </w:rPr>
            </w:pPr>
            <w:r>
              <w:rPr>
                <w:rFonts w:ascii="Arial" w:cs="Arial" w:eastAsia="Arial" w:hAnsi="Arial"/>
                <w:sz w:val="18"/>
                <w:szCs w:val="18"/>
                <w:color w:val="auto"/>
              </w:rPr>
              <w:t>Nicholas F. Galluccio</w:t>
            </w:r>
          </w:p>
        </w:tc>
        <w:tc>
          <w:tcPr>
            <w:tcW w:w="4640" w:type="dxa"/>
            <w:vAlign w:val="bottom"/>
          </w:tcPr>
          <w:p>
            <w:pPr>
              <w:spacing w:after="0"/>
              <w:rPr>
                <w:sz w:val="20"/>
                <w:szCs w:val="20"/>
                <w:color w:val="auto"/>
              </w:rPr>
            </w:pPr>
            <w:r>
              <w:rPr>
                <w:rFonts w:ascii="Arial" w:cs="Arial" w:eastAsia="Arial" w:hAnsi="Arial"/>
                <w:sz w:val="18"/>
                <w:szCs w:val="18"/>
                <w:color w:val="auto"/>
              </w:rPr>
              <w:t>See above</w:t>
            </w:r>
          </w:p>
        </w:tc>
      </w:tr>
      <w:tr>
        <w:trPr>
          <w:trHeight w:val="432"/>
        </w:trPr>
        <w:tc>
          <w:tcPr>
            <w:tcW w:w="4120" w:type="dxa"/>
            <w:vAlign w:val="bottom"/>
          </w:tcPr>
          <w:p>
            <w:pPr>
              <w:ind w:left="680"/>
              <w:spacing w:after="0"/>
              <w:rPr>
                <w:sz w:val="20"/>
                <w:szCs w:val="20"/>
                <w:color w:val="auto"/>
              </w:rPr>
            </w:pPr>
            <w:r>
              <w:rPr>
                <w:rFonts w:ascii="Arial" w:cs="Arial" w:eastAsia="Arial" w:hAnsi="Arial"/>
                <w:sz w:val="18"/>
                <w:szCs w:val="18"/>
                <w:color w:val="auto"/>
              </w:rPr>
              <w:t>Patrick B. Huvane, CPA, CFA</w:t>
            </w:r>
          </w:p>
        </w:tc>
        <w:tc>
          <w:tcPr>
            <w:tcW w:w="46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432"/>
        </w:trPr>
        <w:tc>
          <w:tcPr>
            <w:tcW w:w="4120" w:type="dxa"/>
            <w:vAlign w:val="bottom"/>
          </w:tcPr>
          <w:p>
            <w:pPr>
              <w:ind w:left="680"/>
              <w:spacing w:after="0"/>
              <w:rPr>
                <w:sz w:val="20"/>
                <w:szCs w:val="20"/>
                <w:color w:val="auto"/>
              </w:rPr>
            </w:pPr>
            <w:r>
              <w:rPr>
                <w:rFonts w:ascii="Arial" w:cs="Arial" w:eastAsia="Arial" w:hAnsi="Arial"/>
                <w:sz w:val="18"/>
                <w:szCs w:val="18"/>
                <w:color w:val="auto"/>
              </w:rPr>
              <w:t>Deanna B. Marotz</w:t>
            </w:r>
          </w:p>
        </w:tc>
        <w:tc>
          <w:tcPr>
            <w:tcW w:w="4640" w:type="dxa"/>
            <w:vAlign w:val="bottom"/>
          </w:tcPr>
          <w:p>
            <w:pPr>
              <w:spacing w:after="0"/>
              <w:rPr>
                <w:sz w:val="20"/>
                <w:szCs w:val="20"/>
                <w:color w:val="auto"/>
              </w:rPr>
            </w:pPr>
            <w:r>
              <w:rPr>
                <w:rFonts w:ascii="Arial" w:cs="Arial" w:eastAsia="Arial" w:hAnsi="Arial"/>
                <w:sz w:val="18"/>
                <w:szCs w:val="18"/>
                <w:color w:val="auto"/>
              </w:rPr>
              <w:t>Chief Compliance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827" w:right="1440"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Associated Capital Group,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960" w:type="dxa"/>
            <w:vAlign w:val="bottom"/>
            <w:tcBorders>
              <w:top w:val="single" w:sz="8" w:color="auto"/>
            </w:tcBorders>
          </w:tcPr>
          <w:p>
            <w:pPr>
              <w:ind w:left="660"/>
              <w:spacing w:after="0"/>
              <w:rPr>
                <w:sz w:val="20"/>
                <w:szCs w:val="20"/>
                <w:color w:val="auto"/>
              </w:rPr>
            </w:pPr>
            <w:r>
              <w:rPr>
                <w:rFonts w:ascii="Arial" w:cs="Arial" w:eastAsia="Arial" w:hAnsi="Arial"/>
                <w:sz w:val="18"/>
                <w:szCs w:val="18"/>
                <w:color w:val="auto"/>
              </w:rPr>
              <w:t>Mario J. Gabelli</w:t>
            </w:r>
          </w:p>
        </w:tc>
        <w:tc>
          <w:tcPr>
            <w:tcW w:w="160" w:type="dxa"/>
            <w:vAlign w:val="bottom"/>
            <w:tcBorders>
              <w:top w:val="single" w:sz="8" w:color="auto"/>
            </w:tcBorders>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Chief Executive Officer and Chief Investment Officer of GGCP, Inc.</w:t>
            </w:r>
          </w:p>
        </w:tc>
      </w:tr>
      <w:tr>
        <w:trPr>
          <w:trHeight w:val="216"/>
        </w:trPr>
        <w:tc>
          <w:tcPr>
            <w:tcW w:w="3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Chairman &amp; Chief Executive Officer of GAMCO Investors, Inc.</w:t>
            </w:r>
          </w:p>
        </w:tc>
      </w:tr>
      <w:tr>
        <w:trPr>
          <w:trHeight w:val="216"/>
        </w:trPr>
        <w:tc>
          <w:tcPr>
            <w:tcW w:w="3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Executive Chairman of Associated Capital Group, Inc.</w:t>
            </w:r>
          </w:p>
        </w:tc>
      </w:tr>
      <w:tr>
        <w:trPr>
          <w:trHeight w:val="230"/>
        </w:trPr>
        <w:tc>
          <w:tcPr>
            <w:tcW w:w="3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360" w:type="dxa"/>
            <w:vAlign w:val="bottom"/>
          </w:tcPr>
          <w:p>
            <w:pPr>
              <w:spacing w:after="0"/>
              <w:rPr>
                <w:sz w:val="20"/>
                <w:szCs w:val="20"/>
                <w:color w:val="auto"/>
              </w:rPr>
            </w:pPr>
            <w:r>
              <w:rPr>
                <w:rFonts w:ascii="Arial" w:cs="Arial" w:eastAsia="Arial" w:hAnsi="Arial"/>
                <w:sz w:val="18"/>
                <w:szCs w:val="18"/>
                <w:color w:val="auto"/>
                <w:w w:val="91"/>
              </w:rPr>
              <w:t>Director/Trustee of all registered investment companies advised by Gabelli Funds, LLC.</w:t>
            </w:r>
          </w:p>
        </w:tc>
      </w:tr>
      <w:tr>
        <w:trPr>
          <w:trHeight w:val="648"/>
        </w:trPr>
        <w:tc>
          <w:tcPr>
            <w:tcW w:w="3960" w:type="dxa"/>
            <w:vAlign w:val="bottom"/>
          </w:tcPr>
          <w:p>
            <w:pPr>
              <w:ind w:left="640"/>
              <w:spacing w:after="0"/>
              <w:rPr>
                <w:sz w:val="20"/>
                <w:szCs w:val="20"/>
                <w:color w:val="auto"/>
              </w:rPr>
            </w:pPr>
            <w:r>
              <w:rPr>
                <w:rFonts w:ascii="Arial" w:cs="Arial" w:eastAsia="Arial" w:hAnsi="Arial"/>
                <w:sz w:val="18"/>
                <w:szCs w:val="18"/>
                <w:color w:val="auto"/>
              </w:rPr>
              <w:t>Marc Gabelli</w:t>
            </w:r>
          </w:p>
        </w:tc>
        <w:tc>
          <w:tcPr>
            <w:tcW w:w="160" w:type="dxa"/>
            <w:vAlign w:val="bottom"/>
          </w:tcPr>
          <w:p>
            <w:pPr>
              <w:spacing w:after="0"/>
              <w:rPr>
                <w:sz w:val="24"/>
                <w:szCs w:val="24"/>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President – GGCP, Inc.</w:t>
            </w:r>
          </w:p>
        </w:tc>
      </w:tr>
      <w:tr>
        <w:trPr>
          <w:trHeight w:val="432"/>
        </w:trPr>
        <w:tc>
          <w:tcPr>
            <w:tcW w:w="3960" w:type="dxa"/>
            <w:vAlign w:val="bottom"/>
          </w:tcPr>
          <w:p>
            <w:pPr>
              <w:ind w:left="640"/>
              <w:spacing w:after="0"/>
              <w:rPr>
                <w:sz w:val="20"/>
                <w:szCs w:val="20"/>
                <w:color w:val="auto"/>
              </w:rPr>
            </w:pPr>
            <w:r>
              <w:rPr>
                <w:rFonts w:ascii="Arial" w:cs="Arial" w:eastAsia="Arial" w:hAnsi="Arial"/>
                <w:sz w:val="18"/>
                <w:szCs w:val="18"/>
                <w:color w:val="auto"/>
              </w:rPr>
              <w:t>Douglas R. Jamieson</w:t>
            </w:r>
          </w:p>
        </w:tc>
        <w:tc>
          <w:tcPr>
            <w:tcW w:w="160" w:type="dxa"/>
            <w:vAlign w:val="bottom"/>
          </w:tcPr>
          <w:p>
            <w:pPr>
              <w:spacing w:after="0"/>
              <w:rPr>
                <w:sz w:val="24"/>
                <w:szCs w:val="24"/>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432"/>
        </w:trPr>
        <w:tc>
          <w:tcPr>
            <w:tcW w:w="3960" w:type="dxa"/>
            <w:vAlign w:val="bottom"/>
          </w:tcPr>
          <w:p>
            <w:pPr>
              <w:ind w:left="640"/>
              <w:spacing w:after="0"/>
              <w:rPr>
                <w:sz w:val="20"/>
                <w:szCs w:val="20"/>
                <w:color w:val="auto"/>
              </w:rPr>
            </w:pPr>
            <w:r>
              <w:rPr>
                <w:rFonts w:ascii="Arial" w:cs="Arial" w:eastAsia="Arial" w:hAnsi="Arial"/>
                <w:sz w:val="18"/>
                <w:szCs w:val="18"/>
                <w:color w:val="auto"/>
              </w:rPr>
              <w:t>Bruce Lisman</w:t>
            </w:r>
          </w:p>
        </w:tc>
        <w:tc>
          <w:tcPr>
            <w:tcW w:w="160" w:type="dxa"/>
            <w:vAlign w:val="bottom"/>
          </w:tcPr>
          <w:p>
            <w:pPr>
              <w:spacing w:after="0"/>
              <w:rPr>
                <w:sz w:val="24"/>
                <w:szCs w:val="24"/>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Former Chairman - JP Morgan – Global Equity Division</w:t>
            </w:r>
          </w:p>
        </w:tc>
      </w:tr>
      <w:tr>
        <w:trPr>
          <w:trHeight w:val="634"/>
        </w:trPr>
        <w:tc>
          <w:tcPr>
            <w:tcW w:w="3960" w:type="dxa"/>
            <w:vAlign w:val="bottom"/>
          </w:tcPr>
          <w:p>
            <w:pPr>
              <w:ind w:left="660"/>
              <w:spacing w:after="0"/>
              <w:rPr>
                <w:sz w:val="20"/>
                <w:szCs w:val="20"/>
                <w:color w:val="auto"/>
              </w:rPr>
            </w:pPr>
            <w:r>
              <w:rPr>
                <w:rFonts w:ascii="Arial" w:cs="Arial" w:eastAsia="Arial" w:hAnsi="Arial"/>
                <w:sz w:val="18"/>
                <w:szCs w:val="18"/>
                <w:color w:val="auto"/>
              </w:rPr>
              <w:t>Daniel R. Lee</w:t>
            </w:r>
          </w:p>
        </w:tc>
        <w:tc>
          <w:tcPr>
            <w:tcW w:w="160" w:type="dxa"/>
            <w:vAlign w:val="bottom"/>
          </w:tcPr>
          <w:p>
            <w:pPr>
              <w:spacing w:after="0"/>
              <w:rPr>
                <w:sz w:val="24"/>
                <w:szCs w:val="24"/>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16"/>
        </w:trPr>
        <w:tc>
          <w:tcPr>
            <w:tcW w:w="3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Full House Resorts, Inc.</w:t>
            </w:r>
          </w:p>
        </w:tc>
      </w:tr>
      <w:tr>
        <w:trPr>
          <w:trHeight w:val="216"/>
        </w:trPr>
        <w:tc>
          <w:tcPr>
            <w:tcW w:w="3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4670 South Ford Apache Road, Suite 190</w:t>
            </w:r>
          </w:p>
        </w:tc>
      </w:tr>
      <w:tr>
        <w:trPr>
          <w:trHeight w:val="230"/>
        </w:trPr>
        <w:tc>
          <w:tcPr>
            <w:tcW w:w="3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Las Vegas, NV 89147</w:t>
            </w:r>
          </w:p>
        </w:tc>
      </w:tr>
      <w:tr>
        <w:trPr>
          <w:trHeight w:val="432"/>
        </w:trPr>
        <w:tc>
          <w:tcPr>
            <w:tcW w:w="3960" w:type="dxa"/>
            <w:vAlign w:val="bottom"/>
          </w:tcPr>
          <w:p>
            <w:pPr>
              <w:ind w:left="640"/>
              <w:spacing w:after="0"/>
              <w:rPr>
                <w:sz w:val="20"/>
                <w:szCs w:val="20"/>
                <w:color w:val="auto"/>
              </w:rPr>
            </w:pPr>
            <w:r>
              <w:rPr>
                <w:rFonts w:ascii="Arial" w:cs="Arial" w:eastAsia="Arial" w:hAnsi="Arial"/>
                <w:sz w:val="18"/>
                <w:szCs w:val="18"/>
                <w:color w:val="auto"/>
              </w:rPr>
              <w:t>Salvatore F. Sodano</w:t>
            </w:r>
          </w:p>
        </w:tc>
        <w:tc>
          <w:tcPr>
            <w:tcW w:w="160" w:type="dxa"/>
            <w:vAlign w:val="bottom"/>
          </w:tcPr>
          <w:p>
            <w:pPr>
              <w:spacing w:after="0"/>
              <w:rPr>
                <w:sz w:val="24"/>
                <w:szCs w:val="24"/>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Vice Chairman – Broadridge Financial Solutions</w:t>
            </w:r>
          </w:p>
        </w:tc>
      </w:tr>
      <w:tr>
        <w:trPr>
          <w:trHeight w:val="648"/>
        </w:trPr>
        <w:tc>
          <w:tcPr>
            <w:tcW w:w="3960" w:type="dxa"/>
            <w:vAlign w:val="bottom"/>
          </w:tcPr>
          <w:p>
            <w:pPr>
              <w:ind w:left="640"/>
              <w:spacing w:after="0"/>
              <w:rPr>
                <w:sz w:val="20"/>
                <w:szCs w:val="20"/>
                <w:color w:val="auto"/>
              </w:rPr>
            </w:pPr>
            <w:r>
              <w:rPr>
                <w:rFonts w:ascii="Arial" w:cs="Arial" w:eastAsia="Arial" w:hAnsi="Arial"/>
                <w:sz w:val="18"/>
                <w:szCs w:val="18"/>
                <w:color w:val="auto"/>
              </w:rPr>
              <w:t>Frederic V. Salerno</w:t>
            </w:r>
          </w:p>
        </w:tc>
        <w:tc>
          <w:tcPr>
            <w:tcW w:w="160" w:type="dxa"/>
            <w:vAlign w:val="bottom"/>
          </w:tcPr>
          <w:p>
            <w:pPr>
              <w:spacing w:after="0"/>
              <w:rPr>
                <w:sz w:val="24"/>
                <w:szCs w:val="24"/>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See above</w:t>
            </w:r>
          </w:p>
        </w:tc>
      </w:tr>
      <w:tr>
        <w:trPr>
          <w:trHeight w:val="648"/>
        </w:trPr>
        <w:tc>
          <w:tcPr>
            <w:tcW w:w="3960" w:type="dxa"/>
            <w:vAlign w:val="bottom"/>
          </w:tcPr>
          <w:p>
            <w:pPr>
              <w:ind w:left="640"/>
              <w:spacing w:after="0"/>
              <w:rPr>
                <w:sz w:val="20"/>
                <w:szCs w:val="20"/>
                <w:color w:val="auto"/>
              </w:rPr>
            </w:pPr>
            <w:r>
              <w:rPr>
                <w:rFonts w:ascii="Arial" w:cs="Arial" w:eastAsia="Arial" w:hAnsi="Arial"/>
                <w:sz w:val="18"/>
                <w:szCs w:val="18"/>
                <w:color w:val="auto"/>
              </w:rPr>
              <w:t>Elisa M. Wilson</w:t>
            </w:r>
          </w:p>
        </w:tc>
        <w:tc>
          <w:tcPr>
            <w:tcW w:w="160" w:type="dxa"/>
            <w:vAlign w:val="bottom"/>
          </w:tcPr>
          <w:p>
            <w:pPr>
              <w:spacing w:after="0"/>
              <w:rPr>
                <w:sz w:val="24"/>
                <w:szCs w:val="24"/>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Director</w:t>
            </w:r>
          </w:p>
        </w:tc>
      </w:tr>
      <w:tr>
        <w:trPr>
          <w:trHeight w:val="418"/>
        </w:trPr>
        <w:tc>
          <w:tcPr>
            <w:tcW w:w="3960" w:type="dxa"/>
            <w:vAlign w:val="bottom"/>
          </w:tcPr>
          <w:p>
            <w:pPr>
              <w:spacing w:after="0"/>
              <w:rPr>
                <w:sz w:val="20"/>
                <w:szCs w:val="20"/>
                <w:color w:val="auto"/>
              </w:rPr>
            </w:pPr>
            <w:r>
              <w:rPr>
                <w:rFonts w:ascii="Arial" w:cs="Arial" w:eastAsia="Arial" w:hAnsi="Arial"/>
                <w:sz w:val="18"/>
                <w:szCs w:val="18"/>
                <w:color w:val="auto"/>
              </w:rPr>
              <w:t>Officers:</w:t>
            </w:r>
          </w:p>
        </w:tc>
        <w:tc>
          <w:tcPr>
            <w:tcW w:w="160" w:type="dxa"/>
            <w:vAlign w:val="bottom"/>
          </w:tcPr>
          <w:p>
            <w:pPr>
              <w:spacing w:after="0"/>
              <w:rPr>
                <w:sz w:val="24"/>
                <w:szCs w:val="24"/>
                <w:color w:val="auto"/>
              </w:rPr>
            </w:pPr>
          </w:p>
        </w:tc>
        <w:tc>
          <w:tcPr>
            <w:tcW w:w="6360" w:type="dxa"/>
            <w:vAlign w:val="bottom"/>
          </w:tcPr>
          <w:p>
            <w:pPr>
              <w:spacing w:after="0"/>
              <w:rPr>
                <w:sz w:val="24"/>
                <w:szCs w:val="24"/>
                <w:color w:val="auto"/>
              </w:rPr>
            </w:pPr>
          </w:p>
        </w:tc>
      </w:tr>
      <w:tr>
        <w:trPr>
          <w:trHeight w:val="230"/>
        </w:trPr>
        <w:tc>
          <w:tcPr>
            <w:tcW w:w="3960" w:type="dxa"/>
            <w:vAlign w:val="bottom"/>
          </w:tcPr>
          <w:p>
            <w:pPr>
              <w:ind w:left="660"/>
              <w:spacing w:after="0"/>
              <w:rPr>
                <w:sz w:val="20"/>
                <w:szCs w:val="20"/>
                <w:color w:val="auto"/>
              </w:rPr>
            </w:pPr>
            <w:r>
              <w:rPr>
                <w:rFonts w:ascii="Arial" w:cs="Arial" w:eastAsia="Arial" w:hAnsi="Arial"/>
                <w:sz w:val="18"/>
                <w:szCs w:val="18"/>
                <w:color w:val="auto"/>
              </w:rPr>
              <w:t>Mario J. Gabelli</w:t>
            </w:r>
          </w:p>
        </w:tc>
        <w:tc>
          <w:tcPr>
            <w:tcW w:w="160" w:type="dxa"/>
            <w:vAlign w:val="bottom"/>
          </w:tcPr>
          <w:p>
            <w:pPr>
              <w:spacing w:after="0"/>
              <w:rPr>
                <w:sz w:val="20"/>
                <w:szCs w:val="20"/>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Executive Chairman</w:t>
            </w:r>
          </w:p>
        </w:tc>
      </w:tr>
      <w:tr>
        <w:trPr>
          <w:trHeight w:val="432"/>
        </w:trPr>
        <w:tc>
          <w:tcPr>
            <w:tcW w:w="3960" w:type="dxa"/>
            <w:vAlign w:val="bottom"/>
          </w:tcPr>
          <w:p>
            <w:pPr>
              <w:ind w:left="680"/>
              <w:spacing w:after="0"/>
              <w:rPr>
                <w:sz w:val="20"/>
                <w:szCs w:val="20"/>
                <w:color w:val="auto"/>
              </w:rPr>
            </w:pPr>
            <w:r>
              <w:rPr>
                <w:rFonts w:ascii="Arial" w:cs="Arial" w:eastAsia="Arial" w:hAnsi="Arial"/>
                <w:sz w:val="18"/>
                <w:szCs w:val="18"/>
                <w:color w:val="auto"/>
              </w:rPr>
              <w:t>Douglas R. Jamieson</w:t>
            </w:r>
          </w:p>
        </w:tc>
        <w:tc>
          <w:tcPr>
            <w:tcW w:w="160" w:type="dxa"/>
            <w:vAlign w:val="bottom"/>
          </w:tcPr>
          <w:p>
            <w:pPr>
              <w:spacing w:after="0"/>
              <w:rPr>
                <w:sz w:val="24"/>
                <w:szCs w:val="24"/>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432"/>
        </w:trPr>
        <w:tc>
          <w:tcPr>
            <w:tcW w:w="3960" w:type="dxa"/>
            <w:vAlign w:val="bottom"/>
          </w:tcPr>
          <w:p>
            <w:pPr>
              <w:ind w:left="680"/>
              <w:spacing w:after="0"/>
              <w:rPr>
                <w:sz w:val="20"/>
                <w:szCs w:val="20"/>
                <w:color w:val="auto"/>
              </w:rPr>
            </w:pPr>
            <w:r>
              <w:rPr>
                <w:rFonts w:ascii="Arial" w:cs="Arial" w:eastAsia="Arial" w:hAnsi="Arial"/>
                <w:sz w:val="18"/>
                <w:szCs w:val="18"/>
                <w:color w:val="auto"/>
              </w:rPr>
              <w:t>Kenneth D. Masiello</w:t>
            </w:r>
          </w:p>
        </w:tc>
        <w:tc>
          <w:tcPr>
            <w:tcW w:w="160" w:type="dxa"/>
            <w:vAlign w:val="bottom"/>
          </w:tcPr>
          <w:p>
            <w:pPr>
              <w:spacing w:after="0"/>
              <w:rPr>
                <w:sz w:val="24"/>
                <w:szCs w:val="24"/>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Chief Accounting Officer</w:t>
            </w:r>
          </w:p>
        </w:tc>
      </w:tr>
      <w:tr>
        <w:trPr>
          <w:trHeight w:val="432"/>
        </w:trPr>
        <w:tc>
          <w:tcPr>
            <w:tcW w:w="3960" w:type="dxa"/>
            <w:vAlign w:val="bottom"/>
          </w:tcPr>
          <w:p>
            <w:pPr>
              <w:ind w:left="680"/>
              <w:spacing w:after="0"/>
              <w:rPr>
                <w:sz w:val="20"/>
                <w:szCs w:val="20"/>
                <w:color w:val="auto"/>
              </w:rPr>
            </w:pPr>
            <w:r>
              <w:rPr>
                <w:rFonts w:ascii="Arial" w:cs="Arial" w:eastAsia="Arial" w:hAnsi="Arial"/>
                <w:sz w:val="18"/>
                <w:szCs w:val="18"/>
                <w:color w:val="auto"/>
              </w:rPr>
              <w:t>Kevin Handwerker</w:t>
            </w:r>
          </w:p>
        </w:tc>
        <w:tc>
          <w:tcPr>
            <w:tcW w:w="160" w:type="dxa"/>
            <w:vAlign w:val="bottom"/>
          </w:tcPr>
          <w:p>
            <w:pPr>
              <w:spacing w:after="0"/>
              <w:rPr>
                <w:sz w:val="24"/>
                <w:szCs w:val="24"/>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Executive Vice President, General Counsel and Secretary</w:t>
            </w:r>
          </w:p>
        </w:tc>
      </w:tr>
      <w:tr>
        <w:trPr>
          <w:trHeight w:val="432"/>
        </w:trPr>
        <w:tc>
          <w:tcPr>
            <w:tcW w:w="3960" w:type="dxa"/>
            <w:vAlign w:val="bottom"/>
          </w:tcPr>
          <w:p>
            <w:pPr>
              <w:ind w:left="680"/>
              <w:spacing w:after="0"/>
              <w:rPr>
                <w:sz w:val="20"/>
                <w:szCs w:val="20"/>
                <w:color w:val="auto"/>
              </w:rPr>
            </w:pPr>
            <w:r>
              <w:rPr>
                <w:rFonts w:ascii="Arial" w:cs="Arial" w:eastAsia="Arial" w:hAnsi="Arial"/>
                <w:sz w:val="18"/>
                <w:szCs w:val="18"/>
                <w:color w:val="auto"/>
              </w:rPr>
              <w:t>David Fitzgerald</w:t>
            </w:r>
          </w:p>
        </w:tc>
        <w:tc>
          <w:tcPr>
            <w:tcW w:w="160" w:type="dxa"/>
            <w:vAlign w:val="bottom"/>
          </w:tcPr>
          <w:p>
            <w:pPr>
              <w:spacing w:after="0"/>
              <w:rPr>
                <w:sz w:val="24"/>
                <w:szCs w:val="24"/>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Assistant Secretary</w:t>
            </w:r>
          </w:p>
        </w:tc>
      </w:tr>
      <w:tr>
        <w:trPr>
          <w:trHeight w:val="655"/>
        </w:trPr>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Gabelli &amp; Company Investment Advisers, Inc.</w:t>
            </w:r>
          </w:p>
        </w:tc>
        <w:tc>
          <w:tcPr>
            <w:tcW w:w="160" w:type="dxa"/>
            <w:vAlign w:val="bottom"/>
            <w:tcBorders>
              <w:bottom w:val="single" w:sz="8" w:color="auto"/>
            </w:tcBorders>
          </w:tcPr>
          <w:p>
            <w:pPr>
              <w:spacing w:after="0"/>
              <w:rPr>
                <w:sz w:val="24"/>
                <w:szCs w:val="24"/>
                <w:color w:val="auto"/>
              </w:rPr>
            </w:pPr>
          </w:p>
        </w:tc>
        <w:tc>
          <w:tcPr>
            <w:tcW w:w="6360" w:type="dxa"/>
            <w:vAlign w:val="bottom"/>
          </w:tcPr>
          <w:p>
            <w:pPr>
              <w:spacing w:after="0"/>
              <w:rPr>
                <w:sz w:val="24"/>
                <w:szCs w:val="24"/>
                <w:color w:val="auto"/>
              </w:rPr>
            </w:pP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Directors:</w:t>
            </w:r>
          </w:p>
        </w:tc>
        <w:tc>
          <w:tcPr>
            <w:tcW w:w="160" w:type="dxa"/>
            <w:vAlign w:val="bottom"/>
          </w:tcPr>
          <w:p>
            <w:pPr>
              <w:spacing w:after="0"/>
              <w:rPr>
                <w:sz w:val="20"/>
                <w:szCs w:val="20"/>
                <w:color w:val="auto"/>
              </w:rPr>
            </w:pPr>
          </w:p>
        </w:tc>
        <w:tc>
          <w:tcPr>
            <w:tcW w:w="6360" w:type="dxa"/>
            <w:vAlign w:val="bottom"/>
          </w:tcPr>
          <w:p>
            <w:pPr>
              <w:spacing w:after="0"/>
              <w:rPr>
                <w:sz w:val="20"/>
                <w:szCs w:val="20"/>
                <w:color w:val="auto"/>
              </w:rPr>
            </w:pPr>
          </w:p>
        </w:tc>
      </w:tr>
      <w:tr>
        <w:trPr>
          <w:trHeight w:val="418"/>
        </w:trPr>
        <w:tc>
          <w:tcPr>
            <w:tcW w:w="3960" w:type="dxa"/>
            <w:vAlign w:val="bottom"/>
          </w:tcPr>
          <w:p>
            <w:pPr>
              <w:ind w:left="640"/>
              <w:spacing w:after="0"/>
              <w:rPr>
                <w:sz w:val="20"/>
                <w:szCs w:val="20"/>
                <w:color w:val="auto"/>
              </w:rPr>
            </w:pPr>
            <w:r>
              <w:rPr>
                <w:rFonts w:ascii="Arial" w:cs="Arial" w:eastAsia="Arial" w:hAnsi="Arial"/>
                <w:sz w:val="18"/>
                <w:szCs w:val="18"/>
                <w:color w:val="auto"/>
              </w:rPr>
              <w:t>Douglas R. Jamieson</w:t>
            </w:r>
          </w:p>
        </w:tc>
        <w:tc>
          <w:tcPr>
            <w:tcW w:w="160" w:type="dxa"/>
            <w:vAlign w:val="bottom"/>
          </w:tcPr>
          <w:p>
            <w:pPr>
              <w:spacing w:after="0"/>
              <w:rPr>
                <w:sz w:val="24"/>
                <w:szCs w:val="24"/>
                <w:color w:val="auto"/>
              </w:rPr>
            </w:pPr>
          </w:p>
        </w:tc>
        <w:tc>
          <w:tcPr>
            <w:tcW w:w="6360" w:type="dxa"/>
            <w:vAlign w:val="bottom"/>
          </w:tcPr>
          <w:p>
            <w:pPr>
              <w:spacing w:after="0"/>
              <w:rPr>
                <w:sz w:val="24"/>
                <w:szCs w:val="24"/>
                <w:color w:val="auto"/>
              </w:rPr>
            </w:pPr>
          </w:p>
        </w:tc>
      </w:tr>
      <w:tr>
        <w:trPr>
          <w:trHeight w:val="661"/>
        </w:trPr>
        <w:tc>
          <w:tcPr>
            <w:tcW w:w="3960" w:type="dxa"/>
            <w:vAlign w:val="bottom"/>
          </w:tcPr>
          <w:p>
            <w:pPr>
              <w:spacing w:after="0"/>
              <w:rPr>
                <w:sz w:val="20"/>
                <w:szCs w:val="20"/>
                <w:color w:val="auto"/>
              </w:rPr>
            </w:pPr>
            <w:r>
              <w:rPr>
                <w:rFonts w:ascii="Arial" w:cs="Arial" w:eastAsia="Arial" w:hAnsi="Arial"/>
                <w:sz w:val="18"/>
                <w:szCs w:val="18"/>
                <w:color w:val="auto"/>
              </w:rPr>
              <w:t>Officers:</w:t>
            </w:r>
          </w:p>
        </w:tc>
        <w:tc>
          <w:tcPr>
            <w:tcW w:w="160" w:type="dxa"/>
            <w:vAlign w:val="bottom"/>
          </w:tcPr>
          <w:p>
            <w:pPr>
              <w:spacing w:after="0"/>
              <w:rPr>
                <w:sz w:val="24"/>
                <w:szCs w:val="24"/>
                <w:color w:val="auto"/>
              </w:rPr>
            </w:pPr>
          </w:p>
        </w:tc>
        <w:tc>
          <w:tcPr>
            <w:tcW w:w="6360" w:type="dxa"/>
            <w:vAlign w:val="bottom"/>
          </w:tcPr>
          <w:p>
            <w:pPr>
              <w:spacing w:after="0"/>
              <w:rPr>
                <w:sz w:val="24"/>
                <w:szCs w:val="24"/>
                <w:color w:val="auto"/>
              </w:rPr>
            </w:pPr>
          </w:p>
        </w:tc>
      </w:tr>
      <w:tr>
        <w:trPr>
          <w:trHeight w:val="230"/>
        </w:trPr>
        <w:tc>
          <w:tcPr>
            <w:tcW w:w="3960" w:type="dxa"/>
            <w:vAlign w:val="bottom"/>
          </w:tcPr>
          <w:p>
            <w:pPr>
              <w:ind w:left="640"/>
              <w:spacing w:after="0"/>
              <w:rPr>
                <w:sz w:val="20"/>
                <w:szCs w:val="20"/>
                <w:color w:val="auto"/>
              </w:rPr>
            </w:pPr>
            <w:r>
              <w:rPr>
                <w:rFonts w:ascii="Arial" w:cs="Arial" w:eastAsia="Arial" w:hAnsi="Arial"/>
                <w:sz w:val="18"/>
                <w:szCs w:val="18"/>
                <w:color w:val="auto"/>
              </w:rPr>
              <w:t>Douglas R. Jamieson</w:t>
            </w:r>
          </w:p>
        </w:tc>
        <w:tc>
          <w:tcPr>
            <w:tcW w:w="6520" w:type="dxa"/>
            <w:vAlign w:val="bottom"/>
            <w:gridSpan w:val="2"/>
          </w:tcPr>
          <w:p>
            <w:pPr>
              <w:spacing w:after="0"/>
              <w:rPr>
                <w:sz w:val="20"/>
                <w:szCs w:val="20"/>
                <w:color w:val="auto"/>
              </w:rPr>
            </w:pPr>
            <w:r>
              <w:rPr>
                <w:rFonts w:ascii="Arial" w:cs="Arial" w:eastAsia="Arial" w:hAnsi="Arial"/>
                <w:sz w:val="18"/>
                <w:szCs w:val="18"/>
                <w:color w:val="auto"/>
              </w:rPr>
              <w:t>Chief Executive Officer and President</w:t>
            </w:r>
          </w:p>
        </w:tc>
      </w:tr>
      <w:tr>
        <w:trPr>
          <w:trHeight w:val="432"/>
        </w:trPr>
        <w:tc>
          <w:tcPr>
            <w:tcW w:w="3960" w:type="dxa"/>
            <w:vAlign w:val="bottom"/>
          </w:tcPr>
          <w:p>
            <w:pPr>
              <w:ind w:left="640"/>
              <w:spacing w:after="0"/>
              <w:rPr>
                <w:sz w:val="20"/>
                <w:szCs w:val="20"/>
                <w:color w:val="auto"/>
              </w:rPr>
            </w:pPr>
            <w:r>
              <w:rPr>
                <w:rFonts w:ascii="Arial" w:cs="Arial" w:eastAsia="Arial" w:hAnsi="Arial"/>
                <w:sz w:val="18"/>
                <w:szCs w:val="18"/>
                <w:color w:val="auto"/>
              </w:rPr>
              <w:t>John Givissis</w:t>
            </w:r>
          </w:p>
        </w:tc>
        <w:tc>
          <w:tcPr>
            <w:tcW w:w="6520" w:type="dxa"/>
            <w:vAlign w:val="bottom"/>
            <w:gridSpan w:val="2"/>
          </w:tcPr>
          <w:p>
            <w:pPr>
              <w:spacing w:after="0"/>
              <w:rPr>
                <w:sz w:val="20"/>
                <w:szCs w:val="20"/>
                <w:color w:val="auto"/>
              </w:rPr>
            </w:pPr>
            <w:r>
              <w:rPr>
                <w:rFonts w:ascii="Arial" w:cs="Arial" w:eastAsia="Arial" w:hAnsi="Arial"/>
                <w:sz w:val="18"/>
                <w:szCs w:val="18"/>
                <w:color w:val="auto"/>
              </w:rPr>
              <w:t>Controller</w:t>
            </w:r>
          </w:p>
        </w:tc>
      </w:tr>
      <w:tr>
        <w:trPr>
          <w:trHeight w:val="432"/>
        </w:trPr>
        <w:tc>
          <w:tcPr>
            <w:tcW w:w="3960" w:type="dxa"/>
            <w:vAlign w:val="bottom"/>
          </w:tcPr>
          <w:p>
            <w:pPr>
              <w:ind w:left="660"/>
              <w:spacing w:after="0"/>
              <w:rPr>
                <w:sz w:val="20"/>
                <w:szCs w:val="20"/>
                <w:color w:val="auto"/>
              </w:rPr>
            </w:pPr>
            <w:r>
              <w:rPr>
                <w:rFonts w:ascii="Arial" w:cs="Arial" w:eastAsia="Arial" w:hAnsi="Arial"/>
                <w:sz w:val="18"/>
                <w:szCs w:val="18"/>
                <w:color w:val="auto"/>
              </w:rPr>
              <w:t>Kevin Handwerker</w:t>
            </w:r>
          </w:p>
        </w:tc>
        <w:tc>
          <w:tcPr>
            <w:tcW w:w="6520" w:type="dxa"/>
            <w:vAlign w:val="bottom"/>
            <w:gridSpan w:val="2"/>
          </w:tcPr>
          <w:p>
            <w:pPr>
              <w:spacing w:after="0"/>
              <w:rPr>
                <w:sz w:val="20"/>
                <w:szCs w:val="20"/>
                <w:color w:val="auto"/>
              </w:rPr>
            </w:pPr>
            <w:r>
              <w:rPr>
                <w:rFonts w:ascii="Arial" w:cs="Arial" w:eastAsia="Arial" w:hAnsi="Arial"/>
                <w:sz w:val="18"/>
                <w:szCs w:val="18"/>
                <w:color w:val="auto"/>
              </w:rPr>
              <w:t>Secretary</w:t>
            </w:r>
          </w:p>
        </w:tc>
      </w:tr>
      <w:tr>
        <w:trPr>
          <w:trHeight w:val="432"/>
        </w:trPr>
        <w:tc>
          <w:tcPr>
            <w:tcW w:w="3960" w:type="dxa"/>
            <w:vAlign w:val="bottom"/>
          </w:tcPr>
          <w:p>
            <w:pPr>
              <w:ind w:left="660"/>
              <w:spacing w:after="0"/>
              <w:rPr>
                <w:sz w:val="20"/>
                <w:szCs w:val="20"/>
                <w:color w:val="auto"/>
              </w:rPr>
            </w:pPr>
            <w:r>
              <w:rPr>
                <w:rFonts w:ascii="Arial" w:cs="Arial" w:eastAsia="Arial" w:hAnsi="Arial"/>
                <w:sz w:val="18"/>
                <w:szCs w:val="18"/>
                <w:color w:val="auto"/>
              </w:rPr>
              <w:t>David Fitzgerald</w:t>
            </w:r>
          </w:p>
        </w:tc>
        <w:tc>
          <w:tcPr>
            <w:tcW w:w="6520" w:type="dxa"/>
            <w:vAlign w:val="bottom"/>
            <w:gridSpan w:val="2"/>
          </w:tcPr>
          <w:p>
            <w:pPr>
              <w:spacing w:after="0"/>
              <w:rPr>
                <w:sz w:val="20"/>
                <w:szCs w:val="20"/>
                <w:color w:val="auto"/>
              </w:rPr>
            </w:pPr>
            <w:r>
              <w:rPr>
                <w:rFonts w:ascii="Arial" w:cs="Arial" w:eastAsia="Arial" w:hAnsi="Arial"/>
                <w:sz w:val="18"/>
                <w:szCs w:val="18"/>
                <w:color w:val="auto"/>
              </w:rPr>
              <w:t>Assistant Secretary</w:t>
            </w:r>
          </w:p>
        </w:tc>
      </w:tr>
      <w:tr>
        <w:trPr>
          <w:trHeight w:val="439"/>
        </w:trPr>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G.research, LLC</w:t>
            </w:r>
          </w:p>
        </w:tc>
        <w:tc>
          <w:tcPr>
            <w:tcW w:w="160" w:type="dxa"/>
            <w:vAlign w:val="bottom"/>
          </w:tcPr>
          <w:p>
            <w:pPr>
              <w:spacing w:after="0"/>
              <w:rPr>
                <w:sz w:val="24"/>
                <w:szCs w:val="24"/>
                <w:color w:val="auto"/>
              </w:rPr>
            </w:pPr>
          </w:p>
        </w:tc>
        <w:tc>
          <w:tcPr>
            <w:tcW w:w="6360" w:type="dxa"/>
            <w:vAlign w:val="bottom"/>
          </w:tcPr>
          <w:p>
            <w:pPr>
              <w:spacing w:after="0"/>
              <w:rPr>
                <w:sz w:val="24"/>
                <w:szCs w:val="24"/>
                <w:color w:val="auto"/>
              </w:rPr>
            </w:pPr>
          </w:p>
        </w:tc>
      </w:tr>
      <w:tr>
        <w:trPr>
          <w:trHeight w:val="418"/>
        </w:trPr>
        <w:tc>
          <w:tcPr>
            <w:tcW w:w="3960" w:type="dxa"/>
            <w:vAlign w:val="bottom"/>
          </w:tcPr>
          <w:p>
            <w:pPr>
              <w:spacing w:after="0"/>
              <w:rPr>
                <w:sz w:val="20"/>
                <w:szCs w:val="20"/>
                <w:color w:val="auto"/>
              </w:rPr>
            </w:pPr>
            <w:r>
              <w:rPr>
                <w:rFonts w:ascii="Arial" w:cs="Arial" w:eastAsia="Arial" w:hAnsi="Arial"/>
                <w:sz w:val="18"/>
                <w:szCs w:val="18"/>
                <w:color w:val="auto"/>
              </w:rPr>
              <w:t>Officers:</w:t>
            </w:r>
          </w:p>
        </w:tc>
        <w:tc>
          <w:tcPr>
            <w:tcW w:w="160" w:type="dxa"/>
            <w:vAlign w:val="bottom"/>
          </w:tcPr>
          <w:p>
            <w:pPr>
              <w:spacing w:after="0"/>
              <w:rPr>
                <w:sz w:val="24"/>
                <w:szCs w:val="24"/>
                <w:color w:val="auto"/>
              </w:rPr>
            </w:pPr>
          </w:p>
        </w:tc>
        <w:tc>
          <w:tcPr>
            <w:tcW w:w="6360" w:type="dxa"/>
            <w:vAlign w:val="bottom"/>
          </w:tcPr>
          <w:p>
            <w:pPr>
              <w:spacing w:after="0"/>
              <w:rPr>
                <w:sz w:val="24"/>
                <w:szCs w:val="24"/>
                <w:color w:val="auto"/>
              </w:rPr>
            </w:pPr>
          </w:p>
        </w:tc>
      </w:tr>
      <w:tr>
        <w:trPr>
          <w:trHeight w:val="230"/>
        </w:trPr>
        <w:tc>
          <w:tcPr>
            <w:tcW w:w="3960" w:type="dxa"/>
            <w:vAlign w:val="bottom"/>
          </w:tcPr>
          <w:p>
            <w:pPr>
              <w:ind w:left="680"/>
              <w:spacing w:after="0"/>
              <w:rPr>
                <w:sz w:val="20"/>
                <w:szCs w:val="20"/>
                <w:color w:val="auto"/>
              </w:rPr>
            </w:pPr>
            <w:r>
              <w:rPr>
                <w:rFonts w:ascii="Arial" w:cs="Arial" w:eastAsia="Arial" w:hAnsi="Arial"/>
                <w:sz w:val="18"/>
                <w:szCs w:val="18"/>
                <w:color w:val="auto"/>
              </w:rPr>
              <w:t>Cornelius V. McGinity</w:t>
            </w:r>
          </w:p>
        </w:tc>
        <w:tc>
          <w:tcPr>
            <w:tcW w:w="6520" w:type="dxa"/>
            <w:vAlign w:val="bottom"/>
            <w:gridSpan w:val="2"/>
          </w:tcPr>
          <w:p>
            <w:pPr>
              <w:spacing w:after="0"/>
              <w:rPr>
                <w:sz w:val="20"/>
                <w:szCs w:val="20"/>
                <w:color w:val="auto"/>
              </w:rPr>
            </w:pPr>
            <w:r>
              <w:rPr>
                <w:rFonts w:ascii="Arial" w:cs="Arial" w:eastAsia="Arial" w:hAnsi="Arial"/>
                <w:sz w:val="18"/>
                <w:szCs w:val="18"/>
                <w:color w:val="auto"/>
              </w:rPr>
              <w:t>Office of the Chairman</w:t>
            </w:r>
          </w:p>
        </w:tc>
      </w:tr>
      <w:tr>
        <w:trPr>
          <w:trHeight w:val="432"/>
        </w:trPr>
        <w:tc>
          <w:tcPr>
            <w:tcW w:w="3960" w:type="dxa"/>
            <w:vAlign w:val="bottom"/>
          </w:tcPr>
          <w:p>
            <w:pPr>
              <w:ind w:left="680"/>
              <w:spacing w:after="0"/>
              <w:rPr>
                <w:sz w:val="20"/>
                <w:szCs w:val="20"/>
                <w:color w:val="auto"/>
              </w:rPr>
            </w:pPr>
            <w:r>
              <w:rPr>
                <w:rFonts w:ascii="Arial" w:cs="Arial" w:eastAsia="Arial" w:hAnsi="Arial"/>
                <w:sz w:val="18"/>
                <w:szCs w:val="18"/>
                <w:color w:val="auto"/>
              </w:rPr>
              <w:t>Vincent Amabile</w:t>
            </w:r>
          </w:p>
        </w:tc>
        <w:tc>
          <w:tcPr>
            <w:tcW w:w="6520" w:type="dxa"/>
            <w:vAlign w:val="bottom"/>
            <w:gridSpan w:val="2"/>
          </w:tcPr>
          <w:p>
            <w:pPr>
              <w:spacing w:after="0"/>
              <w:rPr>
                <w:sz w:val="20"/>
                <w:szCs w:val="20"/>
                <w:color w:val="auto"/>
              </w:rPr>
            </w:pPr>
            <w:r>
              <w:rPr>
                <w:rFonts w:ascii="Arial" w:cs="Arial" w:eastAsia="Arial" w:hAnsi="Arial"/>
                <w:sz w:val="18"/>
                <w:szCs w:val="18"/>
                <w:color w:val="auto"/>
              </w:rPr>
              <w:t>President</w:t>
            </w:r>
          </w:p>
        </w:tc>
      </w:tr>
      <w:tr>
        <w:trPr>
          <w:trHeight w:val="432"/>
        </w:trPr>
        <w:tc>
          <w:tcPr>
            <w:tcW w:w="3960" w:type="dxa"/>
            <w:vAlign w:val="bottom"/>
          </w:tcPr>
          <w:p>
            <w:pPr>
              <w:ind w:left="660"/>
              <w:spacing w:after="0"/>
              <w:rPr>
                <w:sz w:val="20"/>
                <w:szCs w:val="20"/>
                <w:color w:val="auto"/>
              </w:rPr>
            </w:pPr>
            <w:r>
              <w:rPr>
                <w:rFonts w:ascii="Arial" w:cs="Arial" w:eastAsia="Arial" w:hAnsi="Arial"/>
                <w:sz w:val="18"/>
                <w:szCs w:val="18"/>
                <w:color w:val="auto"/>
              </w:rPr>
              <w:t>Bruce N. Alpert</w:t>
            </w:r>
          </w:p>
        </w:tc>
        <w:tc>
          <w:tcPr>
            <w:tcW w:w="6520" w:type="dxa"/>
            <w:vAlign w:val="bottom"/>
            <w:gridSpan w:val="2"/>
          </w:tcPr>
          <w:p>
            <w:pPr>
              <w:spacing w:after="0"/>
              <w:rPr>
                <w:sz w:val="20"/>
                <w:szCs w:val="20"/>
                <w:color w:val="auto"/>
              </w:rPr>
            </w:pPr>
            <w:r>
              <w:rPr>
                <w:rFonts w:ascii="Arial" w:cs="Arial" w:eastAsia="Arial" w:hAnsi="Arial"/>
                <w:sz w:val="18"/>
                <w:szCs w:val="18"/>
                <w:color w:val="auto"/>
              </w:rPr>
              <w:t>Vice President</w:t>
            </w:r>
          </w:p>
        </w:tc>
      </w:tr>
      <w:tr>
        <w:trPr>
          <w:trHeight w:val="432"/>
        </w:trPr>
        <w:tc>
          <w:tcPr>
            <w:tcW w:w="3960" w:type="dxa"/>
            <w:vAlign w:val="bottom"/>
          </w:tcPr>
          <w:p>
            <w:pPr>
              <w:ind w:left="680"/>
              <w:spacing w:after="0"/>
              <w:rPr>
                <w:sz w:val="20"/>
                <w:szCs w:val="20"/>
                <w:color w:val="auto"/>
              </w:rPr>
            </w:pPr>
            <w:r>
              <w:rPr>
                <w:rFonts w:ascii="Arial" w:cs="Arial" w:eastAsia="Arial" w:hAnsi="Arial"/>
                <w:sz w:val="18"/>
                <w:szCs w:val="18"/>
                <w:color w:val="auto"/>
              </w:rPr>
              <w:t>Douglas R. Jamieson</w:t>
            </w:r>
          </w:p>
        </w:tc>
        <w:tc>
          <w:tcPr>
            <w:tcW w:w="6520" w:type="dxa"/>
            <w:vAlign w:val="bottom"/>
            <w:gridSpan w:val="2"/>
          </w:tcPr>
          <w:p>
            <w:pPr>
              <w:spacing w:after="0"/>
              <w:rPr>
                <w:sz w:val="20"/>
                <w:szCs w:val="20"/>
                <w:color w:val="auto"/>
              </w:rPr>
            </w:pPr>
            <w:r>
              <w:rPr>
                <w:rFonts w:ascii="Arial" w:cs="Arial" w:eastAsia="Arial" w:hAnsi="Arial"/>
                <w:sz w:val="18"/>
                <w:szCs w:val="18"/>
                <w:color w:val="auto"/>
              </w:rPr>
              <w:t>Secretary</w:t>
            </w:r>
          </w:p>
        </w:tc>
      </w:tr>
      <w:tr>
        <w:trPr>
          <w:trHeight w:val="432"/>
        </w:trPr>
        <w:tc>
          <w:tcPr>
            <w:tcW w:w="3960" w:type="dxa"/>
            <w:vAlign w:val="bottom"/>
          </w:tcPr>
          <w:p>
            <w:pPr>
              <w:ind w:left="680"/>
              <w:spacing w:after="0"/>
              <w:rPr>
                <w:sz w:val="20"/>
                <w:szCs w:val="20"/>
                <w:color w:val="auto"/>
              </w:rPr>
            </w:pPr>
            <w:r>
              <w:rPr>
                <w:rFonts w:ascii="Arial" w:cs="Arial" w:eastAsia="Arial" w:hAnsi="Arial"/>
                <w:sz w:val="18"/>
                <w:szCs w:val="18"/>
                <w:color w:val="auto"/>
              </w:rPr>
              <w:t>Kevin Handwerker</w:t>
            </w:r>
          </w:p>
        </w:tc>
        <w:tc>
          <w:tcPr>
            <w:tcW w:w="6520" w:type="dxa"/>
            <w:vAlign w:val="bottom"/>
            <w:gridSpan w:val="2"/>
          </w:tcPr>
          <w:p>
            <w:pPr>
              <w:spacing w:after="0"/>
              <w:rPr>
                <w:sz w:val="20"/>
                <w:szCs w:val="20"/>
                <w:color w:val="auto"/>
              </w:rPr>
            </w:pPr>
            <w:r>
              <w:rPr>
                <w:rFonts w:ascii="Arial" w:cs="Arial" w:eastAsia="Arial" w:hAnsi="Arial"/>
                <w:sz w:val="18"/>
                <w:szCs w:val="18"/>
                <w:color w:val="auto"/>
              </w:rPr>
              <w:t>Assistant Secretary</w:t>
            </w:r>
          </w:p>
        </w:tc>
      </w:tr>
      <w:tr>
        <w:trPr>
          <w:trHeight w:val="432"/>
        </w:trPr>
        <w:tc>
          <w:tcPr>
            <w:tcW w:w="3960" w:type="dxa"/>
            <w:vAlign w:val="bottom"/>
          </w:tcPr>
          <w:p>
            <w:pPr>
              <w:ind w:left="680"/>
              <w:spacing w:after="0"/>
              <w:rPr>
                <w:sz w:val="20"/>
                <w:szCs w:val="20"/>
                <w:color w:val="auto"/>
              </w:rPr>
            </w:pPr>
            <w:r>
              <w:rPr>
                <w:rFonts w:ascii="Arial" w:cs="Arial" w:eastAsia="Arial" w:hAnsi="Arial"/>
                <w:sz w:val="18"/>
                <w:szCs w:val="18"/>
                <w:color w:val="auto"/>
              </w:rPr>
              <w:t>David Fitzgerald</w:t>
            </w:r>
          </w:p>
        </w:tc>
        <w:tc>
          <w:tcPr>
            <w:tcW w:w="6520" w:type="dxa"/>
            <w:vAlign w:val="bottom"/>
            <w:gridSpan w:val="2"/>
          </w:tcPr>
          <w:p>
            <w:pPr>
              <w:spacing w:after="0"/>
              <w:rPr>
                <w:sz w:val="20"/>
                <w:szCs w:val="20"/>
                <w:color w:val="auto"/>
              </w:rPr>
            </w:pPr>
            <w:r>
              <w:rPr>
                <w:rFonts w:ascii="Arial" w:cs="Arial" w:eastAsia="Arial" w:hAnsi="Arial"/>
                <w:sz w:val="18"/>
                <w:szCs w:val="18"/>
                <w:color w:val="auto"/>
              </w:rPr>
              <w:t>Assistant Secretary</w:t>
            </w:r>
          </w:p>
        </w:tc>
      </w:tr>
      <w:tr>
        <w:trPr>
          <w:trHeight w:val="432"/>
        </w:trPr>
        <w:tc>
          <w:tcPr>
            <w:tcW w:w="3960" w:type="dxa"/>
            <w:vAlign w:val="bottom"/>
          </w:tcPr>
          <w:p>
            <w:pPr>
              <w:ind w:left="680"/>
              <w:spacing w:after="0"/>
              <w:rPr>
                <w:sz w:val="20"/>
                <w:szCs w:val="20"/>
                <w:color w:val="auto"/>
              </w:rPr>
            </w:pPr>
            <w:r>
              <w:rPr>
                <w:rFonts w:ascii="Arial" w:cs="Arial" w:eastAsia="Arial" w:hAnsi="Arial"/>
                <w:sz w:val="18"/>
                <w:szCs w:val="18"/>
                <w:color w:val="auto"/>
              </w:rPr>
              <w:t>David Goldman</w:t>
            </w:r>
          </w:p>
        </w:tc>
        <w:tc>
          <w:tcPr>
            <w:tcW w:w="6520" w:type="dxa"/>
            <w:vAlign w:val="bottom"/>
            <w:gridSpan w:val="2"/>
          </w:tcPr>
          <w:p>
            <w:pPr>
              <w:spacing w:after="0"/>
              <w:rPr>
                <w:sz w:val="20"/>
                <w:szCs w:val="20"/>
                <w:color w:val="auto"/>
              </w:rPr>
            </w:pPr>
            <w:r>
              <w:rPr>
                <w:rFonts w:ascii="Arial" w:cs="Arial" w:eastAsia="Arial" w:hAnsi="Arial"/>
                <w:sz w:val="18"/>
                <w:szCs w:val="18"/>
                <w:color w:val="auto"/>
              </w:rPr>
              <w:t>Assistant Secretary</w:t>
            </w:r>
          </w:p>
        </w:tc>
      </w:tr>
    </w:tbl>
    <w:p>
      <w:pPr>
        <w:sectPr>
          <w:pgSz w:w="11900" w:h="16838" w:orient="portrait"/>
          <w:cols w:equalWidth="0" w:num="1">
            <w:col w:w="10480"/>
          </w:cols>
          <w:pgMar w:left="240" w:top="1071" w:right="1179" w:bottom="0" w:gutter="0" w:footer="0" w:header="0"/>
        </w:sectPr>
      </w:pPr>
    </w:p>
    <w:bookmarkStart w:id="18" w:name="page19"/>
    <w:bookmarkEnd w:id="18"/>
    <w:p>
      <w:pPr>
        <w:spacing w:after="0"/>
        <w:tabs>
          <w:tab w:leader="none" w:pos="3260" w:val="left"/>
        </w:tabs>
        <w:rPr>
          <w:sz w:val="20"/>
          <w:szCs w:val="20"/>
          <w:color w:val="auto"/>
        </w:rPr>
      </w:pPr>
      <w:r>
        <w:rPr>
          <w:rFonts w:ascii="Arial" w:cs="Arial" w:eastAsia="Arial" w:hAnsi="Arial"/>
          <w:sz w:val="18"/>
          <w:szCs w:val="18"/>
          <w:color w:val="auto"/>
        </w:rPr>
        <w:t>Josephine D. LaFauci</w:t>
      </w:r>
      <w:r>
        <w:rPr>
          <w:sz w:val="20"/>
          <w:szCs w:val="20"/>
          <w:color w:val="auto"/>
        </w:rPr>
        <w:tab/>
      </w:r>
      <w:r>
        <w:rPr>
          <w:rFonts w:ascii="Arial" w:cs="Arial" w:eastAsia="Arial" w:hAnsi="Arial"/>
          <w:sz w:val="16"/>
          <w:szCs w:val="16"/>
          <w:color w:val="auto"/>
        </w:rPr>
        <w:t>Chief Compliance Officer</w:t>
      </w:r>
    </w:p>
    <w:p>
      <w:pPr>
        <w:sectPr>
          <w:pgSz w:w="11900" w:h="16838" w:orient="portrait"/>
          <w:cols w:equalWidth="0" w:num="1">
            <w:col w:w="9539"/>
          </w:cols>
          <w:pgMar w:left="920" w:top="34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960"/>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52705</wp:posOffset>
            </wp:positionV>
            <wp:extent cx="72466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539"/>
          </w:cols>
          <w:pgMar w:left="920" w:top="341" w:right="1440" w:bottom="1440" w:gutter="0" w:footer="0" w:header="0"/>
          <w:type w:val="continuous"/>
        </w:sectPr>
      </w:pPr>
    </w:p>
    <w:bookmarkStart w:id="19" w:name="page20"/>
    <w:bookmarkEnd w:id="19"/>
    <w:p>
      <w:pPr>
        <w:jc w:val="center"/>
        <w:ind w:right="3799"/>
        <w:spacing w:after="0"/>
        <w:rPr>
          <w:sz w:val="20"/>
          <w:szCs w:val="20"/>
          <w:color w:val="auto"/>
        </w:rPr>
      </w:pPr>
      <w:r>
        <w:rPr>
          <w:rFonts w:ascii="Arial" w:cs="Arial" w:eastAsia="Arial" w:hAnsi="Arial"/>
          <w:sz w:val="22"/>
          <w:szCs w:val="22"/>
          <w:color w:val="auto"/>
        </w:rPr>
        <w:t>SCHEDULE II</w:t>
      </w:r>
    </w:p>
    <w:p>
      <w:pPr>
        <w:jc w:val="center"/>
        <w:ind w:right="3759"/>
        <w:spacing w:after="0" w:line="238" w:lineRule="auto"/>
        <w:rPr>
          <w:sz w:val="20"/>
          <w:szCs w:val="20"/>
          <w:color w:val="auto"/>
        </w:rPr>
      </w:pPr>
      <w:r>
        <w:rPr>
          <w:rFonts w:ascii="Arial" w:cs="Arial" w:eastAsia="Arial" w:hAnsi="Arial"/>
          <w:sz w:val="22"/>
          <w:szCs w:val="22"/>
          <w:color w:val="auto"/>
        </w:rPr>
        <w:t>INFORMATION WITH RESPECT TO</w:t>
      </w:r>
    </w:p>
    <w:p>
      <w:pPr>
        <w:ind w:left="920" w:right="2939" w:hanging="3"/>
        <w:spacing w:after="0" w:line="241" w:lineRule="auto"/>
        <w:rPr>
          <w:sz w:val="20"/>
          <w:szCs w:val="20"/>
          <w:color w:val="auto"/>
        </w:rPr>
      </w:pPr>
      <w:r>
        <w:rPr>
          <w:rFonts w:ascii="Arial" w:cs="Arial" w:eastAsia="Arial" w:hAnsi="Arial"/>
          <w:sz w:val="21"/>
          <w:szCs w:val="21"/>
          <w:color w:val="auto"/>
        </w:rPr>
        <w:t>TRANSACTIONS EFFECTED DURING THE PAST SIXTY DAYS OR SINCE THE MOST RECENT FILING ON SCHEDULE 13D (1)</w:t>
      </w:r>
    </w:p>
    <w:tbl>
      <w:tblPr>
        <w:tblLayout w:type="fixed"/>
        <w:tblInd w:w="60" w:type="dxa"/>
        <w:tblCellMar>
          <w:top w:w="0" w:type="dxa"/>
          <w:left w:w="0" w:type="dxa"/>
          <w:bottom w:w="0" w:type="dxa"/>
          <w:right w:w="0" w:type="dxa"/>
        </w:tblCellMar>
      </w:tblPr>
      <w:tr>
        <w:trPr>
          <w:trHeight w:val="226"/>
        </w:trPr>
        <w:tc>
          <w:tcPr>
            <w:tcW w:w="4420" w:type="dxa"/>
            <w:vAlign w:val="bottom"/>
            <w:gridSpan w:val="3"/>
          </w:tcPr>
          <w:p>
            <w:pPr>
              <w:jc w:val="right"/>
              <w:ind w:right="312"/>
              <w:spacing w:after="0" w:line="226" w:lineRule="exact"/>
              <w:rPr>
                <w:sz w:val="20"/>
                <w:szCs w:val="20"/>
                <w:color w:val="auto"/>
              </w:rPr>
            </w:pPr>
            <w:r>
              <w:rPr>
                <w:rFonts w:ascii="Arial" w:cs="Arial" w:eastAsia="Arial" w:hAnsi="Arial"/>
                <w:sz w:val="22"/>
                <w:szCs w:val="22"/>
                <w:color w:val="auto"/>
              </w:rPr>
              <w:t>SHARES PURCHASED</w:t>
            </w:r>
          </w:p>
        </w:tc>
        <w:tc>
          <w:tcPr>
            <w:tcW w:w="1140" w:type="dxa"/>
            <w:vAlign w:val="bottom"/>
          </w:tcPr>
          <w:p>
            <w:pPr>
              <w:ind w:left="20"/>
              <w:spacing w:after="0" w:line="226" w:lineRule="exact"/>
              <w:rPr>
                <w:sz w:val="20"/>
                <w:szCs w:val="20"/>
                <w:color w:val="auto"/>
              </w:rPr>
            </w:pPr>
            <w:r>
              <w:rPr>
                <w:rFonts w:ascii="Arial" w:cs="Arial" w:eastAsia="Arial" w:hAnsi="Arial"/>
                <w:sz w:val="22"/>
                <w:szCs w:val="22"/>
                <w:color w:val="auto"/>
              </w:rPr>
              <w:t>AVERAGE</w:t>
            </w:r>
          </w:p>
        </w:tc>
      </w:tr>
      <w:tr>
        <w:trPr>
          <w:trHeight w:val="275"/>
        </w:trPr>
        <w:tc>
          <w:tcPr>
            <w:tcW w:w="2180" w:type="dxa"/>
            <w:vAlign w:val="bottom"/>
          </w:tcPr>
          <w:p>
            <w:pPr>
              <w:jc w:val="center"/>
              <w:ind w:left="752"/>
              <w:spacing w:after="0"/>
              <w:rPr>
                <w:sz w:val="20"/>
                <w:szCs w:val="20"/>
                <w:color w:val="auto"/>
              </w:rPr>
            </w:pPr>
            <w:r>
              <w:rPr>
                <w:rFonts w:ascii="Arial" w:cs="Arial" w:eastAsia="Arial" w:hAnsi="Arial"/>
                <w:sz w:val="22"/>
                <w:szCs w:val="22"/>
                <w:color w:val="auto"/>
                <w:w w:val="95"/>
              </w:rPr>
              <w:t>DATE</w:t>
            </w:r>
          </w:p>
        </w:tc>
        <w:tc>
          <w:tcPr>
            <w:tcW w:w="1240" w:type="dxa"/>
            <w:vAlign w:val="bottom"/>
          </w:tcPr>
          <w:p>
            <w:pPr>
              <w:jc w:val="center"/>
              <w:spacing w:after="0"/>
              <w:rPr>
                <w:sz w:val="20"/>
                <w:szCs w:val="20"/>
                <w:color w:val="auto"/>
              </w:rPr>
            </w:pPr>
            <w:r>
              <w:rPr>
                <w:rFonts w:ascii="Arial" w:cs="Arial" w:eastAsia="Arial" w:hAnsi="Arial"/>
                <w:sz w:val="22"/>
                <w:szCs w:val="22"/>
                <w:color w:val="auto"/>
                <w:w w:val="95"/>
              </w:rPr>
              <w:t>SOLD(-)</w:t>
            </w:r>
          </w:p>
        </w:tc>
        <w:tc>
          <w:tcPr>
            <w:tcW w:w="2140" w:type="dxa"/>
            <w:vAlign w:val="bottom"/>
            <w:gridSpan w:val="2"/>
          </w:tcPr>
          <w:p>
            <w:pPr>
              <w:ind w:left="500"/>
              <w:spacing w:after="0"/>
              <w:rPr>
                <w:sz w:val="20"/>
                <w:szCs w:val="20"/>
                <w:color w:val="auto"/>
              </w:rPr>
            </w:pPr>
            <w:r>
              <w:rPr>
                <w:rFonts w:ascii="Arial" w:cs="Arial" w:eastAsia="Arial" w:hAnsi="Arial"/>
                <w:sz w:val="22"/>
                <w:szCs w:val="22"/>
                <w:color w:val="auto"/>
              </w:rPr>
              <w:t>PRICE(2)</w:t>
            </w:r>
          </w:p>
        </w:tc>
      </w:tr>
      <w:tr>
        <w:trPr>
          <w:trHeight w:val="486"/>
        </w:trPr>
        <w:tc>
          <w:tcPr>
            <w:tcW w:w="5560" w:type="dxa"/>
            <w:vAlign w:val="bottom"/>
            <w:gridSpan w:val="4"/>
          </w:tcPr>
          <w:p>
            <w:pPr>
              <w:spacing w:after="0"/>
              <w:rPr>
                <w:sz w:val="20"/>
                <w:szCs w:val="20"/>
                <w:color w:val="auto"/>
              </w:rPr>
            </w:pPr>
            <w:r>
              <w:rPr>
                <w:rFonts w:ascii="Arial" w:cs="Arial" w:eastAsia="Arial" w:hAnsi="Arial"/>
                <w:sz w:val="22"/>
                <w:szCs w:val="22"/>
                <w:color w:val="auto"/>
                <w:w w:val="94"/>
              </w:rPr>
              <w:t>COMMON STOCK-OIL DRI CORPORATION OF AMERICA</w:t>
            </w:r>
          </w:p>
        </w:tc>
      </w:tr>
      <w:tr>
        <w:trPr>
          <w:trHeight w:val="698"/>
        </w:trPr>
        <w:tc>
          <w:tcPr>
            <w:tcW w:w="4420" w:type="dxa"/>
            <w:vAlign w:val="bottom"/>
            <w:gridSpan w:val="3"/>
          </w:tcPr>
          <w:p>
            <w:pPr>
              <w:jc w:val="right"/>
              <w:ind w:right="272"/>
              <w:spacing w:after="0"/>
              <w:rPr>
                <w:sz w:val="20"/>
                <w:szCs w:val="20"/>
                <w:color w:val="auto"/>
              </w:rPr>
            </w:pPr>
            <w:r>
              <w:rPr>
                <w:rFonts w:ascii="Arial" w:cs="Arial" w:eastAsia="Arial" w:hAnsi="Arial"/>
                <w:sz w:val="22"/>
                <w:szCs w:val="22"/>
                <w:color w:val="auto"/>
              </w:rPr>
              <w:t>GAMCO ASSET MANAGEMENT INC.</w:t>
            </w:r>
          </w:p>
        </w:tc>
        <w:tc>
          <w:tcPr>
            <w:tcW w:w="1140" w:type="dxa"/>
            <w:vAlign w:val="bottom"/>
          </w:tcPr>
          <w:p>
            <w:pPr>
              <w:spacing w:after="0"/>
              <w:rPr>
                <w:sz w:val="24"/>
                <w:szCs w:val="24"/>
                <w:color w:val="auto"/>
              </w:rPr>
            </w:pPr>
          </w:p>
        </w:tc>
      </w:tr>
      <w:tr>
        <w:trPr>
          <w:trHeight w:val="243"/>
        </w:trPr>
        <w:tc>
          <w:tcPr>
            <w:tcW w:w="2180" w:type="dxa"/>
            <w:vAlign w:val="bottom"/>
          </w:tcPr>
          <w:p>
            <w:pPr>
              <w:jc w:val="center"/>
              <w:ind w:left="732"/>
              <w:spacing w:after="0" w:line="243" w:lineRule="exact"/>
              <w:rPr>
                <w:sz w:val="20"/>
                <w:szCs w:val="20"/>
                <w:color w:val="auto"/>
              </w:rPr>
            </w:pPr>
            <w:r>
              <w:rPr>
                <w:rFonts w:ascii="Arial" w:cs="Arial" w:eastAsia="Arial" w:hAnsi="Arial"/>
                <w:sz w:val="22"/>
                <w:szCs w:val="22"/>
                <w:color w:val="auto"/>
                <w:w w:val="86"/>
              </w:rPr>
              <w:t>11/11/19</w:t>
            </w:r>
          </w:p>
        </w:tc>
        <w:tc>
          <w:tcPr>
            <w:tcW w:w="1240" w:type="dxa"/>
            <w:vAlign w:val="bottom"/>
          </w:tcPr>
          <w:p>
            <w:pPr>
              <w:jc w:val="center"/>
              <w:spacing w:after="0" w:line="243" w:lineRule="exact"/>
              <w:rPr>
                <w:sz w:val="20"/>
                <w:szCs w:val="20"/>
                <w:color w:val="auto"/>
              </w:rPr>
            </w:pPr>
            <w:r>
              <w:rPr>
                <w:rFonts w:ascii="Arial" w:cs="Arial" w:eastAsia="Arial" w:hAnsi="Arial"/>
                <w:sz w:val="22"/>
                <w:szCs w:val="22"/>
                <w:color w:val="auto"/>
                <w:w w:val="90"/>
              </w:rPr>
              <w:t>200-</w:t>
            </w:r>
          </w:p>
        </w:tc>
        <w:tc>
          <w:tcPr>
            <w:tcW w:w="1000" w:type="dxa"/>
            <w:vAlign w:val="bottom"/>
          </w:tcPr>
          <w:p>
            <w:pPr>
              <w:jc w:val="right"/>
              <w:spacing w:after="0" w:line="243" w:lineRule="exact"/>
              <w:rPr>
                <w:sz w:val="20"/>
                <w:szCs w:val="20"/>
                <w:color w:val="auto"/>
              </w:rPr>
            </w:pPr>
            <w:r>
              <w:rPr>
                <w:rFonts w:ascii="Arial" w:cs="Arial" w:eastAsia="Arial" w:hAnsi="Arial"/>
                <w:sz w:val="22"/>
                <w:szCs w:val="22"/>
                <w:color w:val="auto"/>
              </w:rPr>
              <w:t>36.8950</w:t>
            </w:r>
          </w:p>
        </w:tc>
        <w:tc>
          <w:tcPr>
            <w:tcW w:w="1140" w:type="dxa"/>
            <w:vAlign w:val="bottom"/>
          </w:tcPr>
          <w:p>
            <w:pPr>
              <w:spacing w:after="0"/>
              <w:rPr>
                <w:sz w:val="21"/>
                <w:szCs w:val="21"/>
                <w:color w:val="auto"/>
              </w:rPr>
            </w:pPr>
          </w:p>
        </w:tc>
      </w:tr>
      <w:tr>
        <w:trPr>
          <w:trHeight w:val="243"/>
        </w:trPr>
        <w:tc>
          <w:tcPr>
            <w:tcW w:w="2180" w:type="dxa"/>
            <w:vAlign w:val="bottom"/>
          </w:tcPr>
          <w:p>
            <w:pPr>
              <w:jc w:val="center"/>
              <w:ind w:left="752"/>
              <w:spacing w:after="0" w:line="243" w:lineRule="exact"/>
              <w:rPr>
                <w:sz w:val="20"/>
                <w:szCs w:val="20"/>
                <w:color w:val="auto"/>
              </w:rPr>
            </w:pPr>
            <w:r>
              <w:rPr>
                <w:rFonts w:ascii="Arial" w:cs="Arial" w:eastAsia="Arial" w:hAnsi="Arial"/>
                <w:sz w:val="22"/>
                <w:szCs w:val="22"/>
                <w:color w:val="auto"/>
                <w:w w:val="88"/>
              </w:rPr>
              <w:t>11/08/19</w:t>
            </w:r>
          </w:p>
        </w:tc>
        <w:tc>
          <w:tcPr>
            <w:tcW w:w="1240" w:type="dxa"/>
            <w:vAlign w:val="bottom"/>
          </w:tcPr>
          <w:p>
            <w:pPr>
              <w:jc w:val="center"/>
              <w:spacing w:after="0" w:line="243" w:lineRule="exact"/>
              <w:rPr>
                <w:sz w:val="20"/>
                <w:szCs w:val="20"/>
                <w:color w:val="auto"/>
              </w:rPr>
            </w:pPr>
            <w:r>
              <w:rPr>
                <w:rFonts w:ascii="Arial" w:cs="Arial" w:eastAsia="Arial" w:hAnsi="Arial"/>
                <w:sz w:val="22"/>
                <w:szCs w:val="22"/>
                <w:color w:val="auto"/>
                <w:w w:val="86"/>
              </w:rPr>
              <w:t>300-</w:t>
            </w:r>
          </w:p>
        </w:tc>
        <w:tc>
          <w:tcPr>
            <w:tcW w:w="1000" w:type="dxa"/>
            <w:vAlign w:val="bottom"/>
          </w:tcPr>
          <w:p>
            <w:pPr>
              <w:jc w:val="right"/>
              <w:spacing w:after="0" w:line="243" w:lineRule="exact"/>
              <w:rPr>
                <w:sz w:val="20"/>
                <w:szCs w:val="20"/>
                <w:color w:val="auto"/>
              </w:rPr>
            </w:pPr>
            <w:r>
              <w:rPr>
                <w:rFonts w:ascii="Arial" w:cs="Arial" w:eastAsia="Arial" w:hAnsi="Arial"/>
                <w:sz w:val="22"/>
                <w:szCs w:val="22"/>
                <w:color w:val="auto"/>
              </w:rPr>
              <w:t>37.3113</w:t>
            </w:r>
          </w:p>
        </w:tc>
        <w:tc>
          <w:tcPr>
            <w:tcW w:w="1140" w:type="dxa"/>
            <w:vAlign w:val="bottom"/>
          </w:tcPr>
          <w:p>
            <w:pPr>
              <w:spacing w:after="0"/>
              <w:rPr>
                <w:sz w:val="21"/>
                <w:szCs w:val="21"/>
                <w:color w:val="auto"/>
              </w:rPr>
            </w:pPr>
          </w:p>
        </w:tc>
      </w:tr>
      <w:tr>
        <w:trPr>
          <w:trHeight w:val="243"/>
        </w:trPr>
        <w:tc>
          <w:tcPr>
            <w:tcW w:w="2180" w:type="dxa"/>
            <w:vAlign w:val="bottom"/>
          </w:tcPr>
          <w:p>
            <w:pPr>
              <w:jc w:val="center"/>
              <w:ind w:left="752"/>
              <w:spacing w:after="0" w:line="243" w:lineRule="exact"/>
              <w:rPr>
                <w:sz w:val="20"/>
                <w:szCs w:val="20"/>
                <w:color w:val="auto"/>
              </w:rPr>
            </w:pPr>
            <w:r>
              <w:rPr>
                <w:rFonts w:ascii="Arial" w:cs="Arial" w:eastAsia="Arial" w:hAnsi="Arial"/>
                <w:sz w:val="22"/>
                <w:szCs w:val="22"/>
                <w:color w:val="auto"/>
                <w:w w:val="88"/>
              </w:rPr>
              <w:t>10/31/19</w:t>
            </w:r>
          </w:p>
        </w:tc>
        <w:tc>
          <w:tcPr>
            <w:tcW w:w="1240" w:type="dxa"/>
            <w:vAlign w:val="bottom"/>
          </w:tcPr>
          <w:p>
            <w:pPr>
              <w:jc w:val="center"/>
              <w:ind w:left="12"/>
              <w:spacing w:after="0" w:line="243" w:lineRule="exact"/>
              <w:rPr>
                <w:sz w:val="20"/>
                <w:szCs w:val="20"/>
                <w:color w:val="auto"/>
              </w:rPr>
            </w:pPr>
            <w:r>
              <w:rPr>
                <w:rFonts w:ascii="Arial" w:cs="Arial" w:eastAsia="Arial" w:hAnsi="Arial"/>
                <w:sz w:val="22"/>
                <w:szCs w:val="22"/>
                <w:color w:val="auto"/>
                <w:w w:val="90"/>
              </w:rPr>
              <w:t>300-</w:t>
            </w:r>
          </w:p>
        </w:tc>
        <w:tc>
          <w:tcPr>
            <w:tcW w:w="1000" w:type="dxa"/>
            <w:vAlign w:val="bottom"/>
          </w:tcPr>
          <w:p>
            <w:pPr>
              <w:jc w:val="center"/>
              <w:spacing w:after="0" w:line="243" w:lineRule="exact"/>
              <w:rPr>
                <w:sz w:val="20"/>
                <w:szCs w:val="20"/>
                <w:color w:val="auto"/>
              </w:rPr>
            </w:pPr>
            <w:r>
              <w:rPr>
                <w:rFonts w:ascii="Arial" w:cs="Arial" w:eastAsia="Arial" w:hAnsi="Arial"/>
                <w:sz w:val="22"/>
                <w:szCs w:val="22"/>
                <w:color w:val="auto"/>
              </w:rPr>
              <w:t>*DO</w:t>
            </w:r>
          </w:p>
        </w:tc>
        <w:tc>
          <w:tcPr>
            <w:tcW w:w="1140" w:type="dxa"/>
            <w:vAlign w:val="bottom"/>
          </w:tcPr>
          <w:p>
            <w:pPr>
              <w:spacing w:after="0"/>
              <w:rPr>
                <w:sz w:val="21"/>
                <w:szCs w:val="21"/>
                <w:color w:val="auto"/>
              </w:rPr>
            </w:pPr>
          </w:p>
        </w:tc>
      </w:tr>
      <w:tr>
        <w:trPr>
          <w:trHeight w:val="243"/>
        </w:trPr>
        <w:tc>
          <w:tcPr>
            <w:tcW w:w="2180" w:type="dxa"/>
            <w:vAlign w:val="bottom"/>
          </w:tcPr>
          <w:p>
            <w:pPr>
              <w:jc w:val="center"/>
              <w:ind w:left="752"/>
              <w:spacing w:after="0" w:line="243" w:lineRule="exact"/>
              <w:rPr>
                <w:sz w:val="20"/>
                <w:szCs w:val="20"/>
                <w:color w:val="auto"/>
              </w:rPr>
            </w:pPr>
            <w:r>
              <w:rPr>
                <w:rFonts w:ascii="Arial" w:cs="Arial" w:eastAsia="Arial" w:hAnsi="Arial"/>
                <w:sz w:val="22"/>
                <w:szCs w:val="22"/>
                <w:color w:val="auto"/>
                <w:w w:val="88"/>
              </w:rPr>
              <w:t>10/24/19</w:t>
            </w:r>
          </w:p>
        </w:tc>
        <w:tc>
          <w:tcPr>
            <w:tcW w:w="1240" w:type="dxa"/>
            <w:vAlign w:val="bottom"/>
          </w:tcPr>
          <w:p>
            <w:pPr>
              <w:jc w:val="center"/>
              <w:ind w:left="12"/>
              <w:spacing w:after="0" w:line="243" w:lineRule="exact"/>
              <w:rPr>
                <w:sz w:val="20"/>
                <w:szCs w:val="20"/>
                <w:color w:val="auto"/>
              </w:rPr>
            </w:pPr>
            <w:r>
              <w:rPr>
                <w:rFonts w:ascii="Arial" w:cs="Arial" w:eastAsia="Arial" w:hAnsi="Arial"/>
                <w:sz w:val="22"/>
                <w:szCs w:val="22"/>
                <w:color w:val="auto"/>
                <w:w w:val="90"/>
              </w:rPr>
              <w:t>400-</w:t>
            </w:r>
          </w:p>
        </w:tc>
        <w:tc>
          <w:tcPr>
            <w:tcW w:w="1000" w:type="dxa"/>
            <w:vAlign w:val="bottom"/>
          </w:tcPr>
          <w:p>
            <w:pPr>
              <w:jc w:val="center"/>
              <w:ind w:left="72"/>
              <w:spacing w:after="0" w:line="243" w:lineRule="exact"/>
              <w:rPr>
                <w:sz w:val="20"/>
                <w:szCs w:val="20"/>
                <w:color w:val="auto"/>
              </w:rPr>
            </w:pPr>
            <w:r>
              <w:rPr>
                <w:rFonts w:ascii="Arial" w:cs="Arial" w:eastAsia="Arial" w:hAnsi="Arial"/>
                <w:sz w:val="22"/>
                <w:szCs w:val="22"/>
                <w:color w:val="auto"/>
                <w:w w:val="87"/>
              </w:rPr>
              <w:t>32.7300</w:t>
            </w:r>
          </w:p>
        </w:tc>
        <w:tc>
          <w:tcPr>
            <w:tcW w:w="1140" w:type="dxa"/>
            <w:vAlign w:val="bottom"/>
          </w:tcPr>
          <w:p>
            <w:pPr>
              <w:spacing w:after="0"/>
              <w:rPr>
                <w:sz w:val="21"/>
                <w:szCs w:val="21"/>
                <w:color w:val="auto"/>
              </w:rPr>
            </w:pPr>
          </w:p>
        </w:tc>
      </w:tr>
      <w:tr>
        <w:trPr>
          <w:trHeight w:val="243"/>
        </w:trPr>
        <w:tc>
          <w:tcPr>
            <w:tcW w:w="2180" w:type="dxa"/>
            <w:vAlign w:val="bottom"/>
          </w:tcPr>
          <w:p>
            <w:pPr>
              <w:jc w:val="center"/>
              <w:ind w:left="752"/>
              <w:spacing w:after="0" w:line="243" w:lineRule="exact"/>
              <w:rPr>
                <w:sz w:val="20"/>
                <w:szCs w:val="20"/>
                <w:color w:val="auto"/>
              </w:rPr>
            </w:pPr>
            <w:r>
              <w:rPr>
                <w:rFonts w:ascii="Arial" w:cs="Arial" w:eastAsia="Arial" w:hAnsi="Arial"/>
                <w:sz w:val="22"/>
                <w:szCs w:val="22"/>
                <w:color w:val="auto"/>
                <w:w w:val="88"/>
              </w:rPr>
              <w:t>10/23/19</w:t>
            </w:r>
          </w:p>
        </w:tc>
        <w:tc>
          <w:tcPr>
            <w:tcW w:w="1240" w:type="dxa"/>
            <w:vAlign w:val="bottom"/>
          </w:tcPr>
          <w:p>
            <w:pPr>
              <w:jc w:val="center"/>
              <w:ind w:left="12"/>
              <w:spacing w:after="0" w:line="243" w:lineRule="exact"/>
              <w:rPr>
                <w:sz w:val="20"/>
                <w:szCs w:val="20"/>
                <w:color w:val="auto"/>
              </w:rPr>
            </w:pPr>
            <w:r>
              <w:rPr>
                <w:rFonts w:ascii="Arial" w:cs="Arial" w:eastAsia="Arial" w:hAnsi="Arial"/>
                <w:sz w:val="22"/>
                <w:szCs w:val="22"/>
                <w:color w:val="auto"/>
                <w:w w:val="90"/>
              </w:rPr>
              <w:t>500-</w:t>
            </w:r>
          </w:p>
        </w:tc>
        <w:tc>
          <w:tcPr>
            <w:tcW w:w="1000" w:type="dxa"/>
            <w:vAlign w:val="bottom"/>
          </w:tcPr>
          <w:p>
            <w:pPr>
              <w:jc w:val="center"/>
              <w:spacing w:after="0" w:line="243" w:lineRule="exact"/>
              <w:rPr>
                <w:sz w:val="20"/>
                <w:szCs w:val="20"/>
                <w:color w:val="auto"/>
              </w:rPr>
            </w:pPr>
            <w:r>
              <w:rPr>
                <w:rFonts w:ascii="Arial" w:cs="Arial" w:eastAsia="Arial" w:hAnsi="Arial"/>
                <w:sz w:val="22"/>
                <w:szCs w:val="22"/>
                <w:color w:val="auto"/>
              </w:rPr>
              <w:t>*DO</w:t>
            </w:r>
          </w:p>
        </w:tc>
        <w:tc>
          <w:tcPr>
            <w:tcW w:w="1140" w:type="dxa"/>
            <w:vAlign w:val="bottom"/>
          </w:tcPr>
          <w:p>
            <w:pPr>
              <w:spacing w:after="0"/>
              <w:rPr>
                <w:sz w:val="21"/>
                <w:szCs w:val="21"/>
                <w:color w:val="auto"/>
              </w:rPr>
            </w:pPr>
          </w:p>
        </w:tc>
      </w:tr>
      <w:tr>
        <w:trPr>
          <w:trHeight w:val="243"/>
        </w:trPr>
        <w:tc>
          <w:tcPr>
            <w:tcW w:w="2180" w:type="dxa"/>
            <w:vAlign w:val="bottom"/>
          </w:tcPr>
          <w:p>
            <w:pPr>
              <w:jc w:val="center"/>
              <w:ind w:left="752"/>
              <w:spacing w:after="0" w:line="243" w:lineRule="exact"/>
              <w:rPr>
                <w:sz w:val="20"/>
                <w:szCs w:val="20"/>
                <w:color w:val="auto"/>
              </w:rPr>
            </w:pPr>
            <w:r>
              <w:rPr>
                <w:rFonts w:ascii="Arial" w:cs="Arial" w:eastAsia="Arial" w:hAnsi="Arial"/>
                <w:sz w:val="22"/>
                <w:szCs w:val="22"/>
                <w:color w:val="auto"/>
                <w:w w:val="88"/>
              </w:rPr>
              <w:t>10/21/19</w:t>
            </w:r>
          </w:p>
        </w:tc>
        <w:tc>
          <w:tcPr>
            <w:tcW w:w="1240" w:type="dxa"/>
            <w:vAlign w:val="bottom"/>
          </w:tcPr>
          <w:p>
            <w:pPr>
              <w:jc w:val="center"/>
              <w:ind w:left="12"/>
              <w:spacing w:after="0" w:line="243" w:lineRule="exact"/>
              <w:rPr>
                <w:sz w:val="20"/>
                <w:szCs w:val="20"/>
                <w:color w:val="auto"/>
              </w:rPr>
            </w:pPr>
            <w:r>
              <w:rPr>
                <w:rFonts w:ascii="Arial" w:cs="Arial" w:eastAsia="Arial" w:hAnsi="Arial"/>
                <w:sz w:val="22"/>
                <w:szCs w:val="22"/>
                <w:color w:val="auto"/>
                <w:w w:val="90"/>
              </w:rPr>
              <w:t>400-</w:t>
            </w:r>
          </w:p>
        </w:tc>
        <w:tc>
          <w:tcPr>
            <w:tcW w:w="1000" w:type="dxa"/>
            <w:vAlign w:val="bottom"/>
          </w:tcPr>
          <w:p>
            <w:pPr>
              <w:jc w:val="center"/>
              <w:ind w:left="72"/>
              <w:spacing w:after="0" w:line="243" w:lineRule="exact"/>
              <w:rPr>
                <w:sz w:val="20"/>
                <w:szCs w:val="20"/>
                <w:color w:val="auto"/>
              </w:rPr>
            </w:pPr>
            <w:r>
              <w:rPr>
                <w:rFonts w:ascii="Arial" w:cs="Arial" w:eastAsia="Arial" w:hAnsi="Arial"/>
                <w:sz w:val="22"/>
                <w:szCs w:val="22"/>
                <w:color w:val="auto"/>
                <w:w w:val="87"/>
              </w:rPr>
              <w:t>34.0000</w:t>
            </w:r>
          </w:p>
        </w:tc>
        <w:tc>
          <w:tcPr>
            <w:tcW w:w="1140" w:type="dxa"/>
            <w:vAlign w:val="bottom"/>
          </w:tcPr>
          <w:p>
            <w:pPr>
              <w:spacing w:after="0"/>
              <w:rPr>
                <w:sz w:val="21"/>
                <w:szCs w:val="21"/>
                <w:color w:val="auto"/>
              </w:rPr>
            </w:pPr>
          </w:p>
        </w:tc>
      </w:tr>
      <w:tr>
        <w:trPr>
          <w:trHeight w:val="243"/>
        </w:trPr>
        <w:tc>
          <w:tcPr>
            <w:tcW w:w="2180" w:type="dxa"/>
            <w:vAlign w:val="bottom"/>
          </w:tcPr>
          <w:p>
            <w:pPr>
              <w:jc w:val="center"/>
              <w:ind w:left="752"/>
              <w:spacing w:after="0" w:line="243" w:lineRule="exact"/>
              <w:rPr>
                <w:sz w:val="20"/>
                <w:szCs w:val="20"/>
                <w:color w:val="auto"/>
              </w:rPr>
            </w:pPr>
            <w:r>
              <w:rPr>
                <w:rFonts w:ascii="Arial" w:cs="Arial" w:eastAsia="Arial" w:hAnsi="Arial"/>
                <w:sz w:val="22"/>
                <w:szCs w:val="22"/>
                <w:color w:val="auto"/>
                <w:w w:val="88"/>
              </w:rPr>
              <w:t>10/15/19</w:t>
            </w:r>
          </w:p>
        </w:tc>
        <w:tc>
          <w:tcPr>
            <w:tcW w:w="1240" w:type="dxa"/>
            <w:vAlign w:val="bottom"/>
          </w:tcPr>
          <w:p>
            <w:pPr>
              <w:jc w:val="center"/>
              <w:ind w:left="12"/>
              <w:spacing w:after="0" w:line="243" w:lineRule="exact"/>
              <w:rPr>
                <w:sz w:val="20"/>
                <w:szCs w:val="20"/>
                <w:color w:val="auto"/>
              </w:rPr>
            </w:pPr>
            <w:r>
              <w:rPr>
                <w:rFonts w:ascii="Arial" w:cs="Arial" w:eastAsia="Arial" w:hAnsi="Arial"/>
                <w:sz w:val="22"/>
                <w:szCs w:val="22"/>
                <w:color w:val="auto"/>
                <w:w w:val="90"/>
              </w:rPr>
              <w:t>200-</w:t>
            </w:r>
          </w:p>
        </w:tc>
        <w:tc>
          <w:tcPr>
            <w:tcW w:w="1000" w:type="dxa"/>
            <w:vAlign w:val="bottom"/>
          </w:tcPr>
          <w:p>
            <w:pPr>
              <w:jc w:val="center"/>
              <w:ind w:left="72"/>
              <w:spacing w:after="0" w:line="243" w:lineRule="exact"/>
              <w:rPr>
                <w:sz w:val="20"/>
                <w:szCs w:val="20"/>
                <w:color w:val="auto"/>
              </w:rPr>
            </w:pPr>
            <w:r>
              <w:rPr>
                <w:rFonts w:ascii="Arial" w:cs="Arial" w:eastAsia="Arial" w:hAnsi="Arial"/>
                <w:sz w:val="22"/>
                <w:szCs w:val="22"/>
                <w:color w:val="auto"/>
                <w:w w:val="87"/>
              </w:rPr>
              <w:t>33.0500</w:t>
            </w:r>
          </w:p>
        </w:tc>
        <w:tc>
          <w:tcPr>
            <w:tcW w:w="1140" w:type="dxa"/>
            <w:vAlign w:val="bottom"/>
          </w:tcPr>
          <w:p>
            <w:pPr>
              <w:spacing w:after="0"/>
              <w:rPr>
                <w:sz w:val="21"/>
                <w:szCs w:val="21"/>
                <w:color w:val="auto"/>
              </w:rPr>
            </w:pPr>
          </w:p>
        </w:tc>
      </w:tr>
      <w:tr>
        <w:trPr>
          <w:trHeight w:val="243"/>
        </w:trPr>
        <w:tc>
          <w:tcPr>
            <w:tcW w:w="2180" w:type="dxa"/>
            <w:vAlign w:val="bottom"/>
          </w:tcPr>
          <w:p>
            <w:pPr>
              <w:jc w:val="center"/>
              <w:ind w:left="752"/>
              <w:spacing w:after="0" w:line="243" w:lineRule="exact"/>
              <w:rPr>
                <w:sz w:val="20"/>
                <w:szCs w:val="20"/>
                <w:color w:val="auto"/>
              </w:rPr>
            </w:pPr>
            <w:r>
              <w:rPr>
                <w:rFonts w:ascii="Arial" w:cs="Arial" w:eastAsia="Arial" w:hAnsi="Arial"/>
                <w:sz w:val="22"/>
                <w:szCs w:val="22"/>
                <w:color w:val="auto"/>
                <w:w w:val="88"/>
              </w:rPr>
              <w:t>10/08/19</w:t>
            </w:r>
          </w:p>
        </w:tc>
        <w:tc>
          <w:tcPr>
            <w:tcW w:w="1240" w:type="dxa"/>
            <w:vAlign w:val="bottom"/>
          </w:tcPr>
          <w:p>
            <w:pPr>
              <w:jc w:val="center"/>
              <w:ind w:left="12"/>
              <w:spacing w:after="0" w:line="243" w:lineRule="exact"/>
              <w:rPr>
                <w:sz w:val="20"/>
                <w:szCs w:val="20"/>
                <w:color w:val="auto"/>
              </w:rPr>
            </w:pPr>
            <w:r>
              <w:rPr>
                <w:rFonts w:ascii="Arial" w:cs="Arial" w:eastAsia="Arial" w:hAnsi="Arial"/>
                <w:sz w:val="22"/>
                <w:szCs w:val="22"/>
                <w:color w:val="auto"/>
                <w:w w:val="90"/>
              </w:rPr>
              <w:t>300-</w:t>
            </w:r>
          </w:p>
        </w:tc>
        <w:tc>
          <w:tcPr>
            <w:tcW w:w="1000" w:type="dxa"/>
            <w:vAlign w:val="bottom"/>
          </w:tcPr>
          <w:p>
            <w:pPr>
              <w:jc w:val="center"/>
              <w:ind w:left="72"/>
              <w:spacing w:after="0" w:line="243" w:lineRule="exact"/>
              <w:rPr>
                <w:sz w:val="20"/>
                <w:szCs w:val="20"/>
                <w:color w:val="auto"/>
              </w:rPr>
            </w:pPr>
            <w:r>
              <w:rPr>
                <w:rFonts w:ascii="Arial" w:cs="Arial" w:eastAsia="Arial" w:hAnsi="Arial"/>
                <w:sz w:val="22"/>
                <w:szCs w:val="22"/>
                <w:color w:val="auto"/>
                <w:w w:val="87"/>
              </w:rPr>
              <w:t>31.3133</w:t>
            </w:r>
          </w:p>
        </w:tc>
        <w:tc>
          <w:tcPr>
            <w:tcW w:w="1140" w:type="dxa"/>
            <w:vAlign w:val="bottom"/>
          </w:tcPr>
          <w:p>
            <w:pPr>
              <w:spacing w:after="0"/>
              <w:rPr>
                <w:sz w:val="21"/>
                <w:szCs w:val="21"/>
                <w:color w:val="auto"/>
              </w:rPr>
            </w:pPr>
          </w:p>
        </w:tc>
      </w:tr>
      <w:tr>
        <w:trPr>
          <w:trHeight w:val="243"/>
        </w:trPr>
        <w:tc>
          <w:tcPr>
            <w:tcW w:w="2180" w:type="dxa"/>
            <w:vAlign w:val="bottom"/>
          </w:tcPr>
          <w:p>
            <w:pPr>
              <w:jc w:val="center"/>
              <w:ind w:left="752"/>
              <w:spacing w:after="0" w:line="243" w:lineRule="exact"/>
              <w:rPr>
                <w:sz w:val="20"/>
                <w:szCs w:val="20"/>
                <w:color w:val="auto"/>
              </w:rPr>
            </w:pPr>
            <w:r>
              <w:rPr>
                <w:rFonts w:ascii="Arial" w:cs="Arial" w:eastAsia="Arial" w:hAnsi="Arial"/>
                <w:sz w:val="22"/>
                <w:szCs w:val="22"/>
                <w:color w:val="auto"/>
                <w:w w:val="88"/>
              </w:rPr>
              <w:t>10/07/19</w:t>
            </w:r>
          </w:p>
        </w:tc>
        <w:tc>
          <w:tcPr>
            <w:tcW w:w="1240" w:type="dxa"/>
            <w:vAlign w:val="bottom"/>
          </w:tcPr>
          <w:p>
            <w:pPr>
              <w:jc w:val="center"/>
              <w:ind w:left="12"/>
              <w:spacing w:after="0" w:line="243" w:lineRule="exact"/>
              <w:rPr>
                <w:sz w:val="20"/>
                <w:szCs w:val="20"/>
                <w:color w:val="auto"/>
              </w:rPr>
            </w:pPr>
            <w:r>
              <w:rPr>
                <w:rFonts w:ascii="Arial" w:cs="Arial" w:eastAsia="Arial" w:hAnsi="Arial"/>
                <w:sz w:val="22"/>
                <w:szCs w:val="22"/>
                <w:color w:val="auto"/>
                <w:w w:val="90"/>
              </w:rPr>
              <w:t>600-</w:t>
            </w:r>
          </w:p>
        </w:tc>
        <w:tc>
          <w:tcPr>
            <w:tcW w:w="1000" w:type="dxa"/>
            <w:vAlign w:val="bottom"/>
          </w:tcPr>
          <w:p>
            <w:pPr>
              <w:jc w:val="center"/>
              <w:ind w:left="72"/>
              <w:spacing w:after="0" w:line="243" w:lineRule="exact"/>
              <w:rPr>
                <w:sz w:val="20"/>
                <w:szCs w:val="20"/>
                <w:color w:val="auto"/>
              </w:rPr>
            </w:pPr>
            <w:r>
              <w:rPr>
                <w:rFonts w:ascii="Arial" w:cs="Arial" w:eastAsia="Arial" w:hAnsi="Arial"/>
                <w:sz w:val="22"/>
                <w:szCs w:val="22"/>
                <w:color w:val="auto"/>
                <w:w w:val="87"/>
              </w:rPr>
              <w:t>31.4217</w:t>
            </w:r>
          </w:p>
        </w:tc>
        <w:tc>
          <w:tcPr>
            <w:tcW w:w="1140" w:type="dxa"/>
            <w:vAlign w:val="bottom"/>
          </w:tcPr>
          <w:p>
            <w:pPr>
              <w:spacing w:after="0"/>
              <w:rPr>
                <w:sz w:val="21"/>
                <w:szCs w:val="21"/>
                <w:color w:val="auto"/>
              </w:rPr>
            </w:pPr>
          </w:p>
        </w:tc>
      </w:tr>
      <w:tr>
        <w:trPr>
          <w:trHeight w:val="243"/>
        </w:trPr>
        <w:tc>
          <w:tcPr>
            <w:tcW w:w="2180" w:type="dxa"/>
            <w:vAlign w:val="bottom"/>
          </w:tcPr>
          <w:p>
            <w:pPr>
              <w:jc w:val="center"/>
              <w:ind w:left="772"/>
              <w:spacing w:after="0" w:line="243" w:lineRule="exact"/>
              <w:rPr>
                <w:sz w:val="20"/>
                <w:szCs w:val="20"/>
                <w:color w:val="auto"/>
              </w:rPr>
            </w:pPr>
            <w:r>
              <w:rPr>
                <w:rFonts w:ascii="Arial" w:cs="Arial" w:eastAsia="Arial" w:hAnsi="Arial"/>
                <w:sz w:val="22"/>
                <w:szCs w:val="22"/>
                <w:color w:val="auto"/>
                <w:w w:val="89"/>
              </w:rPr>
              <w:t>9/30/19</w:t>
            </w:r>
          </w:p>
        </w:tc>
        <w:tc>
          <w:tcPr>
            <w:tcW w:w="1240" w:type="dxa"/>
            <w:vAlign w:val="bottom"/>
          </w:tcPr>
          <w:p>
            <w:pPr>
              <w:jc w:val="center"/>
              <w:spacing w:after="0" w:line="243" w:lineRule="exact"/>
              <w:rPr>
                <w:sz w:val="20"/>
                <w:szCs w:val="20"/>
                <w:color w:val="auto"/>
              </w:rPr>
            </w:pPr>
            <w:r>
              <w:rPr>
                <w:rFonts w:ascii="Arial" w:cs="Arial" w:eastAsia="Arial" w:hAnsi="Arial"/>
                <w:sz w:val="22"/>
                <w:szCs w:val="22"/>
                <w:color w:val="auto"/>
                <w:w w:val="90"/>
              </w:rPr>
              <w:t>500-</w:t>
            </w:r>
          </w:p>
        </w:tc>
        <w:tc>
          <w:tcPr>
            <w:tcW w:w="1000" w:type="dxa"/>
            <w:vAlign w:val="bottom"/>
          </w:tcPr>
          <w:p>
            <w:pPr>
              <w:jc w:val="center"/>
              <w:spacing w:after="0" w:line="243" w:lineRule="exact"/>
              <w:rPr>
                <w:sz w:val="20"/>
                <w:szCs w:val="20"/>
                <w:color w:val="auto"/>
              </w:rPr>
            </w:pPr>
            <w:r>
              <w:rPr>
                <w:rFonts w:ascii="Arial" w:cs="Arial" w:eastAsia="Arial" w:hAnsi="Arial"/>
                <w:sz w:val="22"/>
                <w:szCs w:val="22"/>
                <w:color w:val="auto"/>
                <w:w w:val="87"/>
              </w:rPr>
              <w:t>33.6168</w:t>
            </w:r>
          </w:p>
        </w:tc>
        <w:tc>
          <w:tcPr>
            <w:tcW w:w="1140" w:type="dxa"/>
            <w:vAlign w:val="bottom"/>
          </w:tcPr>
          <w:p>
            <w:pPr>
              <w:spacing w:after="0"/>
              <w:rPr>
                <w:sz w:val="21"/>
                <w:szCs w:val="21"/>
                <w:color w:val="auto"/>
              </w:rPr>
            </w:pPr>
          </w:p>
        </w:tc>
      </w:tr>
      <w:tr>
        <w:trPr>
          <w:trHeight w:val="243"/>
        </w:trPr>
        <w:tc>
          <w:tcPr>
            <w:tcW w:w="2180" w:type="dxa"/>
            <w:vAlign w:val="bottom"/>
          </w:tcPr>
          <w:p>
            <w:pPr>
              <w:jc w:val="center"/>
              <w:ind w:left="772"/>
              <w:spacing w:after="0" w:line="243" w:lineRule="exact"/>
              <w:rPr>
                <w:sz w:val="20"/>
                <w:szCs w:val="20"/>
                <w:color w:val="auto"/>
              </w:rPr>
            </w:pPr>
            <w:r>
              <w:rPr>
                <w:rFonts w:ascii="Arial" w:cs="Arial" w:eastAsia="Arial" w:hAnsi="Arial"/>
                <w:sz w:val="22"/>
                <w:szCs w:val="22"/>
                <w:color w:val="auto"/>
                <w:w w:val="89"/>
              </w:rPr>
              <w:t>9/26/19</w:t>
            </w:r>
          </w:p>
        </w:tc>
        <w:tc>
          <w:tcPr>
            <w:tcW w:w="1240" w:type="dxa"/>
            <w:vAlign w:val="bottom"/>
          </w:tcPr>
          <w:p>
            <w:pPr>
              <w:jc w:val="center"/>
              <w:spacing w:after="0" w:line="243" w:lineRule="exact"/>
              <w:rPr>
                <w:sz w:val="20"/>
                <w:szCs w:val="20"/>
                <w:color w:val="auto"/>
              </w:rPr>
            </w:pPr>
            <w:r>
              <w:rPr>
                <w:rFonts w:ascii="Arial" w:cs="Arial" w:eastAsia="Arial" w:hAnsi="Arial"/>
                <w:sz w:val="22"/>
                <w:szCs w:val="22"/>
                <w:color w:val="auto"/>
                <w:w w:val="90"/>
              </w:rPr>
              <w:t>300-</w:t>
            </w:r>
          </w:p>
        </w:tc>
        <w:tc>
          <w:tcPr>
            <w:tcW w:w="1000" w:type="dxa"/>
            <w:vAlign w:val="bottom"/>
          </w:tcPr>
          <w:p>
            <w:pPr>
              <w:jc w:val="center"/>
              <w:spacing w:after="0" w:line="243" w:lineRule="exact"/>
              <w:rPr>
                <w:sz w:val="20"/>
                <w:szCs w:val="20"/>
                <w:color w:val="auto"/>
              </w:rPr>
            </w:pPr>
            <w:r>
              <w:rPr>
                <w:rFonts w:ascii="Arial" w:cs="Arial" w:eastAsia="Arial" w:hAnsi="Arial"/>
                <w:sz w:val="22"/>
                <w:szCs w:val="22"/>
                <w:color w:val="auto"/>
                <w:w w:val="87"/>
              </w:rPr>
              <w:t>34.0100</w:t>
            </w:r>
          </w:p>
        </w:tc>
        <w:tc>
          <w:tcPr>
            <w:tcW w:w="1140" w:type="dxa"/>
            <w:vAlign w:val="bottom"/>
          </w:tcPr>
          <w:p>
            <w:pPr>
              <w:spacing w:after="0"/>
              <w:rPr>
                <w:sz w:val="21"/>
                <w:szCs w:val="21"/>
                <w:color w:val="auto"/>
              </w:rPr>
            </w:pPr>
          </w:p>
        </w:tc>
      </w:tr>
      <w:tr>
        <w:trPr>
          <w:trHeight w:val="243"/>
        </w:trPr>
        <w:tc>
          <w:tcPr>
            <w:tcW w:w="2180" w:type="dxa"/>
            <w:vAlign w:val="bottom"/>
          </w:tcPr>
          <w:p>
            <w:pPr>
              <w:jc w:val="center"/>
              <w:ind w:left="772"/>
              <w:spacing w:after="0" w:line="243" w:lineRule="exact"/>
              <w:rPr>
                <w:sz w:val="20"/>
                <w:szCs w:val="20"/>
                <w:color w:val="auto"/>
              </w:rPr>
            </w:pPr>
            <w:r>
              <w:rPr>
                <w:rFonts w:ascii="Arial" w:cs="Arial" w:eastAsia="Arial" w:hAnsi="Arial"/>
                <w:sz w:val="22"/>
                <w:szCs w:val="22"/>
                <w:color w:val="auto"/>
                <w:w w:val="89"/>
              </w:rPr>
              <w:t>9/20/19</w:t>
            </w:r>
          </w:p>
        </w:tc>
        <w:tc>
          <w:tcPr>
            <w:tcW w:w="1240" w:type="dxa"/>
            <w:vAlign w:val="bottom"/>
          </w:tcPr>
          <w:p>
            <w:pPr>
              <w:jc w:val="center"/>
              <w:spacing w:after="0" w:line="243" w:lineRule="exact"/>
              <w:rPr>
                <w:sz w:val="20"/>
                <w:szCs w:val="20"/>
                <w:color w:val="auto"/>
              </w:rPr>
            </w:pPr>
            <w:r>
              <w:rPr>
                <w:rFonts w:ascii="Arial" w:cs="Arial" w:eastAsia="Arial" w:hAnsi="Arial"/>
                <w:sz w:val="22"/>
                <w:szCs w:val="22"/>
                <w:color w:val="auto"/>
                <w:w w:val="90"/>
              </w:rPr>
              <w:t>700-</w:t>
            </w:r>
          </w:p>
        </w:tc>
        <w:tc>
          <w:tcPr>
            <w:tcW w:w="1000" w:type="dxa"/>
            <w:vAlign w:val="bottom"/>
          </w:tcPr>
          <w:p>
            <w:pPr>
              <w:jc w:val="center"/>
              <w:spacing w:after="0" w:line="243" w:lineRule="exact"/>
              <w:rPr>
                <w:sz w:val="20"/>
                <w:szCs w:val="20"/>
                <w:color w:val="auto"/>
              </w:rPr>
            </w:pPr>
            <w:r>
              <w:rPr>
                <w:rFonts w:ascii="Arial" w:cs="Arial" w:eastAsia="Arial" w:hAnsi="Arial"/>
                <w:sz w:val="22"/>
                <w:szCs w:val="22"/>
                <w:color w:val="auto"/>
                <w:w w:val="87"/>
              </w:rPr>
              <w:t>34.0916</w:t>
            </w:r>
          </w:p>
        </w:tc>
        <w:tc>
          <w:tcPr>
            <w:tcW w:w="1140" w:type="dxa"/>
            <w:vAlign w:val="bottom"/>
          </w:tcPr>
          <w:p>
            <w:pPr>
              <w:spacing w:after="0"/>
              <w:rPr>
                <w:sz w:val="21"/>
                <w:szCs w:val="21"/>
                <w:color w:val="auto"/>
              </w:rPr>
            </w:pPr>
          </w:p>
        </w:tc>
      </w:tr>
      <w:tr>
        <w:trPr>
          <w:trHeight w:val="243"/>
        </w:trPr>
        <w:tc>
          <w:tcPr>
            <w:tcW w:w="2180" w:type="dxa"/>
            <w:vAlign w:val="bottom"/>
          </w:tcPr>
          <w:p>
            <w:pPr>
              <w:jc w:val="center"/>
              <w:ind w:left="772"/>
              <w:spacing w:after="0" w:line="243" w:lineRule="exact"/>
              <w:rPr>
                <w:sz w:val="20"/>
                <w:szCs w:val="20"/>
                <w:color w:val="auto"/>
              </w:rPr>
            </w:pPr>
            <w:r>
              <w:rPr>
                <w:rFonts w:ascii="Arial" w:cs="Arial" w:eastAsia="Arial" w:hAnsi="Arial"/>
                <w:sz w:val="22"/>
                <w:szCs w:val="22"/>
                <w:color w:val="auto"/>
                <w:w w:val="89"/>
              </w:rPr>
              <w:t>9/19/19</w:t>
            </w:r>
          </w:p>
        </w:tc>
        <w:tc>
          <w:tcPr>
            <w:tcW w:w="1240" w:type="dxa"/>
            <w:vAlign w:val="bottom"/>
          </w:tcPr>
          <w:p>
            <w:pPr>
              <w:jc w:val="center"/>
              <w:spacing w:after="0" w:line="243" w:lineRule="exact"/>
              <w:rPr>
                <w:sz w:val="20"/>
                <w:szCs w:val="20"/>
                <w:color w:val="auto"/>
              </w:rPr>
            </w:pPr>
            <w:r>
              <w:rPr>
                <w:rFonts w:ascii="Arial" w:cs="Arial" w:eastAsia="Arial" w:hAnsi="Arial"/>
                <w:sz w:val="22"/>
                <w:szCs w:val="22"/>
                <w:color w:val="auto"/>
                <w:w w:val="90"/>
              </w:rPr>
              <w:t>700-</w:t>
            </w:r>
          </w:p>
        </w:tc>
        <w:tc>
          <w:tcPr>
            <w:tcW w:w="1000" w:type="dxa"/>
            <w:vAlign w:val="bottom"/>
          </w:tcPr>
          <w:p>
            <w:pPr>
              <w:jc w:val="center"/>
              <w:spacing w:after="0" w:line="243" w:lineRule="exact"/>
              <w:rPr>
                <w:sz w:val="20"/>
                <w:szCs w:val="20"/>
                <w:color w:val="auto"/>
              </w:rPr>
            </w:pPr>
            <w:r>
              <w:rPr>
                <w:rFonts w:ascii="Arial" w:cs="Arial" w:eastAsia="Arial" w:hAnsi="Arial"/>
                <w:sz w:val="22"/>
                <w:szCs w:val="22"/>
                <w:color w:val="auto"/>
                <w:w w:val="87"/>
              </w:rPr>
              <w:t>34.8155</w:t>
            </w:r>
          </w:p>
        </w:tc>
        <w:tc>
          <w:tcPr>
            <w:tcW w:w="1140" w:type="dxa"/>
            <w:vAlign w:val="bottom"/>
          </w:tcPr>
          <w:p>
            <w:pPr>
              <w:spacing w:after="0"/>
              <w:rPr>
                <w:sz w:val="21"/>
                <w:szCs w:val="21"/>
                <w:color w:val="auto"/>
              </w:rPr>
            </w:pPr>
          </w:p>
        </w:tc>
      </w:tr>
      <w:tr>
        <w:trPr>
          <w:trHeight w:val="243"/>
        </w:trPr>
        <w:tc>
          <w:tcPr>
            <w:tcW w:w="2180" w:type="dxa"/>
            <w:vAlign w:val="bottom"/>
          </w:tcPr>
          <w:p>
            <w:pPr>
              <w:jc w:val="center"/>
              <w:ind w:left="772"/>
              <w:spacing w:after="0" w:line="243" w:lineRule="exact"/>
              <w:rPr>
                <w:sz w:val="20"/>
                <w:szCs w:val="20"/>
                <w:color w:val="auto"/>
              </w:rPr>
            </w:pPr>
            <w:r>
              <w:rPr>
                <w:rFonts w:ascii="Arial" w:cs="Arial" w:eastAsia="Arial" w:hAnsi="Arial"/>
                <w:sz w:val="22"/>
                <w:szCs w:val="22"/>
                <w:color w:val="auto"/>
                <w:w w:val="89"/>
              </w:rPr>
              <w:t>9/16/19</w:t>
            </w:r>
          </w:p>
        </w:tc>
        <w:tc>
          <w:tcPr>
            <w:tcW w:w="1240" w:type="dxa"/>
            <w:vAlign w:val="bottom"/>
          </w:tcPr>
          <w:p>
            <w:pPr>
              <w:jc w:val="center"/>
              <w:spacing w:after="0" w:line="243" w:lineRule="exact"/>
              <w:rPr>
                <w:sz w:val="20"/>
                <w:szCs w:val="20"/>
                <w:color w:val="auto"/>
              </w:rPr>
            </w:pPr>
            <w:r>
              <w:rPr>
                <w:rFonts w:ascii="Arial" w:cs="Arial" w:eastAsia="Arial" w:hAnsi="Arial"/>
                <w:sz w:val="22"/>
                <w:szCs w:val="22"/>
                <w:color w:val="auto"/>
                <w:w w:val="90"/>
              </w:rPr>
              <w:t>400-</w:t>
            </w:r>
          </w:p>
        </w:tc>
        <w:tc>
          <w:tcPr>
            <w:tcW w:w="1000" w:type="dxa"/>
            <w:vAlign w:val="bottom"/>
          </w:tcPr>
          <w:p>
            <w:pPr>
              <w:jc w:val="center"/>
              <w:spacing w:after="0" w:line="243" w:lineRule="exact"/>
              <w:rPr>
                <w:sz w:val="20"/>
                <w:szCs w:val="20"/>
                <w:color w:val="auto"/>
              </w:rPr>
            </w:pPr>
            <w:r>
              <w:rPr>
                <w:rFonts w:ascii="Arial" w:cs="Arial" w:eastAsia="Arial" w:hAnsi="Arial"/>
                <w:sz w:val="22"/>
                <w:szCs w:val="22"/>
                <w:color w:val="auto"/>
                <w:w w:val="87"/>
              </w:rPr>
              <w:t>34.4500</w:t>
            </w:r>
          </w:p>
        </w:tc>
        <w:tc>
          <w:tcPr>
            <w:tcW w:w="1140" w:type="dxa"/>
            <w:vAlign w:val="bottom"/>
          </w:tcPr>
          <w:p>
            <w:pPr>
              <w:spacing w:after="0"/>
              <w:rPr>
                <w:sz w:val="21"/>
                <w:szCs w:val="21"/>
                <w:color w:val="auto"/>
              </w:rPr>
            </w:pPr>
          </w:p>
        </w:tc>
      </w:tr>
      <w:tr>
        <w:trPr>
          <w:trHeight w:val="243"/>
        </w:trPr>
        <w:tc>
          <w:tcPr>
            <w:tcW w:w="3420" w:type="dxa"/>
            <w:vAlign w:val="bottom"/>
            <w:gridSpan w:val="2"/>
          </w:tcPr>
          <w:p>
            <w:pPr>
              <w:jc w:val="right"/>
              <w:ind w:right="512"/>
              <w:spacing w:after="0" w:line="243" w:lineRule="exact"/>
              <w:rPr>
                <w:sz w:val="20"/>
                <w:szCs w:val="20"/>
                <w:color w:val="auto"/>
              </w:rPr>
            </w:pPr>
            <w:r>
              <w:rPr>
                <w:rFonts w:ascii="Arial" w:cs="Arial" w:eastAsia="Arial" w:hAnsi="Arial"/>
                <w:sz w:val="22"/>
                <w:szCs w:val="22"/>
                <w:color w:val="auto"/>
              </w:rPr>
              <w:t>TETON ADVISORS, INC</w:t>
            </w:r>
          </w:p>
        </w:tc>
        <w:tc>
          <w:tcPr>
            <w:tcW w:w="10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43"/>
        </w:trPr>
        <w:tc>
          <w:tcPr>
            <w:tcW w:w="2180" w:type="dxa"/>
            <w:vAlign w:val="bottom"/>
          </w:tcPr>
          <w:p>
            <w:pPr>
              <w:jc w:val="center"/>
              <w:ind w:left="752"/>
              <w:spacing w:after="0" w:line="243" w:lineRule="exact"/>
              <w:rPr>
                <w:sz w:val="20"/>
                <w:szCs w:val="20"/>
                <w:color w:val="auto"/>
              </w:rPr>
            </w:pPr>
            <w:r>
              <w:rPr>
                <w:rFonts w:ascii="Arial" w:cs="Arial" w:eastAsia="Arial" w:hAnsi="Arial"/>
                <w:sz w:val="22"/>
                <w:szCs w:val="22"/>
                <w:color w:val="auto"/>
                <w:w w:val="88"/>
              </w:rPr>
              <w:t>10/21/19</w:t>
            </w:r>
          </w:p>
        </w:tc>
        <w:tc>
          <w:tcPr>
            <w:tcW w:w="1240" w:type="dxa"/>
            <w:vAlign w:val="bottom"/>
          </w:tcPr>
          <w:p>
            <w:pPr>
              <w:jc w:val="center"/>
              <w:ind w:left="12"/>
              <w:spacing w:after="0" w:line="243" w:lineRule="exact"/>
              <w:rPr>
                <w:sz w:val="20"/>
                <w:szCs w:val="20"/>
                <w:color w:val="auto"/>
              </w:rPr>
            </w:pPr>
            <w:r>
              <w:rPr>
                <w:rFonts w:ascii="Arial" w:cs="Arial" w:eastAsia="Arial" w:hAnsi="Arial"/>
                <w:sz w:val="22"/>
                <w:szCs w:val="22"/>
                <w:color w:val="auto"/>
                <w:w w:val="90"/>
              </w:rPr>
              <w:t>700-</w:t>
            </w:r>
          </w:p>
        </w:tc>
        <w:tc>
          <w:tcPr>
            <w:tcW w:w="1000" w:type="dxa"/>
            <w:vAlign w:val="bottom"/>
          </w:tcPr>
          <w:p>
            <w:pPr>
              <w:jc w:val="center"/>
              <w:ind w:left="72"/>
              <w:spacing w:after="0" w:line="243" w:lineRule="exact"/>
              <w:rPr>
                <w:sz w:val="20"/>
                <w:szCs w:val="20"/>
                <w:color w:val="auto"/>
              </w:rPr>
            </w:pPr>
            <w:r>
              <w:rPr>
                <w:rFonts w:ascii="Arial" w:cs="Arial" w:eastAsia="Arial" w:hAnsi="Arial"/>
                <w:sz w:val="22"/>
                <w:szCs w:val="22"/>
                <w:color w:val="auto"/>
                <w:w w:val="87"/>
              </w:rPr>
              <w:t>34.2566</w:t>
            </w:r>
          </w:p>
        </w:tc>
        <w:tc>
          <w:tcPr>
            <w:tcW w:w="1140" w:type="dxa"/>
            <w:vAlign w:val="bottom"/>
          </w:tcPr>
          <w:p>
            <w:pPr>
              <w:spacing w:after="0"/>
              <w:rPr>
                <w:sz w:val="21"/>
                <w:szCs w:val="21"/>
                <w:color w:val="auto"/>
              </w:rPr>
            </w:pPr>
          </w:p>
        </w:tc>
      </w:tr>
      <w:tr>
        <w:trPr>
          <w:trHeight w:val="243"/>
        </w:trPr>
        <w:tc>
          <w:tcPr>
            <w:tcW w:w="2180" w:type="dxa"/>
            <w:vAlign w:val="bottom"/>
          </w:tcPr>
          <w:p>
            <w:pPr>
              <w:jc w:val="center"/>
              <w:ind w:left="752"/>
              <w:spacing w:after="0" w:line="243" w:lineRule="exact"/>
              <w:rPr>
                <w:sz w:val="20"/>
                <w:szCs w:val="20"/>
                <w:color w:val="auto"/>
              </w:rPr>
            </w:pPr>
            <w:r>
              <w:rPr>
                <w:rFonts w:ascii="Arial" w:cs="Arial" w:eastAsia="Arial" w:hAnsi="Arial"/>
                <w:sz w:val="22"/>
                <w:szCs w:val="22"/>
                <w:color w:val="auto"/>
                <w:w w:val="88"/>
              </w:rPr>
              <w:t>10/15/19</w:t>
            </w:r>
          </w:p>
        </w:tc>
        <w:tc>
          <w:tcPr>
            <w:tcW w:w="1240" w:type="dxa"/>
            <w:vAlign w:val="bottom"/>
          </w:tcPr>
          <w:p>
            <w:pPr>
              <w:jc w:val="center"/>
              <w:spacing w:after="0" w:line="243" w:lineRule="exact"/>
              <w:rPr>
                <w:sz w:val="20"/>
                <w:szCs w:val="20"/>
                <w:color w:val="auto"/>
              </w:rPr>
            </w:pPr>
            <w:r>
              <w:rPr>
                <w:rFonts w:ascii="Arial" w:cs="Arial" w:eastAsia="Arial" w:hAnsi="Arial"/>
                <w:sz w:val="22"/>
                <w:szCs w:val="22"/>
                <w:color w:val="auto"/>
                <w:w w:val="89"/>
              </w:rPr>
              <w:t>2,000-</w:t>
            </w:r>
          </w:p>
        </w:tc>
        <w:tc>
          <w:tcPr>
            <w:tcW w:w="1000" w:type="dxa"/>
            <w:vAlign w:val="bottom"/>
          </w:tcPr>
          <w:p>
            <w:pPr>
              <w:jc w:val="right"/>
              <w:spacing w:after="0" w:line="243" w:lineRule="exact"/>
              <w:rPr>
                <w:sz w:val="20"/>
                <w:szCs w:val="20"/>
                <w:color w:val="auto"/>
              </w:rPr>
            </w:pPr>
            <w:r>
              <w:rPr>
                <w:rFonts w:ascii="Arial" w:cs="Arial" w:eastAsia="Arial" w:hAnsi="Arial"/>
                <w:sz w:val="22"/>
                <w:szCs w:val="22"/>
                <w:color w:val="auto"/>
              </w:rPr>
              <w:t>32.7318</w:t>
            </w:r>
          </w:p>
        </w:tc>
        <w:tc>
          <w:tcPr>
            <w:tcW w:w="1140" w:type="dxa"/>
            <w:vAlign w:val="bottom"/>
          </w:tcPr>
          <w:p>
            <w:pPr>
              <w:spacing w:after="0"/>
              <w:rPr>
                <w:sz w:val="21"/>
                <w:szCs w:val="21"/>
                <w:color w:val="auto"/>
              </w:rPr>
            </w:pPr>
          </w:p>
        </w:tc>
      </w:tr>
      <w:tr>
        <w:trPr>
          <w:trHeight w:val="243"/>
        </w:trPr>
        <w:tc>
          <w:tcPr>
            <w:tcW w:w="3420" w:type="dxa"/>
            <w:vAlign w:val="bottom"/>
            <w:gridSpan w:val="2"/>
          </w:tcPr>
          <w:p>
            <w:pPr>
              <w:jc w:val="right"/>
              <w:ind w:right="512"/>
              <w:spacing w:after="0" w:line="243" w:lineRule="exact"/>
              <w:rPr>
                <w:sz w:val="20"/>
                <w:szCs w:val="20"/>
                <w:color w:val="auto"/>
              </w:rPr>
            </w:pPr>
            <w:r>
              <w:rPr>
                <w:rFonts w:ascii="Arial" w:cs="Arial" w:eastAsia="Arial" w:hAnsi="Arial"/>
                <w:sz w:val="22"/>
                <w:szCs w:val="22"/>
                <w:color w:val="auto"/>
              </w:rPr>
              <w:t>GABELLI FUNDS, LLC.</w:t>
            </w:r>
          </w:p>
        </w:tc>
        <w:tc>
          <w:tcPr>
            <w:tcW w:w="10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43"/>
        </w:trPr>
        <w:tc>
          <w:tcPr>
            <w:tcW w:w="5560" w:type="dxa"/>
            <w:vAlign w:val="bottom"/>
            <w:gridSpan w:val="4"/>
          </w:tcPr>
          <w:p>
            <w:pPr>
              <w:ind w:left="760"/>
              <w:spacing w:after="0" w:line="243" w:lineRule="exact"/>
              <w:rPr>
                <w:sz w:val="20"/>
                <w:szCs w:val="20"/>
                <w:color w:val="auto"/>
              </w:rPr>
            </w:pPr>
            <w:r>
              <w:rPr>
                <w:rFonts w:ascii="Arial" w:cs="Arial" w:eastAsia="Arial" w:hAnsi="Arial"/>
                <w:sz w:val="22"/>
                <w:szCs w:val="22"/>
                <w:color w:val="auto"/>
              </w:rPr>
              <w:t>GABELLI SMALL CAP GROWTH FUND</w:t>
            </w:r>
          </w:p>
        </w:tc>
      </w:tr>
      <w:tr>
        <w:trPr>
          <w:trHeight w:val="243"/>
        </w:trPr>
        <w:tc>
          <w:tcPr>
            <w:tcW w:w="2180" w:type="dxa"/>
            <w:vAlign w:val="bottom"/>
          </w:tcPr>
          <w:p>
            <w:pPr>
              <w:jc w:val="center"/>
              <w:ind w:left="752"/>
              <w:spacing w:after="0" w:line="243" w:lineRule="exact"/>
              <w:rPr>
                <w:sz w:val="20"/>
                <w:szCs w:val="20"/>
                <w:color w:val="auto"/>
              </w:rPr>
            </w:pPr>
            <w:r>
              <w:rPr>
                <w:rFonts w:ascii="Arial" w:cs="Arial" w:eastAsia="Arial" w:hAnsi="Arial"/>
                <w:sz w:val="22"/>
                <w:szCs w:val="22"/>
                <w:color w:val="auto"/>
                <w:w w:val="88"/>
              </w:rPr>
              <w:t>10/09/19</w:t>
            </w:r>
          </w:p>
        </w:tc>
        <w:tc>
          <w:tcPr>
            <w:tcW w:w="1240" w:type="dxa"/>
            <w:vAlign w:val="bottom"/>
          </w:tcPr>
          <w:p>
            <w:pPr>
              <w:jc w:val="center"/>
              <w:spacing w:after="0" w:line="243" w:lineRule="exact"/>
              <w:rPr>
                <w:sz w:val="20"/>
                <w:szCs w:val="20"/>
                <w:color w:val="auto"/>
              </w:rPr>
            </w:pPr>
            <w:r>
              <w:rPr>
                <w:rFonts w:ascii="Arial" w:cs="Arial" w:eastAsia="Arial" w:hAnsi="Arial"/>
                <w:sz w:val="22"/>
                <w:szCs w:val="22"/>
                <w:color w:val="auto"/>
                <w:w w:val="89"/>
              </w:rPr>
              <w:t>2,000-</w:t>
            </w:r>
          </w:p>
        </w:tc>
        <w:tc>
          <w:tcPr>
            <w:tcW w:w="1000" w:type="dxa"/>
            <w:vAlign w:val="bottom"/>
          </w:tcPr>
          <w:p>
            <w:pPr>
              <w:jc w:val="right"/>
              <w:spacing w:after="0" w:line="243" w:lineRule="exact"/>
              <w:rPr>
                <w:sz w:val="20"/>
                <w:szCs w:val="20"/>
                <w:color w:val="auto"/>
              </w:rPr>
            </w:pPr>
            <w:r>
              <w:rPr>
                <w:rFonts w:ascii="Arial" w:cs="Arial" w:eastAsia="Arial" w:hAnsi="Arial"/>
                <w:sz w:val="22"/>
                <w:szCs w:val="22"/>
                <w:color w:val="auto"/>
              </w:rPr>
              <w:t>31.9410</w:t>
            </w:r>
          </w:p>
        </w:tc>
        <w:tc>
          <w:tcPr>
            <w:tcW w:w="1140" w:type="dxa"/>
            <w:vAlign w:val="bottom"/>
          </w:tcPr>
          <w:p>
            <w:pPr>
              <w:spacing w:after="0"/>
              <w:rPr>
                <w:sz w:val="21"/>
                <w:szCs w:val="21"/>
                <w:color w:val="auto"/>
              </w:rPr>
            </w:pPr>
          </w:p>
        </w:tc>
      </w:tr>
      <w:tr>
        <w:trPr>
          <w:trHeight w:val="243"/>
        </w:trPr>
        <w:tc>
          <w:tcPr>
            <w:tcW w:w="2180" w:type="dxa"/>
            <w:vAlign w:val="bottom"/>
          </w:tcPr>
          <w:p>
            <w:pPr>
              <w:jc w:val="center"/>
              <w:ind w:left="752"/>
              <w:spacing w:after="0" w:line="243" w:lineRule="exact"/>
              <w:rPr>
                <w:sz w:val="20"/>
                <w:szCs w:val="20"/>
                <w:color w:val="auto"/>
              </w:rPr>
            </w:pPr>
            <w:r>
              <w:rPr>
                <w:rFonts w:ascii="Arial" w:cs="Arial" w:eastAsia="Arial" w:hAnsi="Arial"/>
                <w:sz w:val="22"/>
                <w:szCs w:val="22"/>
                <w:color w:val="auto"/>
                <w:w w:val="88"/>
              </w:rPr>
              <w:t>10/07/19</w:t>
            </w:r>
          </w:p>
        </w:tc>
        <w:tc>
          <w:tcPr>
            <w:tcW w:w="1240" w:type="dxa"/>
            <w:vAlign w:val="bottom"/>
          </w:tcPr>
          <w:p>
            <w:pPr>
              <w:jc w:val="center"/>
              <w:spacing w:after="0" w:line="243" w:lineRule="exact"/>
              <w:rPr>
                <w:sz w:val="20"/>
                <w:szCs w:val="20"/>
                <w:color w:val="auto"/>
              </w:rPr>
            </w:pPr>
            <w:r>
              <w:rPr>
                <w:rFonts w:ascii="Arial" w:cs="Arial" w:eastAsia="Arial" w:hAnsi="Arial"/>
                <w:sz w:val="22"/>
                <w:szCs w:val="22"/>
                <w:color w:val="auto"/>
                <w:w w:val="89"/>
              </w:rPr>
              <w:t>4,000-</w:t>
            </w:r>
          </w:p>
        </w:tc>
        <w:tc>
          <w:tcPr>
            <w:tcW w:w="1000" w:type="dxa"/>
            <w:vAlign w:val="bottom"/>
          </w:tcPr>
          <w:p>
            <w:pPr>
              <w:jc w:val="right"/>
              <w:spacing w:after="0" w:line="243" w:lineRule="exact"/>
              <w:rPr>
                <w:sz w:val="20"/>
                <w:szCs w:val="20"/>
                <w:color w:val="auto"/>
              </w:rPr>
            </w:pPr>
            <w:r>
              <w:rPr>
                <w:rFonts w:ascii="Arial" w:cs="Arial" w:eastAsia="Arial" w:hAnsi="Arial"/>
                <w:sz w:val="22"/>
                <w:szCs w:val="22"/>
                <w:color w:val="auto"/>
              </w:rPr>
              <w:t>31.5214</w:t>
            </w:r>
          </w:p>
        </w:tc>
        <w:tc>
          <w:tcPr>
            <w:tcW w:w="1140" w:type="dxa"/>
            <w:vAlign w:val="bottom"/>
          </w:tcPr>
          <w:p>
            <w:pPr>
              <w:spacing w:after="0"/>
              <w:rPr>
                <w:sz w:val="21"/>
                <w:szCs w:val="21"/>
                <w:color w:val="auto"/>
              </w:rPr>
            </w:pPr>
          </w:p>
        </w:tc>
      </w:tr>
      <w:tr>
        <w:trPr>
          <w:trHeight w:val="243"/>
        </w:trPr>
        <w:tc>
          <w:tcPr>
            <w:tcW w:w="4420" w:type="dxa"/>
            <w:vAlign w:val="bottom"/>
            <w:gridSpan w:val="3"/>
          </w:tcPr>
          <w:p>
            <w:pPr>
              <w:ind w:left="760"/>
              <w:spacing w:after="0" w:line="243" w:lineRule="exact"/>
              <w:rPr>
                <w:sz w:val="20"/>
                <w:szCs w:val="20"/>
                <w:color w:val="auto"/>
              </w:rPr>
            </w:pPr>
            <w:r>
              <w:rPr>
                <w:rFonts w:ascii="Arial" w:cs="Arial" w:eastAsia="Arial" w:hAnsi="Arial"/>
                <w:sz w:val="22"/>
                <w:szCs w:val="22"/>
                <w:color w:val="auto"/>
              </w:rPr>
              <w:t>GABELLI GO ANYWHERE TRUST</w:t>
            </w:r>
          </w:p>
        </w:tc>
        <w:tc>
          <w:tcPr>
            <w:tcW w:w="1140" w:type="dxa"/>
            <w:vAlign w:val="bottom"/>
          </w:tcPr>
          <w:p>
            <w:pPr>
              <w:spacing w:after="0"/>
              <w:rPr>
                <w:sz w:val="21"/>
                <w:szCs w:val="21"/>
                <w:color w:val="auto"/>
              </w:rPr>
            </w:pPr>
          </w:p>
        </w:tc>
      </w:tr>
      <w:tr>
        <w:trPr>
          <w:trHeight w:val="275"/>
        </w:trPr>
        <w:tc>
          <w:tcPr>
            <w:tcW w:w="2180" w:type="dxa"/>
            <w:vAlign w:val="bottom"/>
          </w:tcPr>
          <w:p>
            <w:pPr>
              <w:jc w:val="center"/>
              <w:ind w:left="732"/>
              <w:spacing w:after="0"/>
              <w:rPr>
                <w:sz w:val="20"/>
                <w:szCs w:val="20"/>
                <w:color w:val="auto"/>
              </w:rPr>
            </w:pPr>
            <w:r>
              <w:rPr>
                <w:rFonts w:ascii="Arial" w:cs="Arial" w:eastAsia="Arial" w:hAnsi="Arial"/>
                <w:sz w:val="22"/>
                <w:szCs w:val="22"/>
                <w:color w:val="auto"/>
                <w:w w:val="86"/>
              </w:rPr>
              <w:t>11/11/19</w:t>
            </w:r>
          </w:p>
        </w:tc>
        <w:tc>
          <w:tcPr>
            <w:tcW w:w="1240" w:type="dxa"/>
            <w:vAlign w:val="bottom"/>
          </w:tcPr>
          <w:p>
            <w:pPr>
              <w:jc w:val="center"/>
              <w:spacing w:after="0"/>
              <w:rPr>
                <w:sz w:val="20"/>
                <w:szCs w:val="20"/>
                <w:color w:val="auto"/>
              </w:rPr>
            </w:pPr>
            <w:r>
              <w:rPr>
                <w:rFonts w:ascii="Arial" w:cs="Arial" w:eastAsia="Arial" w:hAnsi="Arial"/>
                <w:sz w:val="22"/>
                <w:szCs w:val="22"/>
                <w:color w:val="auto"/>
                <w:w w:val="89"/>
              </w:rPr>
              <w:t>2,200-</w:t>
            </w:r>
          </w:p>
        </w:tc>
        <w:tc>
          <w:tcPr>
            <w:tcW w:w="1000" w:type="dxa"/>
            <w:vAlign w:val="bottom"/>
          </w:tcPr>
          <w:p>
            <w:pPr>
              <w:jc w:val="right"/>
              <w:spacing w:after="0"/>
              <w:rPr>
                <w:sz w:val="20"/>
                <w:szCs w:val="20"/>
                <w:color w:val="auto"/>
              </w:rPr>
            </w:pPr>
            <w:r>
              <w:rPr>
                <w:rFonts w:ascii="Arial" w:cs="Arial" w:eastAsia="Arial" w:hAnsi="Arial"/>
                <w:sz w:val="22"/>
                <w:szCs w:val="22"/>
                <w:color w:val="auto"/>
              </w:rPr>
              <w:t>35.9608</w:t>
            </w:r>
          </w:p>
        </w:tc>
        <w:tc>
          <w:tcPr>
            <w:tcW w:w="1140" w:type="dxa"/>
            <w:vAlign w:val="bottom"/>
          </w:tcPr>
          <w:p>
            <w:pPr>
              <w:spacing w:after="0"/>
              <w:rPr>
                <w:sz w:val="23"/>
                <w:szCs w:val="23"/>
                <w:color w:val="auto"/>
              </w:rPr>
            </w:pPr>
          </w:p>
        </w:tc>
      </w:tr>
    </w:tbl>
    <w:p>
      <w:pPr>
        <w:spacing w:after="0" w:line="212" w:lineRule="exact"/>
        <w:rPr>
          <w:sz w:val="20"/>
          <w:szCs w:val="20"/>
          <w:color w:val="auto"/>
        </w:rPr>
      </w:pPr>
    </w:p>
    <w:p>
      <w:pPr>
        <w:ind w:left="220" w:right="2579" w:hanging="212"/>
        <w:spacing w:after="0" w:line="251" w:lineRule="auto"/>
        <w:tabs>
          <w:tab w:leader="none" w:pos="310" w:val="left"/>
        </w:tabs>
        <w:numPr>
          <w:ilvl w:val="0"/>
          <w:numId w:val="49"/>
        </w:numPr>
        <w:rPr>
          <w:rFonts w:ascii="Arial" w:cs="Arial" w:eastAsia="Arial" w:hAnsi="Arial"/>
          <w:sz w:val="22"/>
          <w:szCs w:val="22"/>
          <w:color w:val="auto"/>
        </w:rPr>
      </w:pPr>
      <w:r>
        <w:rPr>
          <w:rFonts w:ascii="Arial" w:cs="Arial" w:eastAsia="Arial" w:hAnsi="Arial"/>
          <w:sz w:val="22"/>
          <w:szCs w:val="22"/>
          <w:color w:val="auto"/>
        </w:rPr>
        <w:t>UNLESS OTHERWISE INDICATED, ALL TRANSACTIONS WERE EFFECTED ON THE NYSE.</w:t>
      </w:r>
    </w:p>
    <w:p>
      <w:pPr>
        <w:spacing w:after="0" w:line="200" w:lineRule="exact"/>
        <w:rPr>
          <w:rFonts w:ascii="Arial" w:cs="Arial" w:eastAsia="Arial" w:hAnsi="Arial"/>
          <w:sz w:val="22"/>
          <w:szCs w:val="22"/>
          <w:color w:val="auto"/>
        </w:rPr>
      </w:pPr>
    </w:p>
    <w:p>
      <w:pPr>
        <w:ind w:left="320" w:hanging="312"/>
        <w:spacing w:after="0"/>
        <w:tabs>
          <w:tab w:leader="none" w:pos="320" w:val="left"/>
        </w:tabs>
        <w:numPr>
          <w:ilvl w:val="0"/>
          <w:numId w:val="49"/>
        </w:numPr>
        <w:rPr>
          <w:rFonts w:ascii="Arial" w:cs="Arial" w:eastAsia="Arial" w:hAnsi="Arial"/>
          <w:sz w:val="22"/>
          <w:szCs w:val="22"/>
          <w:color w:val="auto"/>
        </w:rPr>
      </w:pPr>
      <w:r>
        <w:rPr>
          <w:rFonts w:ascii="Arial" w:cs="Arial" w:eastAsia="Arial" w:hAnsi="Arial"/>
          <w:sz w:val="22"/>
          <w:szCs w:val="22"/>
          <w:color w:val="auto"/>
        </w:rPr>
        <w:t>PRICE EXCLUDES COMMISSION.</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 RESULTS IN CHANGE OF DISPOSITIVE POWER AND BENEFICIAL OWNERSHIP.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16</w:t>
      </w:r>
    </w:p>
    <w:sectPr>
      <w:pgSz w:w="11900" w:h="16838" w:orient="portrait"/>
      <w:cols w:equalWidth="0" w:num="1">
        <w:col w:w="10219"/>
      </w:cols>
      <w:pgMar w:left="240" w:top="109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838CB2"/>
    <w:multiLevelType w:val="hybridMultilevel"/>
    <w:lvl w:ilvl="0">
      <w:lvlJc w:val="left"/>
      <w:lvlText w:val="1"/>
      <w:numFmt w:val="bullet"/>
      <w:start w:val="1"/>
    </w:lvl>
  </w:abstractNum>
  <w:abstractNum w:abstractNumId="1">
    <w:nsid w:val="4353D0CD"/>
    <w:multiLevelType w:val="hybridMultilevel"/>
    <w:lvl w:ilvl="0">
      <w:lvlJc w:val="left"/>
      <w:lvlText w:val="3"/>
      <w:numFmt w:val="bullet"/>
      <w:start w:val="1"/>
    </w:lvl>
  </w:abstractNum>
  <w:abstractNum w:abstractNumId="2">
    <w:nsid w:val="B03E0C6"/>
    <w:multiLevelType w:val="hybridMultilevel"/>
    <w:lvl w:ilvl="0">
      <w:lvlJc w:val="left"/>
      <w:lvlText w:val="4"/>
      <w:numFmt w:val="bullet"/>
      <w:start w:val="1"/>
    </w:lvl>
  </w:abstractNum>
  <w:abstractNum w:abstractNumId="3">
    <w:nsid w:val="189A769B"/>
    <w:multiLevelType w:val="hybridMultilevel"/>
    <w:lvl w:ilvl="0">
      <w:lvlJc w:val="left"/>
      <w:lvlText w:val="5"/>
      <w:numFmt w:val="bullet"/>
      <w:start w:val="1"/>
    </w:lvl>
  </w:abstractNum>
  <w:abstractNum w:abstractNumId="4">
    <w:nsid w:val="54E49EB4"/>
    <w:multiLevelType w:val="hybridMultilevel"/>
    <w:lvl w:ilvl="0">
      <w:lvlJc w:val="left"/>
      <w:lvlText w:val="6"/>
      <w:numFmt w:val="bullet"/>
      <w:start w:val="1"/>
    </w:lvl>
  </w:abstractNum>
  <w:abstractNum w:abstractNumId="5">
    <w:nsid w:val="71F32454"/>
    <w:multiLevelType w:val="hybridMultilevel"/>
    <w:lvl w:ilvl="0">
      <w:lvlJc w:val="left"/>
      <w:lvlText w:val="%1"/>
      <w:numFmt w:val="decimal"/>
      <w:start w:val="11"/>
    </w:lvl>
  </w:abstractNum>
  <w:abstractNum w:abstractNumId="6">
    <w:nsid w:val="2CA88611"/>
    <w:multiLevelType w:val="hybridMultilevel"/>
    <w:lvl w:ilvl="0">
      <w:lvlJc w:val="left"/>
      <w:lvlText w:val="%1"/>
      <w:numFmt w:val="decimal"/>
      <w:start w:val="13"/>
    </w:lvl>
  </w:abstractNum>
  <w:abstractNum w:abstractNumId="7">
    <w:nsid w:val="836C40E"/>
    <w:multiLevelType w:val="hybridMultilevel"/>
    <w:lvl w:ilvl="0">
      <w:lvlJc w:val="left"/>
      <w:lvlText w:val="1"/>
      <w:numFmt w:val="bullet"/>
      <w:start w:val="1"/>
    </w:lvl>
  </w:abstractNum>
  <w:abstractNum w:abstractNumId="8">
    <w:nsid w:val="2901D82"/>
    <w:multiLevelType w:val="hybridMultilevel"/>
    <w:lvl w:ilvl="0">
      <w:lvlJc w:val="left"/>
      <w:lvlText w:val="3"/>
      <w:numFmt w:val="bullet"/>
      <w:start w:val="1"/>
    </w:lvl>
  </w:abstractNum>
  <w:abstractNum w:abstractNumId="9">
    <w:nsid w:val="3A95F874"/>
    <w:multiLevelType w:val="hybridMultilevel"/>
    <w:lvl w:ilvl="0">
      <w:lvlJc w:val="left"/>
      <w:lvlText w:val="4"/>
      <w:numFmt w:val="bullet"/>
      <w:start w:val="1"/>
    </w:lvl>
  </w:abstractNum>
  <w:abstractNum w:abstractNumId="10">
    <w:nsid w:val="8138641"/>
    <w:multiLevelType w:val="hybridMultilevel"/>
    <w:lvl w:ilvl="0">
      <w:lvlJc w:val="left"/>
      <w:lvlText w:val="5"/>
      <w:numFmt w:val="bullet"/>
      <w:start w:val="1"/>
    </w:lvl>
  </w:abstractNum>
  <w:abstractNum w:abstractNumId="11">
    <w:nsid w:val="1E7FF521"/>
    <w:multiLevelType w:val="hybridMultilevel"/>
    <w:lvl w:ilvl="0">
      <w:lvlJc w:val="left"/>
      <w:lvlText w:val="6"/>
      <w:numFmt w:val="bullet"/>
      <w:start w:val="1"/>
    </w:lvl>
  </w:abstractNum>
  <w:abstractNum w:abstractNumId="12">
    <w:nsid w:val="7C3DBD3D"/>
    <w:multiLevelType w:val="hybridMultilevel"/>
    <w:lvl w:ilvl="0">
      <w:lvlJc w:val="left"/>
      <w:lvlText w:val="%1"/>
      <w:numFmt w:val="decimal"/>
      <w:start w:val="11"/>
    </w:lvl>
  </w:abstractNum>
  <w:abstractNum w:abstractNumId="13">
    <w:nsid w:val="737B8DDC"/>
    <w:multiLevelType w:val="hybridMultilevel"/>
    <w:lvl w:ilvl="0">
      <w:lvlJc w:val="left"/>
      <w:lvlText w:val="%1"/>
      <w:numFmt w:val="decimal"/>
      <w:start w:val="13"/>
    </w:lvl>
  </w:abstractNum>
  <w:abstractNum w:abstractNumId="14">
    <w:nsid w:val="6CEAF087"/>
    <w:multiLevelType w:val="hybridMultilevel"/>
    <w:lvl w:ilvl="0">
      <w:lvlJc w:val="left"/>
      <w:lvlText w:val="3"/>
      <w:numFmt w:val="bullet"/>
      <w:start w:val="1"/>
    </w:lvl>
  </w:abstractNum>
  <w:abstractNum w:abstractNumId="15">
    <w:nsid w:val="22221A70"/>
    <w:multiLevelType w:val="hybridMultilevel"/>
    <w:lvl w:ilvl="0">
      <w:lvlJc w:val="left"/>
      <w:lvlText w:val="4"/>
      <w:numFmt w:val="bullet"/>
      <w:start w:val="1"/>
    </w:lvl>
  </w:abstractNum>
  <w:abstractNum w:abstractNumId="16">
    <w:nsid w:val="4516DDE9"/>
    <w:multiLevelType w:val="hybridMultilevel"/>
    <w:lvl w:ilvl="0">
      <w:lvlJc w:val="left"/>
      <w:lvlText w:val="5"/>
      <w:numFmt w:val="bullet"/>
      <w:start w:val="1"/>
    </w:lvl>
  </w:abstractNum>
  <w:abstractNum w:abstractNumId="17">
    <w:nsid w:val="3006C83E"/>
    <w:multiLevelType w:val="hybridMultilevel"/>
    <w:lvl w:ilvl="0">
      <w:lvlJc w:val="left"/>
      <w:lvlText w:val="6"/>
      <w:numFmt w:val="bullet"/>
      <w:start w:val="1"/>
    </w:lvl>
  </w:abstractNum>
  <w:abstractNum w:abstractNumId="18">
    <w:nsid w:val="614FD4A1"/>
    <w:multiLevelType w:val="hybridMultilevel"/>
    <w:lvl w:ilvl="0">
      <w:lvlJc w:val="left"/>
      <w:lvlText w:val="%1"/>
      <w:numFmt w:val="decimal"/>
      <w:start w:val="11"/>
    </w:lvl>
  </w:abstractNum>
  <w:abstractNum w:abstractNumId="19">
    <w:nsid w:val="419AC241"/>
    <w:multiLevelType w:val="hybridMultilevel"/>
    <w:lvl w:ilvl="0">
      <w:lvlJc w:val="left"/>
      <w:lvlText w:val="1"/>
      <w:numFmt w:val="bullet"/>
      <w:start w:val="1"/>
    </w:lvl>
  </w:abstractNum>
  <w:abstractNum w:abstractNumId="20">
    <w:nsid w:val="5577F8E1"/>
    <w:multiLevelType w:val="hybridMultilevel"/>
    <w:lvl w:ilvl="0">
      <w:lvlJc w:val="left"/>
      <w:lvlText w:val="3"/>
      <w:numFmt w:val="bullet"/>
      <w:start w:val="1"/>
    </w:lvl>
  </w:abstractNum>
  <w:abstractNum w:abstractNumId="21">
    <w:nsid w:val="440BADFC"/>
    <w:multiLevelType w:val="hybridMultilevel"/>
    <w:lvl w:ilvl="0">
      <w:lvlJc w:val="left"/>
      <w:lvlText w:val="4"/>
      <w:numFmt w:val="bullet"/>
      <w:start w:val="1"/>
    </w:lvl>
  </w:abstractNum>
  <w:abstractNum w:abstractNumId="22">
    <w:nsid w:val="5072367"/>
    <w:multiLevelType w:val="hybridMultilevel"/>
    <w:lvl w:ilvl="0">
      <w:lvlJc w:val="left"/>
      <w:lvlText w:val="5"/>
      <w:numFmt w:val="bullet"/>
      <w:start w:val="1"/>
    </w:lvl>
  </w:abstractNum>
  <w:abstractNum w:abstractNumId="23">
    <w:nsid w:val="3804823E"/>
    <w:multiLevelType w:val="hybridMultilevel"/>
    <w:lvl w:ilvl="0">
      <w:lvlJc w:val="left"/>
      <w:lvlText w:val="6"/>
      <w:numFmt w:val="bullet"/>
      <w:start w:val="1"/>
    </w:lvl>
  </w:abstractNum>
  <w:abstractNum w:abstractNumId="24">
    <w:nsid w:val="77465F01"/>
    <w:multiLevelType w:val="hybridMultilevel"/>
    <w:lvl w:ilvl="0">
      <w:lvlJc w:val="left"/>
      <w:lvlText w:val="%1"/>
      <w:numFmt w:val="decimal"/>
      <w:start w:val="11"/>
    </w:lvl>
  </w:abstractNum>
  <w:abstractNum w:abstractNumId="25">
    <w:nsid w:val="7724C67E"/>
    <w:multiLevelType w:val="hybridMultilevel"/>
    <w:lvl w:ilvl="0">
      <w:lvlJc w:val="left"/>
      <w:lvlText w:val="1"/>
      <w:numFmt w:val="bullet"/>
      <w:start w:val="1"/>
    </w:lvl>
  </w:abstractNum>
  <w:abstractNum w:abstractNumId="26">
    <w:nsid w:val="5C482A97"/>
    <w:multiLevelType w:val="hybridMultilevel"/>
    <w:lvl w:ilvl="0">
      <w:lvlJc w:val="left"/>
      <w:lvlText w:val="3"/>
      <w:numFmt w:val="bullet"/>
      <w:start w:val="1"/>
    </w:lvl>
  </w:abstractNum>
  <w:abstractNum w:abstractNumId="27">
    <w:nsid w:val="2463B9EA"/>
    <w:multiLevelType w:val="hybridMultilevel"/>
    <w:lvl w:ilvl="0">
      <w:lvlJc w:val="left"/>
      <w:lvlText w:val="4"/>
      <w:numFmt w:val="bullet"/>
      <w:start w:val="1"/>
    </w:lvl>
  </w:abstractNum>
  <w:abstractNum w:abstractNumId="28">
    <w:nsid w:val="5E884ADC"/>
    <w:multiLevelType w:val="hybridMultilevel"/>
    <w:lvl w:ilvl="0">
      <w:lvlJc w:val="left"/>
      <w:lvlText w:val="5"/>
      <w:numFmt w:val="bullet"/>
      <w:start w:val="1"/>
    </w:lvl>
  </w:abstractNum>
  <w:abstractNum w:abstractNumId="29">
    <w:nsid w:val="51EAD36B"/>
    <w:multiLevelType w:val="hybridMultilevel"/>
    <w:lvl w:ilvl="0">
      <w:lvlJc w:val="left"/>
      <w:lvlText w:val="6"/>
      <w:numFmt w:val="bullet"/>
      <w:start w:val="1"/>
    </w:lvl>
  </w:abstractNum>
  <w:abstractNum w:abstractNumId="30">
    <w:nsid w:val="2D517796"/>
    <w:multiLevelType w:val="hybridMultilevel"/>
    <w:lvl w:ilvl="0">
      <w:lvlJc w:val="left"/>
      <w:lvlText w:val="%1"/>
      <w:numFmt w:val="decimal"/>
      <w:start w:val="11"/>
    </w:lvl>
  </w:abstractNum>
  <w:abstractNum w:abstractNumId="31">
    <w:nsid w:val="580BD78F"/>
    <w:multiLevelType w:val="hybridMultilevel"/>
    <w:lvl w:ilvl="0">
      <w:lvlJc w:val="left"/>
      <w:lvlText w:val="1"/>
      <w:numFmt w:val="bullet"/>
      <w:start w:val="1"/>
    </w:lvl>
  </w:abstractNum>
  <w:abstractNum w:abstractNumId="32">
    <w:nsid w:val="153EA438"/>
    <w:multiLevelType w:val="hybridMultilevel"/>
    <w:lvl w:ilvl="0">
      <w:lvlJc w:val="left"/>
      <w:lvlText w:val="3"/>
      <w:numFmt w:val="bullet"/>
      <w:start w:val="1"/>
    </w:lvl>
  </w:abstractNum>
  <w:abstractNum w:abstractNumId="33">
    <w:nsid w:val="3855585C"/>
    <w:multiLevelType w:val="hybridMultilevel"/>
    <w:lvl w:ilvl="0">
      <w:lvlJc w:val="left"/>
      <w:lvlText w:val="4"/>
      <w:numFmt w:val="bullet"/>
      <w:start w:val="1"/>
    </w:lvl>
  </w:abstractNum>
  <w:abstractNum w:abstractNumId="34">
    <w:nsid w:val="70A64E2A"/>
    <w:multiLevelType w:val="hybridMultilevel"/>
    <w:lvl w:ilvl="0">
      <w:lvlJc w:val="left"/>
      <w:lvlText w:val="5"/>
      <w:numFmt w:val="bullet"/>
      <w:start w:val="1"/>
    </w:lvl>
  </w:abstractNum>
  <w:abstractNum w:abstractNumId="35">
    <w:nsid w:val="6A2342EC"/>
    <w:multiLevelType w:val="hybridMultilevel"/>
    <w:lvl w:ilvl="0">
      <w:lvlJc w:val="left"/>
      <w:lvlText w:val="6"/>
      <w:numFmt w:val="bullet"/>
      <w:start w:val="1"/>
    </w:lvl>
  </w:abstractNum>
  <w:abstractNum w:abstractNumId="36">
    <w:nsid w:val="2A487CB0"/>
    <w:multiLevelType w:val="hybridMultilevel"/>
    <w:lvl w:ilvl="0">
      <w:lvlJc w:val="left"/>
      <w:lvlText w:val="%1"/>
      <w:numFmt w:val="decimal"/>
      <w:start w:val="11"/>
    </w:lvl>
  </w:abstractNum>
  <w:abstractNum w:abstractNumId="37">
    <w:nsid w:val="1D4ED43B"/>
    <w:multiLevelType w:val="hybridMultilevel"/>
    <w:lvl w:ilvl="0">
      <w:lvlJc w:val="left"/>
      <w:lvlText w:val="1"/>
      <w:numFmt w:val="bullet"/>
      <w:start w:val="1"/>
    </w:lvl>
  </w:abstractNum>
  <w:abstractNum w:abstractNumId="38">
    <w:nsid w:val="725A06FB"/>
    <w:multiLevelType w:val="hybridMultilevel"/>
    <w:lvl w:ilvl="0">
      <w:lvlJc w:val="left"/>
      <w:lvlText w:val="3"/>
      <w:numFmt w:val="bullet"/>
      <w:start w:val="1"/>
    </w:lvl>
  </w:abstractNum>
  <w:abstractNum w:abstractNumId="39">
    <w:nsid w:val="2CD89A32"/>
    <w:multiLevelType w:val="hybridMultilevel"/>
    <w:lvl w:ilvl="0">
      <w:lvlJc w:val="left"/>
      <w:lvlText w:val="4"/>
      <w:numFmt w:val="bullet"/>
      <w:start w:val="1"/>
    </w:lvl>
  </w:abstractNum>
  <w:abstractNum w:abstractNumId="40">
    <w:nsid w:val="57E4CCAF"/>
    <w:multiLevelType w:val="hybridMultilevel"/>
    <w:lvl w:ilvl="0">
      <w:lvlJc w:val="left"/>
      <w:lvlText w:val="5"/>
      <w:numFmt w:val="bullet"/>
      <w:start w:val="1"/>
    </w:lvl>
  </w:abstractNum>
  <w:abstractNum w:abstractNumId="41">
    <w:nsid w:val="7A6D8D3C"/>
    <w:multiLevelType w:val="hybridMultilevel"/>
    <w:lvl w:ilvl="0">
      <w:lvlJc w:val="left"/>
      <w:lvlText w:val="6"/>
      <w:numFmt w:val="bullet"/>
      <w:start w:val="1"/>
    </w:lvl>
  </w:abstractNum>
  <w:abstractNum w:abstractNumId="42">
    <w:nsid w:val="4B588F54"/>
    <w:multiLevelType w:val="hybridMultilevel"/>
    <w:lvl w:ilvl="0">
      <w:lvlJc w:val="left"/>
      <w:lvlText w:val="%1"/>
      <w:numFmt w:val="decimal"/>
      <w:start w:val="11"/>
    </w:lvl>
  </w:abstractNum>
  <w:abstractNum w:abstractNumId="43">
    <w:nsid w:val="542289EC"/>
    <w:multiLevelType w:val="hybridMultilevel"/>
    <w:lvl w:ilvl="0">
      <w:lvlJc w:val="left"/>
      <w:lvlText w:val="(%1)"/>
      <w:numFmt w:val="lowerLetter"/>
      <w:start w:val="4"/>
    </w:lvl>
  </w:abstractNum>
  <w:abstractNum w:abstractNumId="44">
    <w:nsid w:val="6DE91B18"/>
    <w:multiLevelType w:val="hybridMultilevel"/>
    <w:lvl w:ilvl="0">
      <w:lvlJc w:val="left"/>
      <w:lvlText w:val="(%1)"/>
      <w:numFmt w:val="lowerLetter"/>
      <w:start w:val="1"/>
    </w:lvl>
  </w:abstractNum>
  <w:abstractNum w:abstractNumId="45">
    <w:nsid w:val="38437FDB"/>
    <w:multiLevelType w:val="hybridMultilevel"/>
    <w:lvl w:ilvl="0">
      <w:lvlJc w:val="left"/>
      <w:lvlText w:val="(%1)"/>
      <w:numFmt w:val="lowerLetter"/>
      <w:start w:val="2"/>
    </w:lvl>
  </w:abstractNum>
  <w:abstractNum w:abstractNumId="46">
    <w:nsid w:val="7644A45C"/>
    <w:multiLevelType w:val="hybridMultilevel"/>
    <w:lvl w:ilvl="0">
      <w:lvlJc w:val="left"/>
      <w:lvlText w:val="(%1)"/>
      <w:numFmt w:val="lowerLetter"/>
      <w:start w:val="3"/>
    </w:lvl>
  </w:abstractNum>
  <w:abstractNum w:abstractNumId="47">
    <w:nsid w:val="32FFF902"/>
    <w:multiLevelType w:val="hybridMultilevel"/>
    <w:lvl w:ilvl="0">
      <w:lvlJc w:val="left"/>
      <w:lvlText w:val="(%1)"/>
      <w:numFmt w:val="lowerLetter"/>
      <w:start w:val="5"/>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2019-11-28T08:38:03Z</dcterms:created>
  <dcterms:modified xsi:type="dcterms:W3CDTF">2019-11-28T08:38:03Z</dcterms:modified>
</cp:coreProperties>
</file>