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152337_8k.htm"/>
      <w:bookmarkStart w:id="1" w:name="ksv152337_8k"/>
      <w:bookmarkStart w:id="2" w:name="v152337_8k.htm"/>
      <w:bookmarkStart w:id="3" w:name="ksv152337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75"/>
        <w:gridCol w:w="4730"/>
      </w:tblGrid>
      <w:tr>
        <w:trPr/>
        <w:tc>
          <w:tcPr>
            <w:tcW w:w="547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473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June 12, 2009</w:t>
            </w:r>
          </w:p>
        </w:tc>
      </w:tr>
      <w:tr>
        <w:trPr/>
        <w:tc>
          <w:tcPr>
            <w:tcW w:w="10205" w:type="dxa"/>
            <w:gridSpan w:val="2"/>
            <w:tcBorders/>
            <w:shd w:fill="auto" w:val="cle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ableContents"/>
              <w:spacing w:before="0" w:after="0"/>
              <w:ind w:left="0" w:right="0" w:hanging="0"/>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654"/>
        <w:gridCol w:w="881"/>
        <w:gridCol w:w="2521"/>
        <w:gridCol w:w="881"/>
        <w:gridCol w:w="2268"/>
      </w:tblGrid>
      <w:tr>
        <w:trPr/>
        <w:tc>
          <w:tcPr>
            <w:tcW w:w="365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881" w:type="dxa"/>
            <w:tcBorders>
              <w:bottom w:val="single" w:sz="12" w:space="0" w:color="000000"/>
            </w:tcBorders>
            <w:shd w:fill="auto" w:val="clear"/>
          </w:tcPr>
          <w:p>
            <w:pPr>
              <w:pStyle w:val="TableContents"/>
              <w:spacing w:before="0" w:after="283"/>
              <w:rPr/>
            </w:pPr>
            <w:r>
              <w:rPr/>
              <w:t xml:space="preserve">  </w:t>
            </w:r>
          </w:p>
        </w:tc>
        <w:tc>
          <w:tcPr>
            <w:tcW w:w="2521"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881" w:type="dxa"/>
            <w:tcBorders>
              <w:bottom w:val="single" w:sz="12" w:space="0" w:color="000000"/>
            </w:tcBorders>
            <w:shd w:fill="auto" w:val="clear"/>
          </w:tcPr>
          <w:p>
            <w:pPr>
              <w:pStyle w:val="TableContents"/>
              <w:spacing w:before="0" w:after="283"/>
              <w:rPr/>
            </w:pPr>
            <w:r>
              <w:rPr/>
              <w:t xml:space="preserve">  </w:t>
            </w:r>
          </w:p>
        </w:tc>
        <w:tc>
          <w:tcPr>
            <w:tcW w:w="2268"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65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w:t>
            </w:r>
          </w:p>
          <w:p>
            <w:pPr>
              <w:pStyle w:val="TableContents"/>
              <w:spacing w:before="0" w:after="0"/>
              <w:ind w:left="0" w:right="0" w:hanging="0"/>
              <w:jc w:val="center"/>
              <w:rPr>
                <w:rFonts w:ascii="Times New Roman" w:hAnsi="Times New Roman"/>
                <w:sz w:val="20"/>
              </w:rPr>
            </w:pPr>
            <w:r>
              <w:rPr>
                <w:rFonts w:ascii="Times New Roman" w:hAnsi="Times New Roman"/>
                <w:sz w:val="20"/>
              </w:rPr>
              <w:t>incorporation)</w:t>
            </w:r>
          </w:p>
        </w:tc>
        <w:tc>
          <w:tcPr>
            <w:tcW w:w="881" w:type="dxa"/>
            <w:tcBorders/>
            <w:shd w:fill="auto" w:val="clear"/>
            <w:tcMar>
              <w:bottom w:w="0" w:type="dxa"/>
            </w:tcMar>
          </w:tcPr>
          <w:p>
            <w:pPr>
              <w:pStyle w:val="TableContents"/>
              <w:spacing w:before="0" w:after="283"/>
              <w:rPr/>
            </w:pPr>
            <w:r>
              <w:rPr/>
              <w:t xml:space="preserve">  </w:t>
            </w:r>
          </w:p>
        </w:tc>
        <w:tc>
          <w:tcPr>
            <w:tcW w:w="252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w:t>
            </w:r>
          </w:p>
          <w:p>
            <w:pPr>
              <w:pStyle w:val="TableContents"/>
              <w:spacing w:before="0" w:after="0"/>
              <w:ind w:left="0" w:right="0" w:hanging="0"/>
              <w:jc w:val="center"/>
              <w:rPr>
                <w:rFonts w:ascii="Times New Roman" w:hAnsi="Times New Roman"/>
                <w:sz w:val="20"/>
              </w:rPr>
            </w:pPr>
            <w:r>
              <w:rPr>
                <w:rFonts w:ascii="Times New Roman" w:hAnsi="Times New Roman"/>
                <w:sz w:val="20"/>
              </w:rPr>
              <w:t>Number)</w:t>
            </w:r>
          </w:p>
        </w:tc>
        <w:tc>
          <w:tcPr>
            <w:tcW w:w="881" w:type="dxa"/>
            <w:tcBorders/>
            <w:shd w:fill="auto" w:val="clear"/>
            <w:tcMar>
              <w:bottom w:w="0" w:type="dxa"/>
            </w:tcMar>
          </w:tcPr>
          <w:p>
            <w:pPr>
              <w:pStyle w:val="TableContents"/>
              <w:spacing w:before="0" w:after="283"/>
              <w:rPr/>
            </w:pPr>
            <w:r>
              <w:rPr/>
              <w:t xml:space="preserve">  </w:t>
            </w:r>
          </w:p>
        </w:tc>
        <w:tc>
          <w:tcPr>
            <w:tcW w:w="226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63"/>
        <w:gridCol w:w="5042"/>
      </w:tblGrid>
      <w:tr>
        <w:trPr/>
        <w:tc>
          <w:tcPr>
            <w:tcW w:w="516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042" w:type="dxa"/>
            <w:tcBorders>
              <w:bottom w:val="single" w:sz="12" w:space="0" w:color="000000"/>
            </w:tcBorders>
            <w:shd w:fill="auto" w:val="clear"/>
          </w:tcPr>
          <w:p>
            <w:pPr>
              <w:pStyle w:val="TableContents"/>
              <w:spacing w:before="0" w:after="0"/>
              <w:ind w:left="0" w:right="0" w:hanging="0"/>
              <w:jc w:val="right"/>
              <w:rPr/>
            </w:pPr>
            <w:r>
              <w:rPr/>
              <w:t> </w:t>
            </w:r>
          </w:p>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sz w:val="20"/>
              </w:rPr>
            </w:pPr>
            <w:r>
              <w:rPr>
                <w:rFonts w:ascii="Times New Roman" w:hAnsi="Times New Roman"/>
                <w:b/>
                <w:sz w:val="20"/>
              </w:rPr>
              <w:t>60611-4213</w:t>
            </w:r>
          </w:p>
        </w:tc>
      </w:tr>
      <w:tr>
        <w:trPr/>
        <w:tc>
          <w:tcPr>
            <w:tcW w:w="516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042"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76"/>
        <w:gridCol w:w="4729"/>
      </w:tblGrid>
      <w:tr>
        <w:trPr/>
        <w:tc>
          <w:tcPr>
            <w:tcW w:w="547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4729"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0"/>
              <w:ind w:left="0" w:right="0" w:hanging="0"/>
              <w:jc w:val="both"/>
              <w:rPr>
                <w:rFonts w:ascii="Wingdings" w:hAnsi="Wingdings"/>
                <w:sz w:val="20"/>
              </w:rPr>
            </w:pPr>
            <w:r>
              <w:rPr>
                <w:rFonts w:ascii="Wingdings" w:hAnsi="Wingdings"/>
                <w:sz w:val="20"/>
              </w:rPr>
              <w:t>o</w:t>
            </w:r>
          </w:p>
        </w:tc>
        <w:tc>
          <w:tcPr>
            <w:tcW w:w="96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509" w:type="dxa"/>
            <w:tcBorders/>
            <w:shd w:fill="auto" w:val="clear"/>
          </w:tcPr>
          <w:p>
            <w:pPr>
              <w:pStyle w:val="TableContents"/>
              <w:spacing w:before="0" w:after="283"/>
              <w:rPr/>
            </w:pPr>
            <w:r>
              <w:rPr/>
              <w:t xml:space="preserve">  </w:t>
            </w:r>
          </w:p>
        </w:tc>
        <w:tc>
          <w:tcPr>
            <w:tcW w:w="9696" w:type="dxa"/>
            <w:tcBorders/>
            <w:shd w:fill="auto" w:val="clear"/>
          </w:tcPr>
          <w:p>
            <w:pPr>
              <w:pStyle w:val="TableContents"/>
              <w:spacing w:before="0" w:after="283"/>
              <w:rPr/>
            </w:pPr>
            <w:r>
              <w:rPr/>
              <w:t xml:space="preserve">  </w:t>
            </w:r>
          </w:p>
        </w:tc>
      </w:tr>
      <w:tr>
        <w:trPr/>
        <w:tc>
          <w:tcPr>
            <w:tcW w:w="509" w:type="dxa"/>
            <w:tcBorders/>
            <w:shd w:fill="auto" w:val="clear"/>
          </w:tcPr>
          <w:p>
            <w:pPr>
              <w:pStyle w:val="TableContents"/>
              <w:spacing w:before="0" w:after="0"/>
              <w:ind w:left="0" w:right="0" w:hanging="0"/>
              <w:jc w:val="both"/>
              <w:rPr>
                <w:rFonts w:ascii="Wingdings" w:hAnsi="Wingdings"/>
                <w:sz w:val="20"/>
              </w:rPr>
            </w:pPr>
            <w:r>
              <w:rPr>
                <w:rFonts w:ascii="Wingdings" w:hAnsi="Wingdings"/>
                <w:sz w:val="20"/>
              </w:rPr>
              <w:t>o</w:t>
            </w:r>
          </w:p>
        </w:tc>
        <w:tc>
          <w:tcPr>
            <w:tcW w:w="96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509" w:type="dxa"/>
            <w:tcBorders/>
            <w:shd w:fill="auto" w:val="clear"/>
          </w:tcPr>
          <w:p>
            <w:pPr>
              <w:pStyle w:val="TableContents"/>
              <w:spacing w:before="0" w:after="283"/>
              <w:rPr/>
            </w:pPr>
            <w:r>
              <w:rPr/>
              <w:t xml:space="preserve">  </w:t>
            </w:r>
          </w:p>
        </w:tc>
        <w:tc>
          <w:tcPr>
            <w:tcW w:w="9696" w:type="dxa"/>
            <w:tcBorders/>
            <w:shd w:fill="auto" w:val="clear"/>
          </w:tcPr>
          <w:p>
            <w:pPr>
              <w:pStyle w:val="TableContents"/>
              <w:spacing w:before="0" w:after="283"/>
              <w:rPr/>
            </w:pPr>
            <w:r>
              <w:rPr/>
              <w:t xml:space="preserve">  </w:t>
            </w:r>
          </w:p>
        </w:tc>
      </w:tr>
      <w:tr>
        <w:trPr/>
        <w:tc>
          <w:tcPr>
            <w:tcW w:w="509" w:type="dxa"/>
            <w:tcBorders/>
            <w:shd w:fill="auto" w:val="clear"/>
          </w:tcPr>
          <w:p>
            <w:pPr>
              <w:pStyle w:val="TableContents"/>
              <w:spacing w:before="0" w:after="0"/>
              <w:ind w:left="0" w:right="0" w:hanging="0"/>
              <w:jc w:val="both"/>
              <w:rPr>
                <w:rFonts w:ascii="Wingdings" w:hAnsi="Wingdings"/>
                <w:sz w:val="20"/>
              </w:rPr>
            </w:pPr>
            <w:r>
              <w:rPr>
                <w:rFonts w:ascii="Wingdings" w:hAnsi="Wingdings"/>
                <w:sz w:val="20"/>
              </w:rPr>
              <w:t>o</w:t>
            </w:r>
          </w:p>
        </w:tc>
        <w:tc>
          <w:tcPr>
            <w:tcW w:w="96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509" w:type="dxa"/>
            <w:tcBorders/>
            <w:shd w:fill="auto" w:val="clear"/>
          </w:tcPr>
          <w:p>
            <w:pPr>
              <w:pStyle w:val="TableContents"/>
              <w:spacing w:before="0" w:after="283"/>
              <w:rPr/>
            </w:pPr>
            <w:r>
              <w:rPr/>
              <w:t xml:space="preserve">  </w:t>
            </w:r>
          </w:p>
        </w:tc>
        <w:tc>
          <w:tcPr>
            <w:tcW w:w="9696" w:type="dxa"/>
            <w:tcBorders/>
            <w:shd w:fill="auto" w:val="clear"/>
          </w:tcPr>
          <w:p>
            <w:pPr>
              <w:pStyle w:val="TableContents"/>
              <w:spacing w:before="0" w:after="283"/>
              <w:rPr/>
            </w:pPr>
            <w:r>
              <w:rPr/>
              <w:t xml:space="preserve">  </w:t>
            </w:r>
          </w:p>
        </w:tc>
      </w:tr>
      <w:tr>
        <w:trPr/>
        <w:tc>
          <w:tcPr>
            <w:tcW w:w="509" w:type="dxa"/>
            <w:tcBorders/>
            <w:shd w:fill="auto" w:val="clear"/>
          </w:tcPr>
          <w:p>
            <w:pPr>
              <w:pStyle w:val="TableContents"/>
              <w:spacing w:before="0" w:after="0"/>
              <w:ind w:left="0" w:right="0" w:hanging="0"/>
              <w:jc w:val="both"/>
              <w:rPr>
                <w:rFonts w:ascii="Wingdings" w:hAnsi="Wingdings"/>
                <w:sz w:val="20"/>
              </w:rPr>
            </w:pPr>
            <w:r>
              <w:rPr>
                <w:rFonts w:ascii="Wingdings" w:hAnsi="Wingdings"/>
                <w:sz w:val="20"/>
              </w:rPr>
              <w:t>o</w:t>
            </w:r>
          </w:p>
        </w:tc>
        <w:tc>
          <w:tcPr>
            <w:tcW w:w="96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ind w:left="0" w:right="0" w:hanging="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121"/>
        <w:gridCol w:w="9084"/>
      </w:tblGrid>
      <w:tr>
        <w:trPr/>
        <w:tc>
          <w:tcPr>
            <w:tcW w:w="1121"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Item 8.01</w:t>
            </w:r>
          </w:p>
        </w:tc>
        <w:tc>
          <w:tcPr>
            <w:tcW w:w="9084"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Other Events.</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 w:name="TAB1"/>
      <w:bookmarkEnd w:id="4"/>
      <w:r>
        <w:rPr>
          <w:rFonts w:ascii="Times New Roman" w:hAnsi="Times New Roman"/>
          <w:sz w:val="20"/>
        </w:rPr>
        <w:t>On June 12, 2009, Oil-Dri Corporation of America (the “Registrant”) issued a press release announcing expected decreased sales to its largest customer.  A copy of the Registrant’s press release announcing these matters is attached as Exhibit 99.1, and the information contained therein is incorporated herein by reference.</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119"/>
        <w:gridCol w:w="9086"/>
      </w:tblGrid>
      <w:tr>
        <w:trPr/>
        <w:tc>
          <w:tcPr>
            <w:tcW w:w="111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Item 9.01</w:t>
            </w:r>
          </w:p>
        </w:tc>
        <w:tc>
          <w:tcPr>
            <w:tcW w:w="908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Financial Statements and Exhibits.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122"/>
        <w:gridCol w:w="509"/>
        <w:gridCol w:w="6635"/>
        <w:gridCol w:w="1939"/>
      </w:tblGrid>
      <w:tr>
        <w:trPr/>
        <w:tc>
          <w:tcPr>
            <w:tcW w:w="112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509" w:type="dxa"/>
            <w:tcBorders/>
            <w:shd w:fill="auto" w:val="clear"/>
          </w:tcPr>
          <w:p>
            <w:pPr>
              <w:pStyle w:val="TableContents"/>
              <w:spacing w:before="0" w:after="283"/>
              <w:jc w:val="left"/>
              <w:rPr/>
            </w:pPr>
            <w:r>
              <w:rPr/>
              <w:t> </w:t>
            </w:r>
          </w:p>
        </w:tc>
        <w:tc>
          <w:tcPr>
            <w:tcW w:w="6635" w:type="dxa"/>
            <w:tcBorders/>
            <w:shd w:fill="auto" w:val="clear"/>
          </w:tcPr>
          <w:p>
            <w:pPr>
              <w:pStyle w:val="TableContents"/>
              <w:spacing w:before="0" w:after="283"/>
              <w:rPr/>
            </w:pPr>
            <w:r>
              <w:rPr/>
              <w:t xml:space="preserve">  </w:t>
            </w:r>
          </w:p>
        </w:tc>
        <w:tc>
          <w:tcPr>
            <w:tcW w:w="1939" w:type="dxa"/>
            <w:tcBorders/>
            <w:shd w:fill="auto" w:val="clear"/>
          </w:tcPr>
          <w:p>
            <w:pPr>
              <w:pStyle w:val="TableContents"/>
              <w:spacing w:before="0" w:after="283"/>
              <w:rPr/>
            </w:pPr>
            <w:r>
              <w:rPr/>
              <w:t> </w:t>
            </w:r>
          </w:p>
        </w:tc>
      </w:tr>
      <w:tr>
        <w:trPr/>
        <w:tc>
          <w:tcPr>
            <w:tcW w:w="112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509" w:type="dxa"/>
            <w:tcBorders/>
            <w:shd w:fill="auto" w:val="clear"/>
          </w:tcPr>
          <w:p>
            <w:pPr>
              <w:pStyle w:val="TableContents"/>
              <w:spacing w:before="0" w:after="283"/>
              <w:jc w:val="left"/>
              <w:rPr/>
            </w:pPr>
            <w:r>
              <w:rPr/>
              <w:t> </w:t>
            </w:r>
          </w:p>
        </w:tc>
        <w:tc>
          <w:tcPr>
            <w:tcW w:w="6635"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c>
          <w:tcPr>
            <w:tcW w:w="1939" w:type="dxa"/>
            <w:tcBorders/>
            <w:shd w:fill="auto" w:val="clear"/>
          </w:tcPr>
          <w:p>
            <w:pPr>
              <w:pStyle w:val="TableContents"/>
              <w:spacing w:before="0" w:after="283"/>
              <w:jc w:val="left"/>
              <w:rPr/>
            </w:pPr>
            <w:r>
              <w:rPr/>
              <w:t> </w:t>
            </w:r>
          </w:p>
        </w:tc>
      </w:tr>
      <w:tr>
        <w:trPr/>
        <w:tc>
          <w:tcPr>
            <w:tcW w:w="1122"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w:t>
            </w:r>
          </w:p>
        </w:tc>
        <w:tc>
          <w:tcPr>
            <w:tcW w:w="6635" w:type="dxa"/>
            <w:tcBorders/>
            <w:shd w:fill="auto" w:val="clear"/>
          </w:tcPr>
          <w:p>
            <w:pPr>
              <w:pStyle w:val="TableContents"/>
              <w:spacing w:before="0" w:after="283"/>
              <w:rPr/>
            </w:pPr>
            <w:r>
              <w:rPr/>
              <w:t xml:space="preserve">  </w:t>
            </w:r>
          </w:p>
        </w:tc>
        <w:tc>
          <w:tcPr>
            <w:tcW w:w="1939" w:type="dxa"/>
            <w:tcBorders/>
            <w:shd w:fill="auto" w:val="clear"/>
          </w:tcPr>
          <w:p>
            <w:pPr>
              <w:pStyle w:val="TableContents"/>
              <w:spacing w:before="0" w:after="283"/>
              <w:rPr/>
            </w:pPr>
            <w:r>
              <w:rPr/>
              <w:t> </w:t>
            </w:r>
          </w:p>
        </w:tc>
      </w:tr>
      <w:tr>
        <w:trPr/>
        <w:tc>
          <w:tcPr>
            <w:tcW w:w="1122"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w:t>
            </w:r>
          </w:p>
        </w:tc>
        <w:tc>
          <w:tcPr>
            <w:tcW w:w="6635" w:type="dxa"/>
            <w:tcBorders/>
            <w:shd w:fill="auto" w:val="clear"/>
          </w:tcPr>
          <w:p>
            <w:pPr>
              <w:pStyle w:val="TableContents"/>
              <w:spacing w:before="0" w:after="283"/>
              <w:rPr/>
            </w:pPr>
            <w:r>
              <w:rPr/>
              <w:t xml:space="preserve">  </w:t>
            </w:r>
          </w:p>
        </w:tc>
        <w:tc>
          <w:tcPr>
            <w:tcW w:w="1939" w:type="dxa"/>
            <w:tcBorders/>
            <w:shd w:fill="auto" w:val="clear"/>
          </w:tcPr>
          <w:p>
            <w:pPr>
              <w:pStyle w:val="TableContents"/>
              <w:spacing w:before="0" w:after="283"/>
              <w:rPr/>
            </w:pPr>
            <w:r>
              <w:rPr/>
              <w:t> </w:t>
            </w:r>
          </w:p>
        </w:tc>
      </w:tr>
      <w:tr>
        <w:trPr/>
        <w:tc>
          <w:tcPr>
            <w:tcW w:w="112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509" w:type="dxa"/>
            <w:tcBorders/>
            <w:shd w:fill="auto" w:val="clear"/>
          </w:tcPr>
          <w:p>
            <w:pPr>
              <w:pStyle w:val="TableContents"/>
              <w:spacing w:before="0" w:after="283"/>
              <w:jc w:val="left"/>
              <w:rPr/>
            </w:pPr>
            <w:r>
              <w:rPr/>
              <w:t> </w:t>
            </w:r>
          </w:p>
        </w:tc>
        <w:tc>
          <w:tcPr>
            <w:tcW w:w="66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June 12, 2009</w:t>
            </w:r>
          </w:p>
        </w:tc>
        <w:tc>
          <w:tcPr>
            <w:tcW w:w="1939" w:type="dxa"/>
            <w:tcBorders/>
            <w:shd w:fill="auto" w:val="clear"/>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 w:name="GLFTR"/>
      <w:bookmarkEnd w:id="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 w:name="PN"/>
      <w:bookmarkEnd w:id="10"/>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 w:name="GLHDR"/>
      <w:bookmarkEnd w:id="1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613"/>
        <w:gridCol w:w="305"/>
        <w:gridCol w:w="4287"/>
      </w:tblGrid>
      <w:tr>
        <w:trPr/>
        <w:tc>
          <w:tcPr>
            <w:tcW w:w="5613" w:type="dxa"/>
            <w:tcBorders/>
            <w:shd w:fill="auto" w:val="clear"/>
          </w:tcPr>
          <w:p>
            <w:pPr>
              <w:pStyle w:val="TableContents"/>
              <w:spacing w:before="0" w:after="283"/>
              <w:rPr/>
            </w:pPr>
            <w:r>
              <w:rPr/>
              <w:t xml:space="preserve">  </w:t>
            </w:r>
          </w:p>
        </w:tc>
        <w:tc>
          <w:tcPr>
            <w:tcW w:w="4592"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CORPORATION OF AMERICA</w:t>
            </w:r>
          </w:p>
        </w:tc>
      </w:tr>
      <w:tr>
        <w:trPr/>
        <w:tc>
          <w:tcPr>
            <w:tcW w:w="5613"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4287" w:type="dxa"/>
            <w:tcBorders/>
            <w:shd w:fill="auto" w:val="clear"/>
          </w:tcPr>
          <w:p>
            <w:pPr>
              <w:pStyle w:val="TableContents"/>
              <w:spacing w:before="0" w:after="283"/>
              <w:rPr/>
            </w:pPr>
            <w:r>
              <w:rPr/>
              <w:t xml:space="preserve">  </w:t>
            </w:r>
          </w:p>
        </w:tc>
      </w:tr>
      <w:tr>
        <w:trPr/>
        <w:tc>
          <w:tcPr>
            <w:tcW w:w="5613"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4287" w:type="dxa"/>
            <w:tcBorders/>
            <w:shd w:fill="auto" w:val="clear"/>
          </w:tcPr>
          <w:p>
            <w:pPr>
              <w:pStyle w:val="TableContents"/>
              <w:spacing w:before="0" w:after="283"/>
              <w:rPr/>
            </w:pPr>
            <w:r>
              <w:rPr/>
              <w:t xml:space="preserve">  </w:t>
            </w:r>
          </w:p>
        </w:tc>
      </w:tr>
      <w:tr>
        <w:trPr/>
        <w:tc>
          <w:tcPr>
            <w:tcW w:w="5613"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4287" w:type="dxa"/>
            <w:tcBorders/>
            <w:shd w:fill="auto" w:val="clear"/>
          </w:tcPr>
          <w:p>
            <w:pPr>
              <w:pStyle w:val="TableContents"/>
              <w:spacing w:before="0" w:after="283"/>
              <w:rPr/>
            </w:pPr>
            <w:r>
              <w:rPr/>
              <w:t xml:space="preserve">  </w:t>
            </w:r>
          </w:p>
        </w:tc>
      </w:tr>
      <w:tr>
        <w:trPr/>
        <w:tc>
          <w:tcPr>
            <w:tcW w:w="5613"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4287" w:type="dxa"/>
            <w:tcBorders/>
            <w:shd w:fill="auto" w:val="clea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/s/</w:t>
            </w:r>
            <w:bookmarkStart w:id="14" w:name="TAB2"/>
            <w:bookmarkEnd w:id="14"/>
            <w:r>
              <w:rPr>
                <w:rFonts w:ascii="times new roman" w:hAnsi="times new roman"/>
                <w:spacing w:val="180"/>
                <w:sz w:val="20"/>
                <w:u w:val="single"/>
              </w:rPr>
              <w:t>   </w:t>
            </w:r>
            <w:r>
              <w:rPr>
                <w:rFonts w:ascii="times new roman" w:hAnsi="times new roman"/>
                <w:sz w:val="20"/>
                <w:u w:val="single"/>
              </w:rPr>
              <w:t> Charles P. Brissman                    </w:t>
            </w:r>
          </w:p>
        </w:tc>
      </w:tr>
      <w:tr>
        <w:trPr/>
        <w:tc>
          <w:tcPr>
            <w:tcW w:w="5613"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42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Charles P. Brissman</w:t>
            </w:r>
          </w:p>
        </w:tc>
      </w:tr>
      <w:tr>
        <w:trPr/>
        <w:tc>
          <w:tcPr>
            <w:tcW w:w="5613"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42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and General Counsel</w:t>
            </w:r>
          </w:p>
        </w:tc>
      </w:tr>
      <w:tr>
        <w:trPr/>
        <w:tc>
          <w:tcPr>
            <w:tcW w:w="5613"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4287" w:type="dxa"/>
            <w:tcBorders/>
            <w:shd w:fill="auto" w:val="clear"/>
          </w:tcPr>
          <w:p>
            <w:pPr>
              <w:pStyle w:val="TableContents"/>
              <w:spacing w:before="0" w:after="283"/>
              <w:rPr/>
            </w:pPr>
            <w:r>
              <w:rPr/>
              <w:t xml:space="preserve">  </w:t>
            </w:r>
          </w:p>
        </w:tc>
      </w:tr>
      <w:tr>
        <w:trPr/>
        <w:tc>
          <w:tcPr>
            <w:tcW w:w="5613"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4287" w:type="dxa"/>
            <w:tcBorders/>
            <w:shd w:fill="auto" w:val="clear"/>
          </w:tcPr>
          <w:p>
            <w:pPr>
              <w:pStyle w:val="TableContents"/>
              <w:spacing w:before="0" w:after="283"/>
              <w:rPr/>
            </w:pPr>
            <w:r>
              <w:rPr/>
              <w:t xml:space="preserve">  </w:t>
            </w:r>
          </w:p>
        </w:tc>
      </w:tr>
      <w:tr>
        <w:trPr/>
        <w:tc>
          <w:tcPr>
            <w:tcW w:w="5613"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4287" w:type="dxa"/>
            <w:tcBorders/>
            <w:shd w:fill="auto" w:val="clear"/>
          </w:tcPr>
          <w:p>
            <w:pPr>
              <w:pStyle w:val="TableContents"/>
              <w:spacing w:before="0" w:after="283"/>
              <w:rPr/>
            </w:pPr>
            <w:r>
              <w:rPr/>
              <w:t xml:space="preserve">  </w:t>
            </w:r>
          </w:p>
        </w:tc>
      </w:tr>
      <w:tr>
        <w:trPr/>
        <w:tc>
          <w:tcPr>
            <w:tcW w:w="5613" w:type="dxa"/>
            <w:tcBorders/>
            <w:shd w:fill="auto" w:val="clear"/>
          </w:tcPr>
          <w:p>
            <w:pPr>
              <w:pStyle w:val="TableContents"/>
              <w:spacing w:before="0" w:after="283"/>
              <w:rPr/>
            </w:pPr>
            <w:r>
              <w:rPr/>
              <w:t xml:space="preserve">  </w:t>
            </w:r>
          </w:p>
        </w:tc>
        <w:tc>
          <w:tcPr>
            <w:tcW w:w="305" w:type="dxa"/>
            <w:tcBorders/>
            <w:shd w:fill="auto" w:val="clear"/>
          </w:tcPr>
          <w:p>
            <w:pPr>
              <w:pStyle w:val="TableContents"/>
              <w:spacing w:before="0" w:after="283"/>
              <w:rPr/>
            </w:pPr>
            <w:r>
              <w:rPr/>
              <w:t xml:space="preserve">  </w:t>
            </w:r>
          </w:p>
        </w:tc>
        <w:tc>
          <w:tcPr>
            <w:tcW w:w="4287" w:type="dxa"/>
            <w:tcBorders/>
            <w:shd w:fill="auto" w:val="clear"/>
          </w:tcPr>
          <w:p>
            <w:pPr>
              <w:pStyle w:val="TableContents"/>
              <w:spacing w:before="0" w:after="283"/>
              <w:rPr/>
            </w:pPr>
            <w:r>
              <w:rPr/>
              <w:t xml:space="preserve">  </w:t>
            </w:r>
          </w:p>
        </w:tc>
      </w:tr>
      <w:tr>
        <w:trPr/>
        <w:tc>
          <w:tcPr>
            <w:tcW w:w="56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June 12, 2009</w:t>
            </w:r>
          </w:p>
        </w:tc>
        <w:tc>
          <w:tcPr>
            <w:tcW w:w="305" w:type="dxa"/>
            <w:tcBorders/>
            <w:shd w:fill="auto" w:val="clear"/>
          </w:tcPr>
          <w:p>
            <w:pPr>
              <w:pStyle w:val="TableContents"/>
              <w:spacing w:before="0" w:after="283"/>
              <w:rPr/>
            </w:pPr>
            <w:r>
              <w:rPr/>
              <w:t xml:space="preserve">  </w:t>
            </w:r>
          </w:p>
        </w:tc>
        <w:tc>
          <w:tcPr>
            <w:tcW w:w="4287" w:type="dxa"/>
            <w:tcBorders/>
            <w:shd w:fill="auto" w:val="clear"/>
          </w:tcPr>
          <w:p>
            <w:pPr>
              <w:pStyle w:val="TableContents"/>
              <w:spacing w:before="0" w:after="283"/>
              <w:rPr/>
            </w:pPr>
            <w:r>
              <w:rPr/>
              <w:t xml:space="preserve">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1"/>
      <w:bookmarkStart w:id="16" w:name="PGBRK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FTR1"/>
      <w:bookmarkStart w:id="18" w:name="FT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 w:name="GLFTR1"/>
      <w:bookmarkEnd w:id="1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 w:name="PN1"/>
      <w:bookmarkEnd w:id="20"/>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HDR1"/>
      <w:bookmarkStart w:id="22" w:name="HD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 w:name="GLHDR1"/>
      <w:bookmarkEnd w:id="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t> </w:t>
      </w:r>
    </w:p>
    <w:p>
      <w:pPr>
        <w:pStyle w:val="TextBody"/>
        <w:spacing w:before="0" w:after="0"/>
        <w:ind w:left="0" w:right="0" w:hanging="0"/>
        <w:rPr/>
      </w:pPr>
      <w:r>
        <w:rPr/>
        <w:br/>
        <w:t> </w:t>
      </w:r>
    </w:p>
    <w:tbl>
      <w:tblPr>
        <w:tblW w:w="5000" w:type="pct"/>
        <w:jc w:val="left"/>
        <w:tblInd w:w="0" w:type="dxa"/>
        <w:tblCellMar>
          <w:top w:w="0" w:type="dxa"/>
          <w:left w:w="0" w:type="dxa"/>
          <w:bottom w:w="0" w:type="dxa"/>
          <w:right w:w="0" w:type="dxa"/>
        </w:tblCellMar>
      </w:tblPr>
      <w:tblGrid>
        <w:gridCol w:w="1122"/>
        <w:gridCol w:w="509"/>
        <w:gridCol w:w="6635"/>
        <w:gridCol w:w="1939"/>
      </w:tblGrid>
      <w:tr>
        <w:trPr/>
        <w:tc>
          <w:tcPr>
            <w:tcW w:w="112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509" w:type="dxa"/>
            <w:tcBorders/>
            <w:shd w:fill="auto" w:val="clear"/>
          </w:tcPr>
          <w:p>
            <w:pPr>
              <w:pStyle w:val="TableContents"/>
              <w:spacing w:before="0" w:after="283"/>
              <w:jc w:val="left"/>
              <w:rPr/>
            </w:pPr>
            <w:r>
              <w:rPr/>
              <w:t> </w:t>
            </w:r>
          </w:p>
        </w:tc>
        <w:tc>
          <w:tcPr>
            <w:tcW w:w="6635" w:type="dxa"/>
            <w:tcBorders/>
            <w:shd w:fill="auto" w:val="clear"/>
          </w:tcPr>
          <w:p>
            <w:pPr>
              <w:pStyle w:val="TableContents"/>
              <w:spacing w:before="0" w:after="283"/>
              <w:rPr/>
            </w:pPr>
            <w:r>
              <w:rPr/>
              <w:t xml:space="preserve">  </w:t>
            </w:r>
          </w:p>
        </w:tc>
        <w:tc>
          <w:tcPr>
            <w:tcW w:w="1939" w:type="dxa"/>
            <w:tcBorders/>
            <w:shd w:fill="auto" w:val="clear"/>
          </w:tcPr>
          <w:p>
            <w:pPr>
              <w:pStyle w:val="TableContents"/>
              <w:spacing w:before="0" w:after="283"/>
              <w:rPr/>
            </w:pPr>
            <w:r>
              <w:rPr/>
              <w:t> </w:t>
            </w:r>
          </w:p>
        </w:tc>
      </w:tr>
      <w:tr>
        <w:trPr/>
        <w:tc>
          <w:tcPr>
            <w:tcW w:w="112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509" w:type="dxa"/>
            <w:tcBorders/>
            <w:shd w:fill="auto" w:val="clear"/>
          </w:tcPr>
          <w:p>
            <w:pPr>
              <w:pStyle w:val="TableContents"/>
              <w:spacing w:before="0" w:after="283"/>
              <w:jc w:val="left"/>
              <w:rPr/>
            </w:pPr>
            <w:r>
              <w:rPr/>
              <w:t> </w:t>
            </w:r>
          </w:p>
        </w:tc>
        <w:tc>
          <w:tcPr>
            <w:tcW w:w="6635"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c>
          <w:tcPr>
            <w:tcW w:w="1939" w:type="dxa"/>
            <w:tcBorders/>
            <w:shd w:fill="auto" w:val="clear"/>
          </w:tcPr>
          <w:p>
            <w:pPr>
              <w:pStyle w:val="TableContents"/>
              <w:spacing w:before="0" w:after="283"/>
              <w:jc w:val="left"/>
              <w:rPr/>
            </w:pPr>
            <w:r>
              <w:rPr/>
              <w:t> </w:t>
            </w:r>
          </w:p>
        </w:tc>
      </w:tr>
      <w:tr>
        <w:trPr/>
        <w:tc>
          <w:tcPr>
            <w:tcW w:w="1122"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w:t>
            </w:r>
          </w:p>
        </w:tc>
        <w:tc>
          <w:tcPr>
            <w:tcW w:w="6635" w:type="dxa"/>
            <w:tcBorders/>
            <w:shd w:fill="auto" w:val="clear"/>
          </w:tcPr>
          <w:p>
            <w:pPr>
              <w:pStyle w:val="TableContents"/>
              <w:spacing w:before="0" w:after="283"/>
              <w:rPr/>
            </w:pPr>
            <w:r>
              <w:rPr/>
              <w:t xml:space="preserve">  </w:t>
            </w:r>
          </w:p>
        </w:tc>
        <w:tc>
          <w:tcPr>
            <w:tcW w:w="1939" w:type="dxa"/>
            <w:tcBorders/>
            <w:shd w:fill="auto" w:val="clear"/>
          </w:tcPr>
          <w:p>
            <w:pPr>
              <w:pStyle w:val="TableContents"/>
              <w:spacing w:before="0" w:after="283"/>
              <w:rPr/>
            </w:pPr>
            <w:r>
              <w:rPr/>
              <w:t> </w:t>
            </w:r>
          </w:p>
        </w:tc>
      </w:tr>
      <w:tr>
        <w:trPr/>
        <w:tc>
          <w:tcPr>
            <w:tcW w:w="1122"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w:t>
            </w:r>
          </w:p>
        </w:tc>
        <w:tc>
          <w:tcPr>
            <w:tcW w:w="6635" w:type="dxa"/>
            <w:tcBorders/>
            <w:shd w:fill="auto" w:val="clear"/>
          </w:tcPr>
          <w:p>
            <w:pPr>
              <w:pStyle w:val="TableContents"/>
              <w:spacing w:before="0" w:after="283"/>
              <w:rPr/>
            </w:pPr>
            <w:r>
              <w:rPr/>
              <w:t xml:space="preserve">  </w:t>
            </w:r>
          </w:p>
        </w:tc>
        <w:tc>
          <w:tcPr>
            <w:tcW w:w="1939" w:type="dxa"/>
            <w:tcBorders/>
            <w:shd w:fill="auto" w:val="clear"/>
          </w:tcPr>
          <w:p>
            <w:pPr>
              <w:pStyle w:val="TableContents"/>
              <w:spacing w:before="0" w:after="283"/>
              <w:rPr/>
            </w:pPr>
            <w:r>
              <w:rPr/>
              <w:t> </w:t>
            </w:r>
          </w:p>
        </w:tc>
      </w:tr>
      <w:tr>
        <w:trPr/>
        <w:tc>
          <w:tcPr>
            <w:tcW w:w="112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509" w:type="dxa"/>
            <w:tcBorders/>
            <w:shd w:fill="auto" w:val="clear"/>
          </w:tcPr>
          <w:p>
            <w:pPr>
              <w:pStyle w:val="TableContents"/>
              <w:spacing w:before="0" w:after="283"/>
              <w:jc w:val="left"/>
              <w:rPr/>
            </w:pPr>
            <w:r>
              <w:rPr/>
              <w:t> </w:t>
            </w:r>
          </w:p>
        </w:tc>
        <w:tc>
          <w:tcPr>
            <w:tcW w:w="66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June 12, 2009</w:t>
            </w:r>
          </w:p>
        </w:tc>
        <w:tc>
          <w:tcPr>
            <w:tcW w:w="1939" w:type="dxa"/>
            <w:tcBorders/>
            <w:shd w:fill="auto" w:val="clear"/>
          </w:tcPr>
          <w:p>
            <w:pPr>
              <w:pStyle w:val="TableContents"/>
              <w:spacing w:before="0" w:after="283"/>
              <w:jc w:val="left"/>
              <w:rPr/>
            </w:pPr>
            <w:r>
              <w:rPr/>
              <w:t> </w:t>
            </w:r>
          </w:p>
        </w:tc>
      </w:tr>
    </w:tbl>
    <w:p>
      <w:pPr>
        <w:pStyle w:val="TextBody"/>
        <w:spacing w:before="0" w:after="0"/>
        <w:rPr/>
      </w:pPr>
      <w:r>
        <w:br w:type="page"/>
      </w:r>
      <w:bookmarkStart w:id="24" w:name="v152337_ex99-1.htm"/>
      <w:bookmarkStart w:id="25" w:name="ksv152337_ex991"/>
      <w:bookmarkEnd w:id="24"/>
      <w:bookmarkEnd w:id="25"/>
      <w:r>
        <w:rPr/>
        <w:t> </w:t>
      </w:r>
    </w:p>
    <w:p>
      <w:pPr>
        <w:pStyle w:val="TextBody"/>
        <w:spacing w:before="0" w:after="0"/>
        <w:rPr/>
      </w:pPr>
      <w:r>
        <w:rPr/>
        <w:t> </w:t>
      </w:r>
    </w:p>
    <w:tbl>
      <w:tblPr>
        <w:tblW w:w="5000" w:type="pct"/>
        <w:jc w:val="right"/>
        <w:tblInd w:w="0" w:type="dxa"/>
        <w:shd w:fill="FFFFFF" w:val="clear"/>
        <w:tblCellMar>
          <w:top w:w="0" w:type="dxa"/>
          <w:left w:w="0" w:type="dxa"/>
          <w:bottom w:w="0" w:type="dxa"/>
          <w:right w:w="0" w:type="dxa"/>
        </w:tblCellMar>
      </w:tblPr>
      <w:tblGrid>
        <w:gridCol w:w="2720"/>
        <w:gridCol w:w="7485"/>
      </w:tblGrid>
      <w:tr>
        <w:trPr/>
        <w:tc>
          <w:tcPr>
            <w:tcW w:w="2720" w:type="dxa"/>
            <w:vMerge w:val="restart"/>
            <w:tcBorders/>
            <w:shd w:fill="FFFFFF" w:val="clear"/>
            <w:vAlign w:val="center"/>
          </w:tcPr>
          <w:p>
            <w:pPr>
              <w:pStyle w:val="TableContents"/>
              <w:spacing w:before="0" w:after="283"/>
              <w:rPr/>
            </w:pPr>
            <w:r>
              <w:rPr/>
              <w:drawing>
                <wp:inline distT="0" distB="0" distL="0" distR="0">
                  <wp:extent cx="1638300" cy="128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12852400"/>
                          </a:xfrm>
                          <a:prstGeom prst="rect">
                            <a:avLst/>
                          </a:prstGeom>
                        </pic:spPr>
                      </pic:pic>
                    </a:graphicData>
                  </a:graphic>
                </wp:inline>
              </w:drawing>
            </w:r>
            <w:r>
              <w:rPr/>
              <w:t>  </w:t>
            </w:r>
          </w:p>
        </w:tc>
        <w:tc>
          <w:tcPr>
            <w:tcW w:w="7485" w:type="dxa"/>
            <w:tcBorders/>
            <w:shd w:fill="FFFFFF" w:val="clear"/>
          </w:tcPr>
          <w:p>
            <w:pPr>
              <w:pStyle w:val="TableContents"/>
              <w:spacing w:before="0" w:after="0"/>
              <w:ind w:left="1800" w:right="0" w:hanging="0"/>
              <w:jc w:val="right"/>
              <w:rPr>
                <w:rFonts w:ascii="times new roman" w:hAnsi="times new roman"/>
                <w:sz w:val="20"/>
              </w:rPr>
            </w:pPr>
            <w:r>
              <w:rPr>
                <w:rFonts w:ascii="times new roman" w:hAnsi="times new roman"/>
                <w:sz w:val="20"/>
              </w:rPr>
              <w:t>Exhibit 99.1</w:t>
            </w:r>
          </w:p>
          <w:p>
            <w:pPr>
              <w:pStyle w:val="TableContents"/>
              <w:spacing w:before="0" w:after="0"/>
              <w:ind w:left="1800" w:right="0" w:hanging="0"/>
              <w:jc w:val="right"/>
              <w:rPr>
                <w:rFonts w:ascii="times new roman" w:hAnsi="times new roman"/>
                <w:b/>
                <w:sz w:val="40"/>
              </w:rPr>
            </w:pPr>
            <w:r>
              <w:rPr>
                <w:rFonts w:ascii="times new roman" w:hAnsi="times new roman"/>
                <w:b/>
                <w:sz w:val="40"/>
              </w:rPr>
              <w:t>News Release</w:t>
            </w:r>
          </w:p>
          <w:p>
            <w:pPr>
              <w:pStyle w:val="TableContents"/>
              <w:spacing w:before="0" w:after="0"/>
              <w:ind w:left="0" w:right="0" w:hanging="0"/>
              <w:jc w:val="both"/>
              <w:rPr/>
            </w:pPr>
            <w:r>
              <w:rPr/>
              <w:t xml:space="preserve">  </w:t>
            </w:r>
          </w:p>
          <w:p>
            <w:pPr>
              <w:pStyle w:val="HorizontalLine"/>
              <w:pBdr>
                <w:bottom w:val="single" w:sz="6" w:space="0" w:color="808080"/>
              </w:pBdr>
              <w:jc w:val="both"/>
              <w:rPr/>
            </w:pPr>
            <w:r>
              <w:rPr/>
            </w:r>
          </w:p>
          <w:p>
            <w:pPr>
              <w:pStyle w:val="TableContents"/>
              <w:spacing w:before="0" w:after="0"/>
              <w:ind w:left="0" w:right="0" w:hanging="0"/>
              <w:rPr/>
            </w:pPr>
            <w:r>
              <w:rPr/>
            </w:r>
          </w:p>
          <w:p>
            <w:pPr>
              <w:pStyle w:val="TableContents"/>
              <w:spacing w:before="0" w:after="0"/>
              <w:ind w:left="1800" w:right="0" w:hanging="0"/>
              <w:jc w:val="left"/>
              <w:rPr>
                <w:rFonts w:ascii="times new roman" w:hAnsi="times new roman"/>
                <w:sz w:val="20"/>
              </w:rPr>
            </w:pPr>
            <w:r>
              <w:rPr>
                <w:rFonts w:ascii="times new roman" w:hAnsi="times new roman"/>
                <w:b/>
                <w:sz w:val="20"/>
              </w:rPr>
              <w:t>Release:</w:t>
            </w:r>
            <w:r>
              <w:rPr>
                <w:rFonts w:ascii="times new roman" w:hAnsi="times new roman"/>
                <w:sz w:val="20"/>
              </w:rPr>
              <w:t>Immediate</w:t>
            </w:r>
            <w:bookmarkStart w:id="26" w:name="TAB22"/>
            <w:bookmarkEnd w:id="26"/>
            <w:r>
              <w:rPr>
                <w:rFonts w:ascii="times new roman" w:hAnsi="times new roman"/>
                <w:spacing w:val="180"/>
                <w:sz w:val="20"/>
              </w:rPr>
              <w:t>   </w:t>
            </w:r>
            <w:r>
              <w:rPr>
                <w:rFonts w:ascii="times new roman" w:hAnsi="times new roman"/>
                <w:sz w:val="20"/>
              </w:rPr>
              <w:t> </w:t>
            </w:r>
            <w:r>
              <w:rPr>
                <w:rFonts w:ascii="times new roman" w:hAnsi="times new roman"/>
                <w:b/>
                <w:sz w:val="20"/>
              </w:rPr>
              <w:t>Contact:</w:t>
            </w:r>
            <w:bookmarkStart w:id="27" w:name="TAB21"/>
            <w:bookmarkEnd w:id="27"/>
            <w:r>
              <w:rPr>
                <w:rFonts w:ascii="times new roman" w:hAnsi="times new roman"/>
                <w:b/>
                <w:spacing w:val="180"/>
                <w:sz w:val="20"/>
              </w:rPr>
              <w:t>   </w:t>
            </w:r>
            <w:r>
              <w:rPr>
                <w:rFonts w:ascii="times new roman" w:hAnsi="times new roman"/>
                <w:b/>
                <w:sz w:val="20"/>
              </w:rPr>
              <w:t> </w:t>
            </w:r>
            <w:r>
              <w:rPr>
                <w:rFonts w:ascii="times new roman" w:hAnsi="times new roman"/>
                <w:sz w:val="20"/>
              </w:rPr>
              <w:t>Ronda J. Williams</w:t>
            </w:r>
          </w:p>
          <w:p>
            <w:pPr>
              <w:pStyle w:val="TableContents"/>
              <w:spacing w:before="0" w:after="0"/>
              <w:ind w:left="1800" w:right="0" w:hanging="0"/>
              <w:jc w:val="left"/>
              <w:rPr/>
            </w:pPr>
            <w:r>
              <w:rPr/>
              <w:t xml:space="preserve">                                                                     </w:t>
            </w:r>
            <w:r>
              <w:rPr>
                <w:rFonts w:ascii="times new roman" w:hAnsi="times new roman"/>
                <w:sz w:val="20"/>
              </w:rPr>
              <w:t>312-706-3232</w:t>
            </w:r>
          </w:p>
          <w:p>
            <w:pPr>
              <w:pStyle w:val="TableContents"/>
              <w:spacing w:before="0" w:after="0"/>
              <w:ind w:left="0" w:right="0" w:hanging="0"/>
              <w:rPr/>
            </w:pPr>
            <w:r>
              <w:rPr/>
            </w:r>
          </w:p>
          <w:p>
            <w:pPr>
              <w:pStyle w:val="TableContents"/>
              <w:spacing w:before="0" w:after="0"/>
              <w:ind w:left="0" w:right="0" w:hanging="0"/>
              <w:jc w:val="center"/>
              <w:rPr>
                <w:rFonts w:ascii="times new roman" w:hAnsi="times new roman"/>
                <w:b/>
                <w:sz w:val="20"/>
              </w:rPr>
            </w:pPr>
            <w:r>
              <w:rPr>
                <w:rFonts w:ascii="times new roman" w:hAnsi="times new roman"/>
                <w:b/>
                <w:sz w:val="20"/>
              </w:rPr>
              <w:t>Oil-Dri Announces Expected Decreased Sales to Largest Customer</w:t>
            </w:r>
          </w:p>
          <w:p>
            <w:pPr>
              <w:pStyle w:val="TableContents"/>
              <w:spacing w:before="0" w:after="0"/>
              <w:ind w:left="0" w:right="0" w:hanging="0"/>
              <w:rPr/>
            </w:pPr>
            <w:r>
              <w:rPr/>
            </w:r>
          </w:p>
          <w:p>
            <w:pPr>
              <w:pStyle w:val="TableContents"/>
              <w:spacing w:before="0" w:after="0"/>
              <w:ind w:left="1800" w:right="0" w:hanging="0"/>
              <w:jc w:val="left"/>
              <w:rPr>
                <w:rFonts w:ascii="times new roman" w:hAnsi="times new roman"/>
                <w:sz w:val="20"/>
              </w:rPr>
            </w:pPr>
            <w:r>
              <w:rPr>
                <w:rFonts w:ascii="times new roman" w:hAnsi="times new roman"/>
                <w:sz w:val="20"/>
              </w:rPr>
              <w:t>CHICAGO – (June 12, 2009) – Oil-Dri Corporation of America (NYSE: ODC) today announced that it expects to lose a material amount of branded cat litter sales and related profitability with its largest customer.  Yesterday, this customer informed Oil-Dri that it has decided to emphasize a reduced number of cat litter brands and the customer’s own private label cat litter products in its stores.  As a result, Oil-Dri expects to maintain distribution of branded cat litter products only in those markets where its brands fit this customer’s strategy but will lose distribution where they do not.  The customer indicated that these changes are scheduled to go into effect during August 2009; therefore, Oil-Dri does not expect the changes to have a material effect on the current fiscal year, which ends July 31, 2009.</w:t>
            </w:r>
          </w:p>
          <w:p>
            <w:pPr>
              <w:pStyle w:val="TableContents"/>
              <w:spacing w:before="0" w:after="0"/>
              <w:ind w:left="0" w:right="0" w:hanging="0"/>
              <w:rPr/>
            </w:pPr>
            <w:r>
              <w:rPr/>
            </w:r>
          </w:p>
          <w:p>
            <w:pPr>
              <w:pStyle w:val="TableContents"/>
              <w:spacing w:before="0" w:after="0"/>
              <w:ind w:left="1800" w:right="0" w:hanging="0"/>
              <w:jc w:val="left"/>
              <w:rPr>
                <w:rFonts w:ascii="times new roman" w:hAnsi="times new roman"/>
                <w:sz w:val="20"/>
              </w:rPr>
            </w:pPr>
            <w:r>
              <w:rPr>
                <w:rFonts w:ascii="times new roman" w:hAnsi="times new roman"/>
                <w:sz w:val="20"/>
              </w:rPr>
              <w:t>Oil-Dri President and Chief Executive Officer Daniel S. Jaffee commented, “We believe that these changes will have a materially negative impact on fiscal 2010 sales and net income.  We feel fortunate that we expect to maintain our private label relationship with this customer and that we have the opportunity to implement initiatives to reduce the economic impact of their decision.  Given everything we see at this time, we expect that we will deliver meaningful earnings in fiscal 2010, though most likely below what we have reported in the past couple of fiscal years.”</w:t>
            </w:r>
          </w:p>
          <w:p>
            <w:pPr>
              <w:pStyle w:val="TableContents"/>
              <w:spacing w:before="0" w:after="0"/>
              <w:ind w:left="0" w:right="0" w:hanging="0"/>
              <w:rPr/>
            </w:pPr>
            <w:r>
              <w:rPr/>
            </w:r>
          </w:p>
          <w:p>
            <w:pPr>
              <w:pStyle w:val="TableContents"/>
              <w:spacing w:before="0" w:after="0"/>
              <w:ind w:left="1800" w:right="0" w:hanging="0"/>
              <w:jc w:val="left"/>
              <w:rPr>
                <w:rFonts w:ascii="times new roman" w:hAnsi="times new roman"/>
                <w:sz w:val="20"/>
              </w:rPr>
            </w:pPr>
            <w:r>
              <w:rPr>
                <w:rFonts w:ascii="times new roman" w:hAnsi="times new roman"/>
                <w:sz w:val="20"/>
              </w:rPr>
              <w:t>Jaffee continued, “We remain confident about our branded scoopable cat litter products’ unique points of difference and believe that we have the opportunity to offset some of these lost sales by growing our branded cat litter sales to our other retail partners.”</w:t>
            </w:r>
          </w:p>
          <w:p>
            <w:pPr>
              <w:pStyle w:val="TableContents"/>
              <w:spacing w:before="0" w:after="0"/>
              <w:ind w:left="0" w:right="0" w:hanging="0"/>
              <w:rPr/>
            </w:pPr>
            <w:r>
              <w:rPr/>
            </w:r>
          </w:p>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left"/>
              <w:rPr/>
            </w:pPr>
            <w:r>
              <w:rPr/>
              <w:t xml:space="preserve">  </w:t>
            </w:r>
          </w:p>
          <w:p>
            <w:pPr>
              <w:pStyle w:val="HorizontalLine"/>
              <w:pBdr>
                <w:bottom w:val="single" w:sz="6" w:space="0" w:color="808080"/>
              </w:pBdr>
              <w:jc w:val="left"/>
              <w:rPr/>
            </w:pPr>
            <w:r>
              <w:rPr/>
            </w:r>
          </w:p>
          <w:p>
            <w:pPr>
              <w:pStyle w:val="HorizontalLine"/>
              <w:pBdr>
                <w:bottom w:val="single" w:sz="6" w:space="0" w:color="808080"/>
              </w:pBdr>
              <w:jc w:val="left"/>
              <w:rPr/>
            </w:pPr>
            <w:r>
              <w:rPr/>
            </w:r>
          </w:p>
          <w:p>
            <w:pPr>
              <w:pStyle w:val="TableContents"/>
              <w:spacing w:before="0" w:after="0"/>
              <w:ind w:left="1800" w:right="0" w:hanging="0"/>
              <w:jc w:val="both"/>
              <w:rPr>
                <w:rFonts w:ascii="times new roman" w:hAnsi="times new roman"/>
                <w:i/>
                <w:sz w:val="20"/>
              </w:rPr>
            </w:pPr>
            <w:r>
              <w:rPr>
                <w:rFonts w:ascii="times new roman" w:hAnsi="times new roman"/>
                <w:i/>
                <w:sz w:val="20"/>
              </w:rPr>
              <w:t>Oil-Dri Corporation of America is a leading supplier of specialty sorbent products for agricultural, horticultural, fluids purification, specialty markets, industrial and automotive, and is the world’s largest manufacturer of cat litter.</w:t>
            </w:r>
          </w:p>
          <w:p>
            <w:pPr>
              <w:pStyle w:val="TableContents"/>
              <w:spacing w:before="0" w:after="0"/>
              <w:ind w:left="0" w:right="0" w:hanging="0"/>
              <w:rPr/>
            </w:pPr>
            <w:r>
              <w:rPr/>
            </w:r>
          </w:p>
          <w:p>
            <w:pPr>
              <w:pStyle w:val="TableContents"/>
              <w:spacing w:before="0" w:after="0"/>
              <w:ind w:left="1800" w:right="0" w:hanging="0"/>
              <w:jc w:val="left"/>
              <w:rPr>
                <w:rFonts w:ascii="times new roman" w:hAnsi="times new roman"/>
                <w:i/>
                <w:sz w:val="20"/>
              </w:rPr>
            </w:pPr>
            <w:r>
              <w:rPr>
                <w:rFonts w:ascii="times new roman" w:hAnsi="times new roman"/>
                <w:i/>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pStyle w:val="TableContents"/>
              <w:spacing w:before="0" w:after="0"/>
              <w:ind w:left="0" w:right="0" w:hanging="0"/>
              <w:rPr/>
            </w:pPr>
            <w:r>
              <w:rPr/>
            </w:r>
          </w:p>
          <w:p>
            <w:pPr>
              <w:pStyle w:val="TableContents"/>
              <w:spacing w:before="0" w:after="0"/>
              <w:ind w:left="1800" w:right="0" w:hanging="0"/>
              <w:jc w:val="left"/>
              <w:rPr>
                <w:rFonts w:ascii="times new roman" w:hAnsi="times new roman"/>
                <w:i/>
                <w:sz w:val="20"/>
              </w:rPr>
            </w:pPr>
            <w:r>
              <w:rPr>
                <w:rFonts w:ascii="times new roman" w:hAnsi="times new roman"/>
                <w:i/>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w:t>
            </w:r>
          </w:p>
        </w:tc>
      </w:tr>
      <w:tr>
        <w:trPr/>
        <w:tc>
          <w:tcPr>
            <w:tcW w:w="2720" w:type="dxa"/>
            <w:vMerge w:val="continue"/>
            <w:tcBorders/>
            <w:shd w:fill="FFFFFF" w:val="clear"/>
            <w:vAlign w:val="center"/>
          </w:tcPr>
          <w:p>
            <w:pPr>
              <w:pStyle w:val="Normal"/>
              <w:rPr/>
            </w:pPr>
            <w:r>
              <w:rPr/>
            </w:r>
          </w:p>
        </w:tc>
        <w:tc>
          <w:tcPr>
            <w:tcW w:w="7485" w:type="dxa"/>
            <w:tcBorders/>
            <w:shd w:fill="FFFFFF"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 w:name="PGBRK2"/>
      <w:bookmarkStart w:id="29" w:name="PGBRK2"/>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FTR2"/>
      <w:bookmarkStart w:id="31" w:name="FTR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 w:name="GLFTR2"/>
      <w:bookmarkEnd w:id="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 w:name="PN2"/>
      <w:bookmarkEnd w:id="33"/>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HDR2"/>
      <w:bookmarkStart w:id="35" w:name="HDR2"/>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 w:name="GLHDR2"/>
      <w:bookmarkEnd w:id="3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283"/>
        <w:ind w:left="4680" w:right="0" w:hanging="0"/>
        <w:rPr/>
      </w:pPr>
      <w:r>
        <w:rPr/>
        <w:t> </w:t>
      </w:r>
      <w:r>
        <w:rPr>
          <w:i/>
        </w:rPr>
        <w:t>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969</Words>
  <CharactersWithSpaces>6717</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