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440"/>
              <w:spacing w:after="0"/>
              <w:rPr>
                <w:sz w:val="20"/>
                <w:szCs w:val="20"/>
                <w:color w:val="auto"/>
              </w:rPr>
            </w:pPr>
            <w:r>
              <w:rPr>
                <w:rFonts w:ascii="Arial" w:cs="Arial" w:eastAsia="Arial" w:hAnsi="Arial"/>
                <w:sz w:val="18"/>
                <w:szCs w:val="18"/>
                <w:color w:val="auto"/>
                <w:w w:val="92"/>
              </w:rPr>
              <w:t>March 5, 2020</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661" w:right="239" w:bottom="1440" w:gutter="0" w:footer="0" w:header="0"/>
        </w:sectPr>
      </w:pPr>
    </w:p>
    <w:p>
      <w:pPr>
        <w:spacing w:after="0" w:line="171" w:lineRule="exact"/>
        <w:rPr>
          <w:sz w:val="24"/>
          <w:szCs w:val="24"/>
          <w:color w:val="auto"/>
        </w:rPr>
      </w:pPr>
    </w:p>
    <w:p>
      <w:pPr>
        <w:ind w:left="7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3920" w:space="720"/>
            <w:col w:w="1360" w:space="560"/>
            <w:col w:w="4860"/>
          </w:cols>
          <w:pgMar w:left="240" w:top="661"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920" w:space="720"/>
            <w:col w:w="1200" w:space="720"/>
            <w:col w:w="4860"/>
          </w:cols>
          <w:pgMar w:left="240" w:top="661" w:right="239" w:bottom="1440" w:gutter="0" w:footer="0" w:header="0"/>
          <w:type w:val="continuous"/>
        </w:sectPr>
      </w:pPr>
    </w:p>
    <w:p>
      <w:pPr>
        <w:spacing w:after="0" w:line="6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840" w:hanging="575"/>
        <w:spacing w:after="0"/>
        <w:tabs>
          <w:tab w:leader="none" w:pos="840" w:val="left"/>
        </w:tabs>
        <w:numPr>
          <w:ilvl w:val="1"/>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720" w:hanging="563"/>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720" w:hanging="563"/>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720" w:hanging="563"/>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5, 2020, Oil-Dri Corporation of America (the “Registrant”) issued a press release announcing its results of operations for its second quarter ended January 31, 2020.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tcBorders>
              <w:bottom w:val="single" w:sz="8" w:color="0000FF"/>
            </w:tcBorders>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of the Registrant dated March 5, 2020</w:t>
              </w:r>
            </w:hyperlink>
          </w:p>
        </w:tc>
        <w:tc>
          <w:tcPr>
            <w:tcW w:w="5900" w:type="dxa"/>
            <w:vAlign w:val="bottom"/>
          </w:tcPr>
          <w:p>
            <w:pPr>
              <w:spacing w:after="0"/>
              <w:rPr>
                <w:sz w:val="24"/>
                <w:szCs w:val="24"/>
                <w:color w:val="auto"/>
              </w:rPr>
            </w:pPr>
          </w:p>
        </w:tc>
      </w:tr>
    </w:tbl>
    <w:p>
      <w:pPr>
        <w:sectPr>
          <w:pgSz w:w="11900" w:h="16838" w:orient="portrait"/>
          <w:cols w:equalWidth="0" w:num="1">
            <w:col w:w="11420"/>
          </w:cols>
          <w:pgMar w:left="240" w:top="715"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ectPr>
          <w:pgSz w:w="11900" w:h="16838" w:orient="portrait"/>
          <w:cols w:equalWidth="0" w:num="1">
            <w:col w:w="10880"/>
          </w:cols>
          <w:pgMar w:left="240" w:top="553" w:right="7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294640</wp:posOffset>
            </wp:positionV>
            <wp:extent cx="1475105"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59"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360"/>
        <w:spacing w:after="0"/>
        <w:rPr>
          <w:sz w:val="20"/>
          <w:szCs w:val="20"/>
          <w:color w:val="auto"/>
        </w:rPr>
      </w:pPr>
      <w:r>
        <w:rPr>
          <w:rFonts w:ascii="Arial" w:cs="Arial" w:eastAsia="Arial" w:hAnsi="Arial"/>
          <w:sz w:val="19"/>
          <w:szCs w:val="19"/>
          <w:color w:val="auto"/>
        </w:rPr>
        <w:t>Exhibit 99.1</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Oil-Dri Announces Second Quarter and First Six-Months of Fiscal 2020 Results</w:t>
      </w:r>
    </w:p>
    <w:p>
      <w:pPr>
        <w:spacing w:after="0" w:line="26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CHICAGO-(March 5, 2020)-Oil-Dri Corporation of America (NYSE: ODC), producer and marketer of sorbent mineral products, today announced its second quarter fiscal 2020 earnings.</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8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Second Quarter</w:t>
            </w: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w w:val="89"/>
              </w:rPr>
              <w:t>Year to Date</w:t>
            </w:r>
          </w:p>
        </w:tc>
        <w:tc>
          <w:tcPr>
            <w:tcW w:w="860" w:type="dxa"/>
            <w:vAlign w:val="bottom"/>
          </w:tcPr>
          <w:p>
            <w:pPr>
              <w:spacing w:after="0"/>
              <w:rPr>
                <w:sz w:val="20"/>
                <w:szCs w:val="20"/>
                <w:color w:val="auto"/>
              </w:rPr>
            </w:pPr>
          </w:p>
        </w:tc>
      </w:tr>
      <w:tr>
        <w:trPr>
          <w:trHeight w:val="291"/>
        </w:trPr>
        <w:tc>
          <w:tcPr>
            <w:tcW w:w="3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i w:val="1"/>
                <w:iCs w:val="1"/>
                <w:color w:val="auto"/>
                <w:w w:val="91"/>
              </w:rPr>
              <w:t>Ended January 31</w:t>
            </w:r>
          </w:p>
        </w:tc>
        <w:tc>
          <w:tcPr>
            <w:tcW w:w="9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4"/>
                <w:szCs w:val="14"/>
                <w:i w:val="1"/>
                <w:iCs w:val="1"/>
                <w:color w:val="auto"/>
              </w:rPr>
              <w:t>Ended January 31</w:t>
            </w:r>
          </w:p>
        </w:tc>
        <w:tc>
          <w:tcPr>
            <w:tcW w:w="860" w:type="dxa"/>
            <w:vAlign w:val="bottom"/>
            <w:tcBorders>
              <w:bottom w:val="single" w:sz="8" w:color="auto"/>
            </w:tcBorders>
          </w:tcPr>
          <w:p>
            <w:pPr>
              <w:spacing w:after="0"/>
              <w:rPr>
                <w:sz w:val="24"/>
                <w:szCs w:val="24"/>
                <w:color w:val="auto"/>
              </w:rPr>
            </w:pPr>
          </w:p>
        </w:tc>
      </w:tr>
      <w:tr>
        <w:trPr>
          <w:trHeight w:val="243"/>
        </w:trPr>
        <w:tc>
          <w:tcPr>
            <w:tcW w:w="3800" w:type="dxa"/>
            <w:vAlign w:val="bottom"/>
            <w:tcBorders>
              <w:left w:val="single" w:sz="8" w:color="auto"/>
              <w:right w:val="single" w:sz="8" w:color="auto"/>
            </w:tcBorders>
          </w:tcPr>
          <w:p>
            <w:pPr>
              <w:spacing w:after="0"/>
              <w:rPr>
                <w:sz w:val="21"/>
                <w:szCs w:val="21"/>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F20</w:t>
            </w:r>
          </w:p>
        </w:tc>
        <w:tc>
          <w:tcPr>
            <w:tcW w:w="1500" w:type="dxa"/>
            <w:vAlign w:val="bottom"/>
          </w:tcPr>
          <w:p>
            <w:pPr>
              <w:jc w:val="right"/>
              <w:ind w:right="572"/>
              <w:spacing w:after="0"/>
              <w:rPr>
                <w:sz w:val="20"/>
                <w:szCs w:val="20"/>
                <w:color w:val="auto"/>
              </w:rPr>
            </w:pPr>
            <w:r>
              <w:rPr>
                <w:rFonts w:ascii="Arial" w:cs="Arial" w:eastAsia="Arial" w:hAnsi="Arial"/>
                <w:sz w:val="18"/>
                <w:szCs w:val="18"/>
                <w:b w:val="1"/>
                <w:bCs w:val="1"/>
                <w:color w:val="auto"/>
              </w:rPr>
              <w:t>F19</w:t>
            </w:r>
          </w:p>
        </w:tc>
        <w:tc>
          <w:tcPr>
            <w:tcW w:w="9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1420" w:type="dxa"/>
            <w:vAlign w:val="bottom"/>
          </w:tcPr>
          <w:p>
            <w:pPr>
              <w:jc w:val="right"/>
              <w:ind w:right="472"/>
              <w:spacing w:after="0"/>
              <w:rPr>
                <w:sz w:val="20"/>
                <w:szCs w:val="20"/>
                <w:color w:val="auto"/>
              </w:rPr>
            </w:pPr>
            <w:r>
              <w:rPr>
                <w:rFonts w:ascii="Arial" w:cs="Arial" w:eastAsia="Arial" w:hAnsi="Arial"/>
                <w:sz w:val="18"/>
                <w:szCs w:val="18"/>
                <w:b w:val="1"/>
                <w:bCs w:val="1"/>
                <w:color w:val="auto"/>
              </w:rPr>
              <w:t>F20</w:t>
            </w:r>
          </w:p>
        </w:tc>
        <w:tc>
          <w:tcPr>
            <w:tcW w:w="1560" w:type="dxa"/>
            <w:vAlign w:val="bottom"/>
          </w:tcPr>
          <w:p>
            <w:pPr>
              <w:jc w:val="right"/>
              <w:ind w:right="570"/>
              <w:spacing w:after="0"/>
              <w:rPr>
                <w:sz w:val="20"/>
                <w:szCs w:val="20"/>
                <w:color w:val="auto"/>
              </w:rPr>
            </w:pPr>
            <w:r>
              <w:rPr>
                <w:rFonts w:ascii="Arial" w:cs="Arial" w:eastAsia="Arial" w:hAnsi="Arial"/>
                <w:sz w:val="18"/>
                <w:szCs w:val="18"/>
                <w:b w:val="1"/>
                <w:bCs w:val="1"/>
                <w:color w:val="auto"/>
              </w:rPr>
              <w:t>F19</w:t>
            </w: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r>
      <w:tr>
        <w:trPr>
          <w:trHeight w:val="27"/>
        </w:trPr>
        <w:tc>
          <w:tcPr>
            <w:tcW w:w="3800" w:type="dxa"/>
            <w:vAlign w:val="bottom"/>
            <w:tcBorders>
              <w:left w:val="single" w:sz="8" w:color="auto"/>
              <w:righ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250"/>
        </w:trPr>
        <w:tc>
          <w:tcPr>
            <w:tcW w:w="380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Consolidated Results</w:t>
            </w:r>
          </w:p>
        </w:tc>
        <w:tc>
          <w:tcPr>
            <w:tcW w:w="1340" w:type="dxa"/>
            <w:vAlign w:val="bottom"/>
            <w:tcBorders>
              <w:bottom w:val="single" w:sz="8" w:color="auto"/>
            </w:tcBorders>
            <w:shd w:val="clear" w:color="auto" w:fill="000000"/>
          </w:tcPr>
          <w:p>
            <w:pPr>
              <w:spacing w:after="0"/>
              <w:rPr>
                <w:sz w:val="21"/>
                <w:szCs w:val="21"/>
                <w:color w:val="auto"/>
              </w:rPr>
            </w:pPr>
          </w:p>
        </w:tc>
        <w:tc>
          <w:tcPr>
            <w:tcW w:w="150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c>
          <w:tcPr>
            <w:tcW w:w="14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shd w:val="clear" w:color="auto" w:fill="000000"/>
          </w:tcPr>
          <w:p>
            <w:pPr>
              <w:spacing w:after="0"/>
              <w:rPr>
                <w:sz w:val="21"/>
                <w:szCs w:val="21"/>
                <w:color w:val="auto"/>
              </w:rPr>
            </w:pPr>
          </w:p>
        </w:tc>
        <w:tc>
          <w:tcPr>
            <w:tcW w:w="8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Pr>
          <w:p>
            <w:pPr>
              <w:jc w:val="right"/>
              <w:spacing w:after="0"/>
              <w:rPr>
                <w:sz w:val="20"/>
                <w:szCs w:val="20"/>
                <w:color w:val="auto"/>
              </w:rPr>
            </w:pPr>
            <w:r>
              <w:rPr>
                <w:rFonts w:ascii="Arial" w:cs="Arial" w:eastAsia="Arial" w:hAnsi="Arial"/>
                <w:sz w:val="18"/>
                <w:szCs w:val="18"/>
                <w:color w:val="auto"/>
              </w:rPr>
              <w:t>$71,005,000</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$69,880,000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2%</w:t>
            </w:r>
          </w:p>
        </w:tc>
        <w:tc>
          <w:tcPr>
            <w:tcW w:w="1420" w:type="dxa"/>
            <w:vAlign w:val="bottom"/>
          </w:tcPr>
          <w:p>
            <w:pPr>
              <w:jc w:val="right"/>
              <w:spacing w:after="0"/>
              <w:rPr>
                <w:sz w:val="20"/>
                <w:szCs w:val="20"/>
                <w:color w:val="auto"/>
              </w:rPr>
            </w:pPr>
            <w:r>
              <w:rPr>
                <w:rFonts w:ascii="Arial" w:cs="Arial" w:eastAsia="Arial" w:hAnsi="Arial"/>
                <w:sz w:val="18"/>
                <w:szCs w:val="18"/>
                <w:color w:val="auto"/>
              </w:rPr>
              <w:t>$142,127,000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$136,023,000</w:t>
            </w:r>
          </w:p>
        </w:tc>
        <w:tc>
          <w:tcPr>
            <w:tcW w:w="8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w:t>
            </w:r>
          </w:p>
        </w:tc>
      </w:tr>
      <w:tr>
        <w:trPr>
          <w:trHeight w:val="270"/>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 Attributable to Oil-Dri</w:t>
            </w:r>
          </w:p>
        </w:tc>
        <w:tc>
          <w:tcPr>
            <w:tcW w:w="1340" w:type="dxa"/>
            <w:vAlign w:val="bottom"/>
          </w:tcPr>
          <w:p>
            <w:pPr>
              <w:jc w:val="right"/>
              <w:spacing w:after="0"/>
              <w:rPr>
                <w:sz w:val="20"/>
                <w:szCs w:val="20"/>
                <w:color w:val="auto"/>
              </w:rPr>
            </w:pPr>
            <w:r>
              <w:rPr>
                <w:rFonts w:ascii="Arial" w:cs="Arial" w:eastAsia="Arial" w:hAnsi="Arial"/>
                <w:sz w:val="18"/>
                <w:szCs w:val="18"/>
                <w:color w:val="auto"/>
              </w:rPr>
              <w:t>$4,830,000</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$2,287,000</w:t>
            </w:r>
          </w:p>
        </w:tc>
        <w:tc>
          <w:tcPr>
            <w:tcW w:w="9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111%</w:t>
            </w:r>
          </w:p>
        </w:tc>
        <w:tc>
          <w:tcPr>
            <w:tcW w:w="1420" w:type="dxa"/>
            <w:vAlign w:val="bottom"/>
          </w:tcPr>
          <w:p>
            <w:pPr>
              <w:jc w:val="right"/>
              <w:spacing w:after="0"/>
              <w:rPr>
                <w:sz w:val="20"/>
                <w:szCs w:val="20"/>
                <w:color w:val="auto"/>
              </w:rPr>
            </w:pPr>
            <w:r>
              <w:rPr>
                <w:rFonts w:ascii="Arial" w:cs="Arial" w:eastAsia="Arial" w:hAnsi="Arial"/>
                <w:sz w:val="18"/>
                <w:szCs w:val="18"/>
                <w:color w:val="auto"/>
              </w:rPr>
              <w:t>$8,366,000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$3,193,000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162%</w:t>
            </w:r>
          </w:p>
        </w:tc>
      </w:tr>
      <w:tr>
        <w:trPr>
          <w:trHeight w:val="270"/>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Earnings per Diluted Share</w:t>
            </w:r>
          </w:p>
        </w:tc>
        <w:tc>
          <w:tcPr>
            <w:tcW w:w="1340" w:type="dxa"/>
            <w:vAlign w:val="bottom"/>
          </w:tcPr>
          <w:p>
            <w:pPr>
              <w:jc w:val="right"/>
              <w:spacing w:after="0"/>
              <w:rPr>
                <w:sz w:val="20"/>
                <w:szCs w:val="20"/>
                <w:color w:val="auto"/>
              </w:rPr>
            </w:pPr>
            <w:r>
              <w:rPr>
                <w:rFonts w:ascii="Arial" w:cs="Arial" w:eastAsia="Arial" w:hAnsi="Arial"/>
                <w:sz w:val="18"/>
                <w:szCs w:val="18"/>
                <w:color w:val="auto"/>
              </w:rPr>
              <w:t>$0.63</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$0.30</w:t>
            </w:r>
          </w:p>
        </w:tc>
        <w:tc>
          <w:tcPr>
            <w:tcW w:w="9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110%</w:t>
            </w:r>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160%</w:t>
            </w:r>
          </w:p>
        </w:tc>
      </w:tr>
      <w:tr>
        <w:trPr>
          <w:trHeight w:val="27"/>
        </w:trPr>
        <w:tc>
          <w:tcPr>
            <w:tcW w:w="3800" w:type="dxa"/>
            <w:vAlign w:val="bottom"/>
            <w:tcBorders>
              <w:left w:val="single" w:sz="8" w:color="auto"/>
              <w:righ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250"/>
        </w:trPr>
        <w:tc>
          <w:tcPr>
            <w:tcW w:w="380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Business to Business</w:t>
            </w:r>
          </w:p>
        </w:tc>
        <w:tc>
          <w:tcPr>
            <w:tcW w:w="1340" w:type="dxa"/>
            <w:vAlign w:val="bottom"/>
            <w:tcBorders>
              <w:bottom w:val="single" w:sz="8" w:color="auto"/>
            </w:tcBorders>
            <w:shd w:val="clear" w:color="auto" w:fill="000000"/>
          </w:tcPr>
          <w:p>
            <w:pPr>
              <w:spacing w:after="0"/>
              <w:rPr>
                <w:sz w:val="21"/>
                <w:szCs w:val="21"/>
                <w:color w:val="auto"/>
              </w:rPr>
            </w:pPr>
          </w:p>
        </w:tc>
        <w:tc>
          <w:tcPr>
            <w:tcW w:w="150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c>
          <w:tcPr>
            <w:tcW w:w="14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shd w:val="clear" w:color="auto" w:fill="000000"/>
          </w:tcPr>
          <w:p>
            <w:pPr>
              <w:spacing w:after="0"/>
              <w:rPr>
                <w:sz w:val="21"/>
                <w:szCs w:val="21"/>
                <w:color w:val="auto"/>
              </w:rPr>
            </w:pPr>
          </w:p>
        </w:tc>
        <w:tc>
          <w:tcPr>
            <w:tcW w:w="8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Pr>
          <w:p>
            <w:pPr>
              <w:jc w:val="right"/>
              <w:spacing w:after="0"/>
              <w:rPr>
                <w:sz w:val="20"/>
                <w:szCs w:val="20"/>
                <w:color w:val="auto"/>
              </w:rPr>
            </w:pPr>
            <w:r>
              <w:rPr>
                <w:rFonts w:ascii="Arial" w:cs="Arial" w:eastAsia="Arial" w:hAnsi="Arial"/>
                <w:sz w:val="18"/>
                <w:szCs w:val="18"/>
                <w:color w:val="auto"/>
              </w:rPr>
              <w:t>$24,471,000</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$26,458,000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(8)%</w:t>
            </w:r>
          </w:p>
        </w:tc>
        <w:tc>
          <w:tcPr>
            <w:tcW w:w="1420" w:type="dxa"/>
            <w:vAlign w:val="bottom"/>
          </w:tcPr>
          <w:p>
            <w:pPr>
              <w:jc w:val="right"/>
              <w:spacing w:after="0"/>
              <w:rPr>
                <w:sz w:val="20"/>
                <w:szCs w:val="20"/>
                <w:color w:val="auto"/>
              </w:rPr>
            </w:pPr>
            <w:r>
              <w:rPr>
                <w:rFonts w:ascii="Arial" w:cs="Arial" w:eastAsia="Arial" w:hAnsi="Arial"/>
                <w:sz w:val="18"/>
                <w:szCs w:val="18"/>
                <w:color w:val="auto"/>
              </w:rPr>
              <w:t>$50,949,000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$51,784,000</w:t>
            </w:r>
          </w:p>
        </w:tc>
        <w:tc>
          <w:tcPr>
            <w:tcW w:w="8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(2)%</w:t>
            </w:r>
          </w:p>
        </w:tc>
      </w:tr>
      <w:tr>
        <w:trPr>
          <w:trHeight w:val="270"/>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$7,552,000</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$7,272,000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4%</w:t>
            </w:r>
          </w:p>
        </w:tc>
        <w:tc>
          <w:tcPr>
            <w:tcW w:w="1420" w:type="dxa"/>
            <w:vAlign w:val="bottom"/>
          </w:tcPr>
          <w:p>
            <w:pPr>
              <w:jc w:val="right"/>
              <w:spacing w:after="0"/>
              <w:rPr>
                <w:sz w:val="20"/>
                <w:szCs w:val="20"/>
                <w:color w:val="auto"/>
              </w:rPr>
            </w:pPr>
            <w:r>
              <w:rPr>
                <w:rFonts w:ascii="Arial" w:cs="Arial" w:eastAsia="Arial" w:hAnsi="Arial"/>
                <w:sz w:val="18"/>
                <w:szCs w:val="18"/>
                <w:color w:val="auto"/>
              </w:rPr>
              <w:t>$15,848,000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$14,304,000</w:t>
            </w:r>
          </w:p>
        </w:tc>
        <w:tc>
          <w:tcPr>
            <w:tcW w:w="8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8"/>
              </w:rPr>
              <w:t>11%</w:t>
            </w:r>
          </w:p>
        </w:tc>
      </w:tr>
      <w:tr>
        <w:trPr>
          <w:trHeight w:val="27"/>
        </w:trPr>
        <w:tc>
          <w:tcPr>
            <w:tcW w:w="3800" w:type="dxa"/>
            <w:vAlign w:val="bottom"/>
            <w:tcBorders>
              <w:left w:val="single" w:sz="8" w:color="auto"/>
              <w:righ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250"/>
        </w:trPr>
        <w:tc>
          <w:tcPr>
            <w:tcW w:w="380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Retail and Wholesale</w:t>
            </w:r>
          </w:p>
        </w:tc>
        <w:tc>
          <w:tcPr>
            <w:tcW w:w="1340" w:type="dxa"/>
            <w:vAlign w:val="bottom"/>
            <w:tcBorders>
              <w:bottom w:val="single" w:sz="8" w:color="auto"/>
            </w:tcBorders>
            <w:shd w:val="clear" w:color="auto" w:fill="000000"/>
          </w:tcPr>
          <w:p>
            <w:pPr>
              <w:spacing w:after="0"/>
              <w:rPr>
                <w:sz w:val="21"/>
                <w:szCs w:val="21"/>
                <w:color w:val="auto"/>
              </w:rPr>
            </w:pPr>
          </w:p>
        </w:tc>
        <w:tc>
          <w:tcPr>
            <w:tcW w:w="1500" w:type="dxa"/>
            <w:vAlign w:val="bottom"/>
            <w:tcBorders>
              <w:bottom w:val="single" w:sz="8" w:color="auto"/>
            </w:tcBorders>
            <w:shd w:val="clear" w:color="auto" w:fill="000000"/>
          </w:tcPr>
          <w:p>
            <w:pPr>
              <w:spacing w:after="0"/>
              <w:rPr>
                <w:sz w:val="21"/>
                <w:szCs w:val="21"/>
                <w:color w:val="auto"/>
              </w:rPr>
            </w:pPr>
          </w:p>
        </w:tc>
        <w:tc>
          <w:tcPr>
            <w:tcW w:w="960" w:type="dxa"/>
            <w:vAlign w:val="bottom"/>
            <w:tcBorders>
              <w:bottom w:val="single" w:sz="8" w:color="auto"/>
              <w:right w:val="single" w:sz="8" w:color="auto"/>
            </w:tcBorders>
            <w:shd w:val="clear" w:color="auto" w:fill="000000"/>
          </w:tcPr>
          <w:p>
            <w:pPr>
              <w:spacing w:after="0"/>
              <w:rPr>
                <w:sz w:val="21"/>
                <w:szCs w:val="21"/>
                <w:color w:val="auto"/>
              </w:rPr>
            </w:pPr>
          </w:p>
        </w:tc>
        <w:tc>
          <w:tcPr>
            <w:tcW w:w="14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shd w:val="clear" w:color="auto" w:fill="000000"/>
          </w:tcPr>
          <w:p>
            <w:pPr>
              <w:spacing w:after="0"/>
              <w:rPr>
                <w:sz w:val="21"/>
                <w:szCs w:val="21"/>
                <w:color w:val="auto"/>
              </w:rPr>
            </w:pPr>
          </w:p>
        </w:tc>
        <w:tc>
          <w:tcPr>
            <w:tcW w:w="8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Pr>
          <w:p>
            <w:pPr>
              <w:jc w:val="right"/>
              <w:spacing w:after="0"/>
              <w:rPr>
                <w:sz w:val="20"/>
                <w:szCs w:val="20"/>
                <w:color w:val="auto"/>
              </w:rPr>
            </w:pPr>
            <w:r>
              <w:rPr>
                <w:rFonts w:ascii="Arial" w:cs="Arial" w:eastAsia="Arial" w:hAnsi="Arial"/>
                <w:sz w:val="18"/>
                <w:szCs w:val="18"/>
                <w:color w:val="auto"/>
              </w:rPr>
              <w:t>$46,534,000</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$43,422,000</w:t>
            </w:r>
          </w:p>
        </w:tc>
        <w:tc>
          <w:tcPr>
            <w:tcW w:w="9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7%</w:t>
            </w:r>
          </w:p>
        </w:tc>
        <w:tc>
          <w:tcPr>
            <w:tcW w:w="1420" w:type="dxa"/>
            <w:vAlign w:val="bottom"/>
          </w:tcPr>
          <w:p>
            <w:pPr>
              <w:jc w:val="right"/>
              <w:spacing w:after="0"/>
              <w:rPr>
                <w:sz w:val="20"/>
                <w:szCs w:val="20"/>
                <w:color w:val="auto"/>
              </w:rPr>
            </w:pPr>
            <w:r>
              <w:rPr>
                <w:rFonts w:ascii="Arial" w:cs="Arial" w:eastAsia="Arial" w:hAnsi="Arial"/>
                <w:sz w:val="18"/>
                <w:szCs w:val="18"/>
                <w:color w:val="auto"/>
              </w:rPr>
              <w:t>$91,178,000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$84,239,000</w:t>
            </w:r>
          </w:p>
        </w:tc>
        <w:tc>
          <w:tcPr>
            <w:tcW w:w="8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8%</w:t>
            </w:r>
          </w:p>
        </w:tc>
      </w:tr>
      <w:tr>
        <w:trPr>
          <w:trHeight w:val="270"/>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$5,608,000</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$2,653,000</w:t>
            </w:r>
          </w:p>
        </w:tc>
        <w:tc>
          <w:tcPr>
            <w:tcW w:w="9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111%</w:t>
            </w:r>
          </w:p>
        </w:tc>
        <w:tc>
          <w:tcPr>
            <w:tcW w:w="1420" w:type="dxa"/>
            <w:vAlign w:val="bottom"/>
          </w:tcPr>
          <w:p>
            <w:pPr>
              <w:jc w:val="right"/>
              <w:spacing w:after="0"/>
              <w:rPr>
                <w:sz w:val="20"/>
                <w:szCs w:val="20"/>
                <w:color w:val="auto"/>
              </w:rPr>
            </w:pPr>
            <w:r>
              <w:rPr>
                <w:rFonts w:ascii="Arial" w:cs="Arial" w:eastAsia="Arial" w:hAnsi="Arial"/>
                <w:sz w:val="18"/>
                <w:szCs w:val="18"/>
                <w:color w:val="auto"/>
              </w:rPr>
              <w:t>$8,968,000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$2,662,000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237%</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Daniel S. Jaffee, President and Chief Executive Officer, stated, “I am pleased with the results in the second quarter, including a triple-digit percentage increase in earnings per diluted share. This was a welcome outcome as our performance in the same period last year was negatively impacted by the implementation of our new Enterprise Resource Planning (“ERP”) system and several significant cost increases. Although we experienced slight sales declines within the Business to Business Group, we remain confident in the long term success of Amlan International. Net sales within our Retail and Wholesale Group were strong and continue to grow at a consistent pace. Record operating earnings in this segment reflect our cat litter business’ aforementioned sales growth along with improved margins. Going forward, we will continue to focus our efforts on driving revenue and earnings growth within both business groups.</w:t>
      </w:r>
    </w:p>
    <w:p>
      <w:pPr>
        <w:spacing w:after="0" w:line="333" w:lineRule="exact"/>
        <w:rPr>
          <w:sz w:val="20"/>
          <w:szCs w:val="20"/>
          <w:color w:val="auto"/>
        </w:rPr>
      </w:pPr>
    </w:p>
    <w:p>
      <w:pPr>
        <w:jc w:val="both"/>
        <w:ind w:right="440"/>
        <w:spacing w:after="0" w:line="253" w:lineRule="auto"/>
        <w:rPr>
          <w:sz w:val="20"/>
          <w:szCs w:val="20"/>
          <w:color w:val="auto"/>
        </w:rPr>
      </w:pPr>
      <w:r>
        <w:rPr>
          <w:rFonts w:ascii="Arial" w:cs="Arial" w:eastAsia="Arial" w:hAnsi="Arial"/>
          <w:sz w:val="22"/>
          <w:szCs w:val="22"/>
          <w:color w:val="auto"/>
        </w:rPr>
        <w:t>During the second quarter, Consolidated Net Income Attributable to Oil-Dri reached $4.8 million compared to $2.3 million last year. In addition to higher sales, we continued to benefit from our manufacturing operations’ strong performance and improved natural gas</w:t>
      </w:r>
    </w:p>
    <w:p>
      <w:pPr>
        <w:sectPr>
          <w:pgSz w:w="11900" w:h="16838" w:orient="portrait"/>
          <w:cols w:equalWidth="0" w:num="1">
            <w:col w:w="11440"/>
          </w:cols>
          <w:pgMar w:left="240" w:top="1261" w:right="219" w:bottom="1440" w:gutter="0" w:footer="0" w:header="0"/>
        </w:sectPr>
      </w:pPr>
    </w:p>
    <w:bookmarkStart w:id="4" w:name="page5"/>
    <w:bookmarkEnd w:id="4"/>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40"/>
        <w:spacing w:after="0" w:line="312" w:lineRule="auto"/>
        <w:rPr>
          <w:sz w:val="20"/>
          <w:szCs w:val="20"/>
          <w:color w:val="auto"/>
        </w:rPr>
      </w:pPr>
      <w:r>
        <w:rPr>
          <w:rFonts w:ascii="Arial" w:cs="Arial" w:eastAsia="Arial" w:hAnsi="Arial"/>
          <w:sz w:val="19"/>
          <w:szCs w:val="19"/>
          <w:color w:val="auto"/>
        </w:rPr>
        <w:t>and freight costs. These favorable outcomes offset a 4% increase in Selling, General and Administrative (“SG&amp;A”) expenses in the second quarter versus the prior year. This increase represents the net effect of higher bonus accruals, a curtailment gain upon the freeze of our supplemental executive retirement plan, and lower consulting costs related to the ERP implementation in fiscal 2019.</w:t>
      </w:r>
    </w:p>
    <w:p>
      <w:pPr>
        <w:spacing w:after="0" w:line="282"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Our Business to Business Products Group’s second quarter revenues decreased 8% compared to the prior year, primarily due to the loss of a large customer who purchased our traditional agricultural products. This decline was partially offset by increased sales for our co-packaging coarse cat litter. Revenues of our fluid purification products were down 1% in the second quarter versus a year ago. While we experienced an increase in demand for our edible oil purification products, primarily in Europe, a biodiesel processing customer closed its U.S. plant which negatively impacted sales. Animal health and nutrition product revenues were flat for the quarter, reflecting growth of our feed additives in Mexico and Asia, excluding China, offset by declines in sales of our products in China. Our business in Asia, including China, continues to be impacted by the African swine fever, as sales to pork producers have not fully recovered since the spread of the virus in fiscal 2019. With the recent outbreak of the novel coronavirus (COVID-19), our sales office in China temporarily closed, due to restrictions from the Chinese government. The spread of the virus has also limited travel by our salesforce and delayed product shipments.</w:t>
      </w:r>
    </w:p>
    <w:p>
      <w:pPr>
        <w:spacing w:after="0" w:line="309" w:lineRule="exact"/>
        <w:rPr>
          <w:sz w:val="20"/>
          <w:szCs w:val="20"/>
          <w:color w:val="auto"/>
        </w:rPr>
      </w:pPr>
    </w:p>
    <w:p>
      <w:pPr>
        <w:jc w:val="both"/>
        <w:ind w:right="140"/>
        <w:spacing w:after="0" w:line="271" w:lineRule="auto"/>
        <w:rPr>
          <w:sz w:val="20"/>
          <w:szCs w:val="20"/>
          <w:color w:val="auto"/>
        </w:rPr>
      </w:pPr>
      <w:r>
        <w:rPr>
          <w:rFonts w:ascii="Arial" w:cs="Arial" w:eastAsia="Arial" w:hAnsi="Arial"/>
          <w:sz w:val="21"/>
          <w:szCs w:val="21"/>
          <w:color w:val="auto"/>
        </w:rPr>
        <w:t>Operating Income in the Business to Business Group was up 4% in the second quarter versus the prior year. Decreased natural gas and freight costs helped offset an 11% increase in SG&amp;A expenses over the prior year. These higher SG&amp;A costs reflect elevated product development costs, support, and compensation related expenses.</w:t>
      </w:r>
    </w:p>
    <w:p>
      <w:pPr>
        <w:spacing w:after="0" w:line="31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The Retail and Wholesale Products Group experienced a 7% increase in revenues in the second quarter compared to the prior year. Total domestic cat litter sales rose 10% in the quarter over last year, reflecting increases in both branded and private label litter products. Revenues of our private label scoopable and coarse litter increased due to higher demand from both existing as well as new customers. In addition, we witnessed continued sales growth of our branded coarse cat litter and litter box liners. Our subsidiary in Canada also contributed to this business segment’s increase with gains in cat litter and industrial absorbents sales.</w:t>
      </w:r>
    </w:p>
    <w:p>
      <w:pPr>
        <w:spacing w:after="0" w:line="296"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Operating Income for the Retail and Wholesale Products Group reached a record $5.6 million in the second quarter compared to $2.7 million last year. Increased sales</w:t>
      </w:r>
    </w:p>
    <w:p>
      <w:pPr>
        <w:sectPr>
          <w:pgSz w:w="11900" w:h="16838" w:orient="portrait"/>
          <w:cols w:equalWidth="0" w:num="1">
            <w:col w:w="11400"/>
          </w:cols>
          <w:pgMar w:left="240" w:top="1440" w:right="259" w:bottom="1440" w:gutter="0" w:footer="0" w:header="0"/>
        </w:sectPr>
      </w:pPr>
    </w:p>
    <w:bookmarkStart w:id="5" w:name="page6"/>
    <w:bookmarkEnd w:id="5"/>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200"/>
        <w:spacing w:after="0" w:line="253" w:lineRule="auto"/>
        <w:rPr>
          <w:sz w:val="20"/>
          <w:szCs w:val="20"/>
          <w:color w:val="auto"/>
        </w:rPr>
      </w:pPr>
      <w:r>
        <w:rPr>
          <w:rFonts w:ascii="Arial" w:cs="Arial" w:eastAsia="Arial" w:hAnsi="Arial"/>
          <w:sz w:val="22"/>
          <w:szCs w:val="22"/>
          <w:color w:val="auto"/>
        </w:rPr>
        <w:t>combined with lower natural gas and freight costs offset slightly higher SG&amp;A costs. A reduction in advertising expenses also occurred within the quarter. However, we expect advertising spending in the remainder of the fiscal year to result in a higher total advertising expense for fiscal 2020 than for fiscal 2019.”</w:t>
      </w:r>
    </w:p>
    <w:p>
      <w:pPr>
        <w:spacing w:after="0" w:line="334"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 xml:space="preserve">The Company will host its second quarter of fiscal 2020 earnings teleconference on Friday, March 6, 2020 at 10:00 a.m. Central Time. Participation details are available on our website’s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17"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w:t>
      </w:r>
      <w:r>
        <w:rPr>
          <w:rFonts w:ascii="Arial" w:cs="Arial" w:eastAsia="Arial" w:hAnsi="Arial"/>
          <w:sz w:val="16"/>
          <w:szCs w:val="16"/>
          <w:i w:val="1"/>
          <w:iCs w:val="1"/>
          <w:color w:val="auto"/>
        </w:rPr>
        <w:t>“</w:t>
      </w:r>
      <w:r>
        <w:rPr>
          <w:rFonts w:ascii="Arial" w:cs="Arial" w:eastAsia="Arial" w:hAnsi="Arial"/>
          <w:sz w:val="18"/>
          <w:szCs w:val="18"/>
          <w:i w:val="1"/>
          <w:iCs w:val="1"/>
          <w:color w:val="auto"/>
        </w:rPr>
        <w:t>Create Value from Sorbent Minerals</w:t>
      </w:r>
      <w:r>
        <w:rPr>
          <w:rFonts w:ascii="Arial" w:cs="Arial" w:eastAsia="Arial" w:hAnsi="Arial"/>
          <w:sz w:val="16"/>
          <w:szCs w:val="16"/>
          <w:i w:val="1"/>
          <w:iCs w:val="1"/>
          <w:color w:val="auto"/>
        </w:rPr>
        <w:t>”</w:t>
      </w:r>
      <w:r>
        <w:rPr>
          <w:rFonts w:ascii="Arial" w:cs="Arial" w:eastAsia="Arial" w:hAnsi="Arial"/>
          <w:sz w:val="18"/>
          <w:szCs w:val="18"/>
          <w:i w:val="1"/>
          <w:iCs w:val="1"/>
          <w:color w:val="auto"/>
        </w:rPr>
        <w:t xml:space="preserve"> is supported by its wide array of consumer and business to business product offerings. In 2016, Oil-Dri celebrated its seventy-fifth year of business and looks forward to the next milestone.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 “Amlan”, and “Cat’s Pride” are registered trademarks of Oil-Dri Corporation of America.</w:t>
      </w:r>
    </w:p>
    <w:p>
      <w:pPr>
        <w:spacing w:after="0" w:line="316"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299"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ectPr>
          <w:pgSz w:w="11900" w:h="16838" w:orient="portrait"/>
          <w:cols w:equalWidth="0" w:num="1">
            <w:col w:w="11400"/>
          </w:cols>
          <w:pgMar w:left="240" w:top="1440" w:right="259" w:bottom="1440" w:gutter="0" w:footer="0" w:header="0"/>
        </w:sectPr>
      </w:pPr>
    </w:p>
    <w:bookmarkStart w:id="6" w:name="page7"/>
    <w:bookmarkEnd w:id="6"/>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6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Second Quarter Ended January 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color w:val="auto"/>
              </w:rPr>
              <w:t>(in thousands,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19"/>
                <w:szCs w:val="19"/>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140" w:type="dxa"/>
            <w:vAlign w:val="bottom"/>
            <w:vMerge w:val="restart"/>
          </w:tcPr>
          <w:p>
            <w:pPr>
              <w:jc w:val="right"/>
              <w:ind w:right="69"/>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71,005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69,880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(52,047)</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(54,476)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18,958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15,404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(13,085)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(12,577)</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5,873</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140" w:type="dxa"/>
            <w:vAlign w:val="bottom"/>
          </w:tcPr>
          <w:p>
            <w:pPr>
              <w:jc w:val="center"/>
              <w:ind w:left="589"/>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4,830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 Basic Common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280" w:type="dxa"/>
            <w:vAlign w:val="bottom"/>
            <w:vMerge w:val="continue"/>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0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0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Avg Shares Outstanding: Basic Common</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0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0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7,344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Six Months Ended January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40" w:type="dxa"/>
            <w:vAlign w:val="bottom"/>
          </w:tcPr>
          <w:p>
            <w:pPr>
              <w:jc w:val="right"/>
              <w:ind w:right="69"/>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142,127</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136,023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(103,234)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(104,609)</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38,893</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27.4 %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31,414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(28,899)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(27,584)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9,994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9,835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88"/>
        </w:trPr>
        <w:tc>
          <w:tcPr>
            <w:tcW w:w="628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1300" w:type="dxa"/>
            <w:vAlign w:val="bottom"/>
            <w:gridSpan w:val="3"/>
          </w:tcPr>
          <w:p>
            <w:pPr>
              <w:jc w:val="right"/>
              <w:spacing w:after="0"/>
              <w:rPr>
                <w:sz w:val="20"/>
                <w:szCs w:val="20"/>
                <w:color w:val="auto"/>
              </w:rPr>
            </w:pPr>
            <w:r>
              <w:rPr>
                <w:rFonts w:ascii="Arial" w:cs="Arial" w:eastAsia="Arial" w:hAnsi="Arial"/>
                <w:sz w:val="20"/>
                <w:szCs w:val="20"/>
                <w:color w:val="auto"/>
              </w:rPr>
              <w:t>(0.1)%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140" w:type="dxa"/>
            <w:vAlign w:val="bottom"/>
          </w:tcPr>
          <w:p>
            <w:pPr>
              <w:jc w:val="center"/>
              <w:ind w:left="589"/>
              <w:spacing w:after="0"/>
              <w:rPr>
                <w:sz w:val="20"/>
                <w:szCs w:val="20"/>
                <w:color w:val="auto"/>
              </w:rPr>
            </w:pPr>
            <w:r>
              <w:rPr>
                <w:rFonts w:ascii="Arial" w:cs="Arial" w:eastAsia="Arial" w:hAnsi="Arial"/>
                <w:sz w:val="20"/>
                <w:szCs w:val="20"/>
                <w:color w:val="auto"/>
                <w:w w:val="96"/>
              </w:rPr>
              <w:t>—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6280" w:type="dxa"/>
            <w:vAlign w:val="bottom"/>
          </w:tcPr>
          <w:p>
            <w:pPr>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8,366</w:t>
            </w:r>
          </w:p>
        </w:tc>
        <w:tc>
          <w:tcPr>
            <w:tcW w:w="1300" w:type="dxa"/>
            <w:vAlign w:val="bottom"/>
            <w:gridSpan w:val="3"/>
          </w:tcPr>
          <w:p>
            <w:pPr>
              <w:jc w:val="right"/>
              <w:spacing w:after="0"/>
              <w:rPr>
                <w:sz w:val="20"/>
                <w:szCs w:val="20"/>
                <w:color w:val="auto"/>
              </w:rPr>
            </w:pPr>
            <w:r>
              <w:rPr>
                <w:rFonts w:ascii="Arial" w:cs="Arial" w:eastAsia="Arial" w:hAnsi="Arial"/>
                <w:sz w:val="20"/>
                <w:szCs w:val="20"/>
                <w:color w:val="auto"/>
              </w:rPr>
              <w:t>5.9 %</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2.4 %</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 Basic Common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280" w:type="dxa"/>
            <w:vAlign w:val="bottom"/>
            <w:vMerge w:val="continue"/>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0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0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Avg Shares Outstanding: Basic Common</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0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00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7,321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7,242</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1440" w:right="239" w:bottom="1440" w:gutter="0" w:footer="0" w:header="0"/>
        </w:sectPr>
      </w:pPr>
    </w:p>
    <w:bookmarkStart w:id="7" w:name="page8"/>
    <w:bookmarkEnd w:id="7"/>
    <w:p>
      <w:pPr>
        <w:spacing w:after="0" w:line="270" w:lineRule="auto"/>
        <w:framePr w:w="3200" w:h="701" w:wrap="auto" w:vAnchor="page" w:hAnchor="page" w:x="240" w:y="1749"/>
        <w:rPr>
          <w:rFonts w:ascii="Arial" w:cs="Arial" w:eastAsia="Arial" w:hAnsi="Arial"/>
          <w:sz w:val="18"/>
          <w:szCs w:val="18"/>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color w:val="auto"/>
        </w:rPr>
        <w:t>(in thousands, except per share amounts) (unaudited)</w:t>
      </w:r>
    </w:p>
    <w:p>
      <w:pPr>
        <w:spacing w:after="0" w:line="20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 January 31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21,569</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35,699</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38,282</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22,679</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28,123</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Prepaid Expenses and Other</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6,234</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86,181</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82,300</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89,831</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86,193</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b w:val="1"/>
                <w:bCs w:val="1"/>
                <w:color w:val="auto"/>
              </w:rPr>
              <w:t>Other Noncurrent Assets (1)</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33,067</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24,644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209,079</w:t>
            </w:r>
          </w:p>
        </w:tc>
        <w:tc>
          <w:tcPr>
            <w:tcW w:w="340" w:type="dxa"/>
            <w:vAlign w:val="bottom"/>
          </w:tcPr>
          <w:p>
            <w:pPr>
              <w:spacing w:after="0"/>
              <w:rPr>
                <w:sz w:val="22"/>
                <w:szCs w:val="22"/>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193,137</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2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3,067</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9,565</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1,766</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19,107</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18,444</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33,505</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31,089</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Other Noncurrent Liabilities (1)</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28,645</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26,246</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28,645</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29,284</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146,929</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132,764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209,079</w:t>
            </w:r>
          </w:p>
        </w:tc>
        <w:tc>
          <w:tcPr>
            <w:tcW w:w="340" w:type="dxa"/>
            <w:vAlign w:val="bottom"/>
          </w:tcPr>
          <w:p>
            <w:pPr>
              <w:spacing w:after="0"/>
              <w:rPr>
                <w:sz w:val="22"/>
                <w:szCs w:val="22"/>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193,137</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2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20.38</w:t>
            </w:r>
          </w:p>
        </w:tc>
        <w:tc>
          <w:tcPr>
            <w:tcW w:w="340" w:type="dxa"/>
            <w:vAlign w:val="bottom"/>
          </w:tcPr>
          <w:p>
            <w:pPr>
              <w:spacing w:after="0"/>
              <w:rPr>
                <w:sz w:val="24"/>
                <w:szCs w:val="24"/>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567"/>
        </w:trPr>
        <w:tc>
          <w:tcPr>
            <w:tcW w:w="422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Second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3,386</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7,286</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Second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3,460</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6,929</w:t>
            </w:r>
          </w:p>
        </w:tc>
        <w:tc>
          <w:tcPr>
            <w:tcW w:w="340" w:type="dxa"/>
            <w:vAlign w:val="bottom"/>
          </w:tcPr>
          <w:p>
            <w:pPr>
              <w:spacing w:after="0"/>
              <w:rPr>
                <w:sz w:val="23"/>
                <w:szCs w:val="23"/>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bl>
    <w:p>
      <w:pPr>
        <w:spacing w:after="0" w:line="13" w:lineRule="exact"/>
        <w:rPr>
          <w:rFonts w:ascii="Arial" w:cs="Arial" w:eastAsia="Arial" w:hAnsi="Arial"/>
          <w:sz w:val="18"/>
          <w:szCs w:val="18"/>
          <w:color w:val="auto"/>
        </w:rPr>
      </w:pPr>
    </w:p>
    <w:p>
      <w:pPr>
        <w:ind w:left="540" w:right="500" w:hanging="248"/>
        <w:spacing w:after="0" w:line="277" w:lineRule="auto"/>
        <w:tabs>
          <w:tab w:leader="none" w:pos="552"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as of January 31, 2020 include right-of-use operating lease assets and related liabilities required by adoption of Accounting Standards Codification 842, Leases.</w:t>
      </w:r>
    </w:p>
    <w:p>
      <w:pPr>
        <w:sectPr>
          <w:pgSz w:w="11900" w:h="16838" w:orient="portrait"/>
          <w:cols w:equalWidth="0" w:num="1">
            <w:col w:w="11380"/>
          </w:cols>
          <w:pgMar w:left="280" w:top="1440" w:right="239" w:bottom="1440" w:gutter="0" w:footer="0" w:header="0"/>
        </w:sectPr>
      </w:pPr>
    </w:p>
    <w:bookmarkStart w:id="8" w:name="page9"/>
    <w:bookmarkEnd w:id="8"/>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(in thousands)</w:t>
            </w: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(unaudited)</w:t>
            </w: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3"/>
                <w:szCs w:val="23"/>
                <w:color w:val="auto"/>
              </w:rPr>
            </w:pPr>
          </w:p>
        </w:tc>
        <w:tc>
          <w:tcPr>
            <w:tcW w:w="33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For the Six Months Ended</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January 31</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8,209</w:t>
            </w:r>
          </w:p>
        </w:tc>
        <w:tc>
          <w:tcPr>
            <w:tcW w:w="340" w:type="dxa"/>
            <w:vAlign w:val="bottom"/>
          </w:tcPr>
          <w:p>
            <w:pPr>
              <w:spacing w:after="0"/>
              <w:rPr>
                <w:sz w:val="23"/>
                <w:szCs w:val="23"/>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Depreciation and Amortization</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6,929</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(Increase) in Accounts Receivable</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Decrease (Increase) in Inventories</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1,508</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Increase in Accounts Payable</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2,661</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(Decrease) in Accrued Expenses</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(1,602)</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(Decrease) Increase in Pension and Postretirement Benefits</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(5,536)</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Other</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2,535</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6,061</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20"/>
                <w:szCs w:val="20"/>
                <w:b w:val="1"/>
                <w:bCs w:val="1"/>
                <w:color w:val="auto"/>
              </w:rPr>
              <w:t>Net Cash Provided by Operating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14,270</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3"/>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Capital Expenditures</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(7,286)</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Net Dispositions of Investment Securities</w:t>
            </w:r>
          </w:p>
        </w:tc>
        <w:tc>
          <w:tcPr>
            <w:tcW w:w="1160" w:type="dxa"/>
            <w:vAlign w:val="bottom"/>
          </w:tcPr>
          <w:p>
            <w:pPr>
              <w:spacing w:after="0"/>
              <w:rPr>
                <w:sz w:val="23"/>
                <w:szCs w:val="2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20"/>
                <w:szCs w:val="20"/>
                <w:b w:val="1"/>
                <w:bCs w:val="1"/>
                <w:color w:val="auto"/>
              </w:rPr>
              <w:t>Net Cash (Used in) Provided by Investing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(7,286)</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Principal Payments on Long-Term Debt</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Dividends Paid</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(3,527)</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Purchase of Treasury Stock</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20"/>
                <w:szCs w:val="20"/>
                <w:b w:val="1"/>
                <w:bCs w:val="1"/>
                <w:color w:val="auto"/>
              </w:rPr>
              <w:t>Net Cash Used in Financing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(7,133)</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3"/>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7400" w:type="dxa"/>
            <w:vAlign w:val="bottom"/>
            <w:vMerge w:val="restart"/>
          </w:tcPr>
          <w:p>
            <w:pPr>
              <w:spacing w:after="0"/>
              <w:rPr>
                <w:sz w:val="20"/>
                <w:szCs w:val="20"/>
                <w:color w:val="auto"/>
              </w:rPr>
            </w:pPr>
            <w:r>
              <w:rPr>
                <w:rFonts w:ascii="Arial" w:cs="Arial" w:eastAsia="Arial" w:hAnsi="Arial"/>
                <w:sz w:val="20"/>
                <w:szCs w:val="20"/>
                <w:b w:val="1"/>
                <w:bCs w:val="1"/>
                <w:color w:val="auto"/>
              </w:rPr>
              <w:t>Net Decrease in Cash and Cash Equivalents</w:t>
            </w: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66"/>
        </w:trPr>
        <w:tc>
          <w:tcPr>
            <w:tcW w:w="74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21,862</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12,757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21,569</w:t>
            </w:r>
          </w:p>
        </w:tc>
        <w:tc>
          <w:tcPr>
            <w:tcW w:w="340" w:type="dxa"/>
            <w:vAlign w:val="bottom"/>
          </w:tcPr>
          <w:p>
            <w:pPr>
              <w:spacing w:after="0"/>
              <w:rPr>
                <w:sz w:val="22"/>
                <w:szCs w:val="22"/>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Leslie A. Garber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Manager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InvestorRelations@oildri.com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2020-03-05T15:15:23Z</dcterms:created>
  <dcterms:modified xsi:type="dcterms:W3CDTF">2020-03-05T15:15:23Z</dcterms:modified>
</cp:coreProperties>
</file>