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20"/>
              <w:spacing w:after="0"/>
              <w:rPr>
                <w:sz w:val="20"/>
                <w:szCs w:val="20"/>
                <w:color w:val="auto"/>
              </w:rPr>
            </w:pPr>
            <w:r>
              <w:rPr>
                <w:rFonts w:ascii="Arial" w:cs="Arial" w:eastAsia="Arial" w:hAnsi="Arial"/>
                <w:sz w:val="18"/>
                <w:szCs w:val="18"/>
                <w:color w:val="auto"/>
                <w:w w:val="89"/>
              </w:rPr>
              <w:t>October 12, 2022</w:t>
            </w:r>
          </w:p>
        </w:tc>
      </w:tr>
      <w:tr>
        <w:trPr>
          <w:trHeight w:val="51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tcPr>
          <w:p>
            <w:pPr>
              <w:ind w:left="28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32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2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412"/>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2"/>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18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Title of each class</w:t>
            </w:r>
          </w:p>
        </w:tc>
        <w:tc>
          <w:tcPr>
            <w:tcW w:w="1800" w:type="dxa"/>
            <w:vAlign w:val="bottom"/>
          </w:tcPr>
          <w:p>
            <w:pPr>
              <w:ind w:left="180"/>
              <w:spacing w:after="0"/>
              <w:rPr>
                <w:sz w:val="20"/>
                <w:szCs w:val="20"/>
                <w:color w:val="auto"/>
              </w:rPr>
            </w:pPr>
            <w:r>
              <w:rPr>
                <w:rFonts w:ascii="Arial" w:cs="Arial" w:eastAsia="Arial" w:hAnsi="Arial"/>
                <w:sz w:val="18"/>
                <w:szCs w:val="18"/>
                <w:color w:val="auto"/>
              </w:rPr>
              <w:t>Trading Symbol(s)</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Name of each exchange on which registered</w:t>
            </w:r>
          </w:p>
        </w:tc>
      </w:tr>
      <w:tr>
        <w:trPr>
          <w:trHeight w:val="230"/>
        </w:trPr>
        <w:tc>
          <w:tcPr>
            <w:tcW w:w="40" w:type="dxa"/>
            <w:vAlign w:val="bottom"/>
          </w:tcPr>
          <w:p>
            <w:pPr>
              <w:spacing w:after="0"/>
              <w:rPr>
                <w:sz w:val="20"/>
                <w:szCs w:val="20"/>
                <w:color w:val="auto"/>
              </w:rPr>
            </w:pPr>
          </w:p>
        </w:tc>
        <w:tc>
          <w:tcPr>
            <w:tcW w:w="4280" w:type="dxa"/>
            <w:vAlign w:val="bottom"/>
          </w:tcPr>
          <w:p>
            <w:pPr>
              <w:ind w:left="640"/>
              <w:spacing w:after="0"/>
              <w:rPr>
                <w:sz w:val="20"/>
                <w:szCs w:val="20"/>
                <w:color w:val="auto"/>
              </w:rPr>
            </w:pPr>
            <w:r>
              <w:rPr>
                <w:rFonts w:ascii="Arial" w:cs="Arial" w:eastAsia="Arial" w:hAnsi="Arial"/>
                <w:sz w:val="18"/>
                <w:szCs w:val="18"/>
                <w:color w:val="auto"/>
              </w:rPr>
              <w:t>Common Stock, par value $0.10 per share</w:t>
            </w:r>
          </w:p>
        </w:tc>
        <w:tc>
          <w:tcPr>
            <w:tcW w:w="1800" w:type="dxa"/>
            <w:vAlign w:val="bottom"/>
          </w:tcPr>
          <w:p>
            <w:pPr>
              <w:ind w:left="180"/>
              <w:spacing w:after="0"/>
              <w:rPr>
                <w:sz w:val="20"/>
                <w:szCs w:val="20"/>
                <w:color w:val="auto"/>
              </w:rPr>
            </w:pPr>
            <w:r>
              <w:rPr>
                <w:rFonts w:ascii="Arial" w:cs="Arial" w:eastAsia="Arial" w:hAnsi="Arial"/>
                <w:sz w:val="18"/>
                <w:szCs w:val="18"/>
                <w:color w:val="auto"/>
              </w:rPr>
              <w:t>ODC</w:t>
            </w:r>
          </w:p>
        </w:tc>
        <w:tc>
          <w:tcPr>
            <w:tcW w:w="5120" w:type="dxa"/>
            <w:vAlign w:val="bottom"/>
            <w:gridSpan w:val="2"/>
          </w:tcPr>
          <w:p>
            <w:pPr>
              <w:ind w:left="260"/>
              <w:spacing w:after="0"/>
              <w:rPr>
                <w:sz w:val="20"/>
                <w:szCs w:val="20"/>
                <w:color w:val="auto"/>
              </w:rPr>
            </w:pPr>
            <w:r>
              <w:rPr>
                <w:rFonts w:ascii="Arial" w:cs="Arial" w:eastAsia="Arial" w:hAnsi="Arial"/>
                <w:sz w:val="18"/>
                <w:szCs w:val="18"/>
                <w:color w:val="auto"/>
              </w:rPr>
              <w:t>New York Stock Exchange</w:t>
            </w:r>
          </w:p>
        </w:tc>
      </w:tr>
      <w:tr>
        <w:trPr>
          <w:trHeight w:val="459"/>
        </w:trPr>
        <w:tc>
          <w:tcPr>
            <w:tcW w:w="4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59"/>
        </w:trPr>
        <w:tc>
          <w:tcPr>
            <w:tcW w:w="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its regular meeting on October 12, 2022, the Board declared quarterly cash dividends of $0.28 per share of the Company’s Common Stock and $0.21 per share of the Company’s Class B Stock. The dividends will be payable on November 25, 2022, to stockholders of record at the close of business on November 11, 2022. A copy of the Company’s press release announcing these matters is attached as Exhibit 99.1 and the information contained therein is incorporated herein by reference.</w:t>
      </w:r>
    </w:p>
    <w:p>
      <w:pPr>
        <w:spacing w:after="0" w:line="22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information in this Item 8.01 and Exhibit 99.1 shall not be deemed “filed” for purposes of Section 18 of the Securities Exchange Act of 1934, as amended (the “Exchange Act”), or otherwise subject to the liabilities of that section. This information shall not be deemed to be incorporated by reference in any filing under the Securities Act of 1933, as amended, or the Exchange Act, except as shall be expressly set forth by specific reference to such disclosure in this Form 8-K in such a filing.</w:t>
      </w:r>
    </w:p>
    <w:p>
      <w:pPr>
        <w:spacing w:after="0" w:line="379" w:lineRule="exact"/>
        <w:rPr>
          <w:sz w:val="20"/>
          <w:szCs w:val="20"/>
          <w:color w:val="auto"/>
        </w:rPr>
      </w:pPr>
    </w:p>
    <w:p>
      <w:pPr>
        <w:ind w:left="240"/>
        <w:spacing w:after="0"/>
        <w:tabs>
          <w:tab w:leader="none" w:pos="11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2"/>
        </w:trPr>
        <w:tc>
          <w:tcPr>
            <w:tcW w:w="160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tcPr>
          <w:p>
            <w:pPr>
              <w:spacing w:after="0"/>
              <w:rPr>
                <w:sz w:val="21"/>
                <w:szCs w:val="21"/>
                <w:color w:val="auto"/>
              </w:rPr>
            </w:pPr>
          </w:p>
        </w:tc>
        <w:tc>
          <w:tcPr>
            <w:tcW w:w="68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1"/>
                <w:szCs w:val="21"/>
                <w:color w:val="auto"/>
              </w:rPr>
            </w:pPr>
          </w:p>
        </w:tc>
      </w:tr>
      <w:tr>
        <w:trPr>
          <w:trHeight w:val="412"/>
        </w:trPr>
        <w:tc>
          <w:tcPr>
            <w:tcW w:w="1240" w:type="dxa"/>
            <w:vAlign w:val="bottom"/>
          </w:tcPr>
          <w:p>
            <w:pPr>
              <w:ind w:left="2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0000FF"/>
              </w:rPr>
              <w:t>Press Release dated October 14, 2022</w:t>
            </w:r>
          </w:p>
        </w:tc>
      </w:tr>
      <w:tr>
        <w:trPr>
          <w:trHeight w:val="1216"/>
        </w:trPr>
        <w:tc>
          <w:tcPr>
            <w:tcW w:w="1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20" w:type="dxa"/>
            <w:vAlign w:val="bottom"/>
            <w:tcBorders>
              <w:top w:val="single" w:sz="8" w:color="0000FF"/>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2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p>
      <w:pPr>
        <w:ind w:left="5400"/>
        <w:spacing w:after="0"/>
        <w:tabs>
          <w:tab w:leader="none" w:pos="6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Laura G. Scheland</w:t>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Vice President, Strategic Partnerships and General</w:t>
      </w:r>
    </w:p>
    <w:p>
      <w:pPr>
        <w:ind w:left="6120"/>
        <w:spacing w:after="0"/>
        <w:rPr>
          <w:sz w:val="20"/>
          <w:szCs w:val="20"/>
          <w:color w:val="auto"/>
        </w:rPr>
      </w:pPr>
      <w:r>
        <w:rPr>
          <w:rFonts w:ascii="Arial" w:cs="Arial" w:eastAsia="Arial" w:hAnsi="Arial"/>
          <w:sz w:val="18"/>
          <w:szCs w:val="18"/>
          <w:color w:val="auto"/>
        </w:rPr>
        <w:t>Counsel &amp; Secretary</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2022</w:t>
      </w:r>
    </w:p>
    <w:p>
      <w:pPr>
        <w:sectPr>
          <w:pgSz w:w="11900" w:h="16838" w:orient="portrait"/>
          <w:cols w:equalWidth="0" w:num="1">
            <w:col w:w="11040"/>
          </w:cols>
          <w:pgMar w:left="320" w:top="891" w:right="5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CHICAGO—(October 14, 2022)—On October 12, 2022, the Board of Directors of Oil-Dri Corporation of America (NYSE: ODC) declared quarterly cash dividends of $0.28 per share of the Company’s Common Stock and $0.21 per share of the Company’s Class B Stock.</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dividends declared will be payable on November 25, 2022 to stockholders of record at the close of business on November 11, 2022. The Company has paid cash dividends continuously since 1974 and has increased dividends annually for nineteen consecutive years.</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Oil-Dri expects to release earnings for its first quarter of fiscal 2023 after the close of the U.S. stock market on Tuesday, December 6, 2022.</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Oil-Dri will host its first quarter fiscal 2023 earnings discussion and its Annual Meeting of Stockholders virtually via a live webcast on Wednesday, December 7, 2022 at 9:30 am Central Time. The record date for voting eligibility at the Annual Meeting was Monday, October 10, 2022.</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Participation details will be communicated via web alert approximately one week prior to the webcast and posted on our website’s Events page.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 To learn more about the Company, visit oildri.com.</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Category: Dividends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0" w:lineRule="auto"/>
        <w:rPr>
          <w:sz w:val="20"/>
          <w:szCs w:val="20"/>
          <w:color w:val="auto"/>
        </w:rPr>
      </w:pPr>
      <w:r>
        <w:rPr>
          <w:rFonts w:ascii="Arial" w:cs="Arial" w:eastAsia="Arial" w:hAnsi="Arial"/>
          <w:sz w:val="22"/>
          <w:szCs w:val="22"/>
          <w:color w:val="auto"/>
        </w:rPr>
        <w:t>Leslie A. Garber</w:t>
      </w:r>
    </w:p>
    <w:p>
      <w:pPr>
        <w:spacing w:after="0" w:line="231" w:lineRule="auto"/>
        <w:rPr>
          <w:sz w:val="20"/>
          <w:szCs w:val="20"/>
          <w:color w:val="auto"/>
        </w:rPr>
      </w:pPr>
      <w:r>
        <w:rPr>
          <w:rFonts w:ascii="Arial" w:cs="Arial" w:eastAsia="Arial" w:hAnsi="Arial"/>
          <w:sz w:val="22"/>
          <w:szCs w:val="22"/>
          <w:color w:val="auto"/>
        </w:rPr>
        <w:t>Manager of Investor Relations</w:t>
      </w:r>
    </w:p>
    <w:p>
      <w:pPr>
        <w:spacing w:after="0" w:line="230" w:lineRule="auto"/>
        <w:rPr>
          <w:sz w:val="20"/>
          <w:szCs w:val="20"/>
          <w:color w:val="auto"/>
        </w:rPr>
      </w:pPr>
      <w:r>
        <w:rPr>
          <w:rFonts w:ascii="Arial" w:cs="Arial" w:eastAsia="Arial" w:hAnsi="Arial"/>
          <w:sz w:val="22"/>
          <w:szCs w:val="22"/>
          <w:color w:val="auto"/>
        </w:rPr>
        <w:t>Oil-Dri Corporation of America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Leslie A. Garber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InvestorRelations@oildri.com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240"/>
      </w:cols>
      <w:pgMar w:left="320" w:top="9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2022-10-14T15:23:07Z</dcterms:created>
  <dcterms:modified xsi:type="dcterms:W3CDTF">2022-10-14T15:23:07Z</dcterms:modified>
</cp:coreProperties>
</file>