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        </w:t>
      </w:r>
    </w:p>
    <w:tbl>
      <w:tblPr>
        <w:tblW w:w="8033" w:type="dxa"/>
        <w:jc w:val="center"/>
        <w:tblInd w:w="0" w:type="dxa"/>
        <w:tblLayout w:type="fixed"/>
        <w:tblCellMar>
          <w:top w:w="28" w:type="dxa"/>
          <w:left w:w="28" w:type="dxa"/>
          <w:bottom w:w="28" w:type="dxa"/>
          <w:right w:w="28" w:type="dxa"/>
        </w:tblCellMar>
      </w:tblPr>
      <w:tblGrid>
        <w:gridCol w:w="124"/>
        <w:gridCol w:w="109"/>
        <w:gridCol w:w="109"/>
        <w:gridCol w:w="2437"/>
        <w:gridCol w:w="2437"/>
        <w:gridCol w:w="24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p>
            <w:pPr>
              <w:pStyle w:val="TableContents"/>
              <w:bidi w:val="0"/>
              <w:spacing w:lineRule="auto" w:line="240" w:before="2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April 30, 2026</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19"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p>
            <w:pPr>
              <w:pStyle w:val="TableContents"/>
              <w:bidi w:val="0"/>
              <w:spacing w:lineRule="auto" w:line="240" w:before="2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 to 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Commission File Number:</w:t>
      </w:r>
      <w:r>
        <w:rPr>
          <w:color w:val="000000"/>
          <w:u w:val="single"/>
        </w:rPr>
        <w:t xml:space="preserve"> </w:t>
      </w:r>
      <w:r>
        <w:rPr>
          <w:rFonts w:ascii="Times New Roman;serif" w:hAnsi="Times New Roman;serif"/>
          <w:b w:val="false"/>
          <w:color w:val="000000"/>
          <w:sz w:val="20"/>
          <w:u w:val="single"/>
        </w:rPr>
        <w:t xml:space="preserve">001-12622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OIL-DRI CORPORATION OF AMERICA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the registrant as specified in its charter)</w:t>
      </w:r>
    </w:p>
    <w:tbl>
      <w:tblPr>
        <w:tblW w:w="8501" w:type="dxa"/>
        <w:jc w:val="left"/>
        <w:tblInd w:w="0" w:type="dxa"/>
        <w:tblLayout w:type="fixed"/>
        <w:tblCellMar>
          <w:top w:w="28" w:type="dxa"/>
          <w:left w:w="28" w:type="dxa"/>
          <w:bottom w:w="28" w:type="dxa"/>
          <w:right w:w="28" w:type="dxa"/>
        </w:tblCellMar>
      </w:tblPr>
      <w:tblGrid>
        <w:gridCol w:w="937"/>
        <w:gridCol w:w="822"/>
        <w:gridCol w:w="822"/>
        <w:gridCol w:w="822"/>
        <w:gridCol w:w="822"/>
        <w:gridCol w:w="859"/>
        <w:gridCol w:w="109"/>
        <w:gridCol w:w="109"/>
        <w:gridCol w:w="109"/>
        <w:gridCol w:w="481"/>
        <w:gridCol w:w="481"/>
        <w:gridCol w:w="481"/>
        <w:gridCol w:w="481"/>
        <w:gridCol w:w="481"/>
        <w:gridCol w:w="685"/>
      </w:tblGrid>
      <w:tr>
        <w:trPr/>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5084"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u w:val="single"/>
              </w:rPr>
              <w:t>Delaware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u w:val="single"/>
              </w:rPr>
              <w:t>36-2048898</w:t>
            </w:r>
          </w:p>
        </w:tc>
      </w:tr>
      <w:tr>
        <w:trPr/>
        <w:tc>
          <w:tcPr>
            <w:tcW w:w="5084"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(I.R.S. Employer Identification No.)</w:t>
            </w:r>
          </w:p>
        </w:tc>
      </w:tr>
      <w:tr>
        <w:trPr/>
        <w:tc>
          <w:tcPr>
            <w:tcW w:w="508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u w:val="single"/>
              </w:rPr>
            </w:pPr>
            <w:r>
              <w:rPr>
                <w:color w:val="000000"/>
                <w:u w:val="single"/>
              </w:rPr>
              <w:t> </w:t>
            </w:r>
            <w:r>
              <w:rPr>
                <w:rFonts w:ascii="Times New Roman;serif" w:hAnsi="Times New Roman;serif"/>
                <w:b w:val="false"/>
                <w:color w:val="000000"/>
                <w:sz w:val="20"/>
                <w:u w:val="single"/>
              </w:rPr>
              <w:t>410 North Michigan Avenue,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Chicago, Illinois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u w:val="single"/>
              </w:rPr>
              <w:t>60611-4213</w:t>
            </w:r>
            <w:r>
              <w:rPr>
                <w:color w:val="000000"/>
              </w:rPr>
              <w:t xml:space="preserve"> </w:t>
            </w:r>
          </w:p>
        </w:tc>
      </w:tr>
      <w:tr>
        <w:trPr/>
        <w:tc>
          <w:tcPr>
            <w:tcW w:w="5084"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(Zip Code)</w:t>
            </w:r>
          </w:p>
        </w:tc>
      </w:tr>
      <w:tr>
        <w:trPr/>
        <w:tc>
          <w:tcPr>
            <w:tcW w:w="8501"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The registrant's telephone number, including area code: </w:t>
            </w:r>
            <w:r>
              <w:rPr>
                <w:rFonts w:ascii="Times New Roman;serif" w:hAnsi="Times New Roman;serif"/>
                <w:b w:val="false"/>
                <w:color w:val="000000"/>
                <w:sz w:val="20"/>
                <w:u w:val="single"/>
              </w:rPr>
              <w:t xml:space="preserve">(312) 321-1515 </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$0.10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ODC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4" w:type="dxa"/>
        <w:jc w:val="center"/>
        <w:tblInd w:w="0" w:type="dxa"/>
        <w:tblLayout w:type="fixed"/>
        <w:tblCellMar>
          <w:top w:w="28" w:type="dxa"/>
          <w:left w:w="28" w:type="dxa"/>
          <w:bottom w:w="28" w:type="dxa"/>
          <w:right w:w="28" w:type="dxa"/>
        </w:tblCellMar>
      </w:tblPr>
      <w:tblGrid>
        <w:gridCol w:w="808"/>
        <w:gridCol w:w="711"/>
        <w:gridCol w:w="715"/>
        <w:gridCol w:w="109"/>
        <w:gridCol w:w="109"/>
        <w:gridCol w:w="109"/>
        <w:gridCol w:w="109"/>
        <w:gridCol w:w="109"/>
        <w:gridCol w:w="109"/>
        <w:gridCol w:w="109"/>
        <w:gridCol w:w="109"/>
        <w:gridCol w:w="109"/>
        <w:gridCol w:w="790"/>
        <w:gridCol w:w="790"/>
        <w:gridCol w:w="1119"/>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Large Accelerated Filer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Non-accelerated Filer </w:t>
            </w:r>
            <w:r>
              <w:rPr>
                <w:rFonts w:ascii="Wingdings;sans-serif" w:hAnsi="Wingdings;sans-serif"/>
                <w:b w:val="false"/>
                <w:color w:val="000000"/>
                <w:sz w:val="20"/>
              </w:rPr>
              <w:t>o</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Smaller Reporting Company </w:t>
            </w:r>
            <w:r>
              <w:rPr>
                <w:rFonts w:ascii="Wingdings;sans-serif" w:hAnsi="Wingdings;sans-serif"/>
                <w:b w:val="false"/>
                <w:color w:val="000000"/>
                <w:sz w:val="20"/>
              </w:rPr>
              <w:t>o</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tc>
      </w:tr>
    </w:tbl>
    <w:p>
      <w:pPr>
        <w:pStyle w:val="TextBody"/>
        <w:bidi w:val="0"/>
        <w:spacing w:before="100" w:after="283"/>
        <w:jc w:val="center"/>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31, 2026, 10,254,395 shares of the registrant's Common Stock and 4,233,940 shares of the registrant's Class B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color w:val="000000"/>
        </w:rPr>
      </w:pPr>
      <w:r>
        <w:rPr>
          <w:color w:val="000000"/>
        </w:rPr>
        <w:t> </w:t>
      </w:r>
    </w:p>
    <w:tbl>
      <w:tblPr>
        <w:tblW w:w="8790" w:type="dxa"/>
        <w:jc w:val="left"/>
        <w:tblInd w:w="0" w:type="dxa"/>
        <w:tblLayout w:type="fixed"/>
        <w:tblCellMar>
          <w:top w:w="28" w:type="dxa"/>
          <w:left w:w="28" w:type="dxa"/>
          <w:bottom w:w="28" w:type="dxa"/>
          <w:right w:w="28" w:type="dxa"/>
        </w:tblCellMar>
      </w:tblPr>
      <w:tblGrid>
        <w:gridCol w:w="310"/>
        <w:gridCol w:w="271"/>
        <w:gridCol w:w="274"/>
        <w:gridCol w:w="2453"/>
        <w:gridCol w:w="2453"/>
        <w:gridCol w:w="2458"/>
        <w:gridCol w:w="167"/>
        <w:gridCol w:w="167"/>
        <w:gridCol w:w="237"/>
      </w:tblGrid>
      <w:tr>
        <w:trPr/>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13">
              <w:r>
                <w:rPr>
                  <w:rStyle w:val="InternetLink"/>
                  <w:rFonts w:ascii="Times New Roman;serif" w:hAnsi="Times New Roman;serif"/>
                  <w:b w:val="false"/>
                  <w:strike w:val="false"/>
                  <w:dstrike w:val="false"/>
                  <w:color w:val="0000FF"/>
                  <w:sz w:val="20"/>
                  <w:u w:val="none"/>
                  <w:effect w:val="none"/>
                </w:rPr>
                <w:t>Financial Statements </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13">
              <w:r>
                <w:rPr>
                  <w:rStyle w:val="InternetLink"/>
                  <w:rFonts w:ascii="Times New Roman;serif" w:hAnsi="Times New Roman;serif"/>
                  <w:b w:val="false"/>
                  <w:color w:val="0000FF"/>
                  <w:sz w:val="20"/>
                  <w:u w:val="single"/>
                </w:rPr>
                <w:t>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85">
              <w:r>
                <w:rPr>
                  <w:rStyle w:val="InternetLink"/>
                  <w:rFonts w:ascii="Times New Roman;serif" w:hAnsi="Times New Roman;serif"/>
                  <w:b w:val="false"/>
                  <w:strike w:val="false"/>
                  <w:dstrike w:val="false"/>
                  <w:color w:val="0000FF"/>
                  <w:sz w:val="20"/>
                  <w:u w:val="none"/>
                  <w:effect w:val="none"/>
                </w:rPr>
                <w:t xml:space="preserve">Management’s Discussion and Analysis of Financial Condition and Results </w:t>
              </w:r>
            </w:hyperlink>
            <w:hyperlink w:anchor="i94a1acf6699a46b8bf42835dde595853_85">
              <w:r>
                <w:rPr>
                  <w:rStyle w:val="InternetLink"/>
                  <w:rFonts w:ascii="Times New Roman;serif" w:hAnsi="Times New Roman;serif"/>
                  <w:b w:val="false"/>
                  <w:color w:val="0000FF"/>
                  <w:sz w:val="20"/>
                  <w:u w:val="single"/>
                </w:rPr>
                <w:t>o</w:t>
              </w:r>
            </w:hyperlink>
            <w:hyperlink w:anchor="i94a1acf6699a46b8bf42835dde595853_85">
              <w:r>
                <w:rPr>
                  <w:rStyle w:val="InternetLink"/>
                  <w:rFonts w:ascii="Times New Roman;serif" w:hAnsi="Times New Roman;serif"/>
                  <w:b w:val="false"/>
                  <w:strike w:val="false"/>
                  <w:dstrike w:val="false"/>
                  <w:color w:val="0000FF"/>
                  <w:sz w:val="20"/>
                  <w:u w:val="none"/>
                  <w:effect w:val="none"/>
                </w:rPr>
                <w:t>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85">
              <w:r>
                <w:rPr>
                  <w:rStyle w:val="InternetLink"/>
                  <w:rFonts w:ascii="Times New Roman;serif" w:hAnsi="Times New Roman;serif"/>
                  <w:b w:val="false"/>
                  <w:color w:val="0000FF"/>
                  <w:sz w:val="20"/>
                  <w:u w:val="single"/>
                </w:rPr>
                <w:t>26</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109">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r>
              <w:rPr>
                <w:color w:val="000000"/>
              </w:rPr>
              <w:t>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109">
              <w:r>
                <w:rPr>
                  <w:rStyle w:val="InternetLink"/>
                  <w:rFonts w:ascii="Times New Roman;serif" w:hAnsi="Times New Roman;serif"/>
                  <w:b w:val="false"/>
                  <w:color w:val="0000FF"/>
                  <w:sz w:val="20"/>
                  <w:u w:val="single"/>
                </w:rPr>
                <w:t>33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115">
              <w:r>
                <w:rPr>
                  <w:rStyle w:val="InternetLink"/>
                  <w:rFonts w:ascii="Times New Roman;serif" w:hAnsi="Times New Roman;serif"/>
                  <w:b w:val="false"/>
                  <w:strike w:val="false"/>
                  <w:dstrike w:val="false"/>
                  <w:color w:val="0000FF"/>
                  <w:sz w:val="20"/>
                  <w:u w:val="none"/>
                  <w:effect w:val="non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115">
              <w:r>
                <w:rPr>
                  <w:rStyle w:val="InternetLink"/>
                  <w:rFonts w:ascii="Times New Roman;serif" w:hAnsi="Times New Roman;serif"/>
                  <w:b w:val="false"/>
                  <w:color w:val="0000FF"/>
                  <w:sz w:val="20"/>
                  <w:u w:val="single"/>
                </w:rPr>
                <w:t>33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121">
              <w:r>
                <w:rPr>
                  <w:rStyle w:val="InternetLink"/>
                  <w:rFonts w:ascii="Times New Roman;serif" w:hAnsi="Times New Roman;serif"/>
                  <w:b w:val="false"/>
                  <w:strike w:val="false"/>
                  <w:dstrike w:val="false"/>
                  <w:color w:val="0000FF"/>
                  <w:sz w:val="20"/>
                  <w:u w:val="none"/>
                  <w:effect w:val="non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121">
              <w:r>
                <w:rPr>
                  <w:rStyle w:val="InternetLink"/>
                  <w:rFonts w:ascii="Times New Roman;serif" w:hAnsi="Times New Roman;serif"/>
                  <w:b w:val="false"/>
                  <w:color w:val="0000FF"/>
                  <w:sz w:val="20"/>
                  <w:u w:val="single"/>
                </w:rPr>
                <w:t>34</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124">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r>
              <w:rPr>
                <w:rFonts w:ascii="Times New Roman;serif" w:hAnsi="Times New Roman;serif"/>
                <w:b w:val="false"/>
                <w:color w:val="0000FF"/>
                <w:sz w:val="20"/>
              </w:rPr>
              <w:t>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124">
              <w:r>
                <w:rPr>
                  <w:rStyle w:val="InternetLink"/>
                  <w:rFonts w:ascii="Times New Roman;serif" w:hAnsi="Times New Roman;serif"/>
                  <w:b w:val="false"/>
                  <w:color w:val="0000FF"/>
                  <w:sz w:val="20"/>
                  <w:u w:val="single"/>
                </w:rPr>
                <w:t>35</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127">
              <w:r>
                <w:rPr>
                  <w:rStyle w:val="InternetLink"/>
                  <w:rFonts w:ascii="Times New Roman;serif" w:hAnsi="Times New Roman;serif"/>
                  <w:b w:val="false"/>
                  <w:strike w:val="false"/>
                  <w:dstrike w:val="false"/>
                  <w:color w:val="0000FF"/>
                  <w:sz w:val="20"/>
                  <w:u w:val="none"/>
                  <w:effect w:val="none"/>
                </w:rPr>
                <w:t>Mine Safety Disclosures</w:t>
              </w:r>
            </w:hyperlink>
            <w:r>
              <w:rPr>
                <w:color w:val="000000"/>
              </w:rPr>
              <w:t>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127">
              <w:r>
                <w:rPr>
                  <w:rStyle w:val="InternetLink"/>
                  <w:rFonts w:ascii="Times New Roman;serif" w:hAnsi="Times New Roman;serif"/>
                  <w:b w:val="false"/>
                  <w:color w:val="0000FF"/>
                  <w:sz w:val="20"/>
                  <w:u w:val="single"/>
                </w:rPr>
                <w:t>35</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133">
              <w:r>
                <w:rPr>
                  <w:rStyle w:val="InternetLink"/>
                  <w:rFonts w:ascii="Times New Roman;serif" w:hAnsi="Times New Roman;serif"/>
                  <w:b w:val="false"/>
                  <w:strike w:val="false"/>
                  <w:dstrike w:val="false"/>
                  <w:color w:val="0000FF"/>
                  <w:sz w:val="20"/>
                  <w:u w:val="none"/>
                  <w:effect w:val="non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133">
              <w:r>
                <w:rPr>
                  <w:rStyle w:val="InternetLink"/>
                  <w:rFonts w:ascii="Times New Roman;serif" w:hAnsi="Times New Roman;serif"/>
                  <w:b w:val="false"/>
                  <w:color w:val="0000FF"/>
                  <w:sz w:val="20"/>
                  <w:u w:val="single"/>
                </w:rPr>
                <w:t>36</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a1acf6699a46b8bf42835dde595853_136">
              <w:r>
                <w:rPr>
                  <w:rStyle w:val="InternetLink"/>
                  <w:rFonts w:ascii="Times New Roman;serif" w:hAnsi="Times New Roman;serif"/>
                  <w:b w:val="false"/>
                  <w:strike w:val="false"/>
                  <w:dstrike w:val="false"/>
                  <w:color w:val="0000FF"/>
                  <w:sz w:val="20"/>
                  <w:u w:val="none"/>
                  <w:effect w:val="non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a1acf6699a46b8bf42835dde595853_136">
              <w:r>
                <w:rPr>
                  <w:rStyle w:val="InternetLink"/>
                  <w:rFonts w:ascii="Times New Roman;serif" w:hAnsi="Times New Roman;serif"/>
                  <w:b w:val="false"/>
                  <w:color w:val="0000FF"/>
                  <w:sz w:val="20"/>
                  <w:u w:val="single"/>
                </w:rPr>
                <w:t>37</w:t>
              </w:r>
            </w:hyperlink>
          </w:p>
        </w:tc>
      </w:tr>
    </w:tbl>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report, including, but not limited to, under the heading "Management’s Discussion and Analysis of Financial Condition and Results of Operations," and elsewhere in this report and in other documents that we file with the U.S. Securities and Exchange Commission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“endeavor,” "outlook," "forecast," "would," "could," "should," "project," "intend," "plan," "continue," "believe," "seek," "estimate," "anticipate," "may," "assume," "potential," "foresee," "predict," "possible," "commit," "design," "strive," and variations of such words and similar references to future periods.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herein, in our Annual Report on Form 10-K for the fiscal year ended July 31, 2025, and from time to time in our other filings with the SEC.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 </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TRADEMARK NOTICE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"Oil-Dri" is a registered trademark of Oil-Dri Corporation of America.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80"/>
        <w:gridCol w:w="2373"/>
        <w:gridCol w:w="2371"/>
        <w:gridCol w:w="211"/>
        <w:gridCol w:w="841"/>
        <w:gridCol w:w="109"/>
        <w:gridCol w:w="109"/>
        <w:gridCol w:w="109"/>
        <w:gridCol w:w="109"/>
        <w:gridCol w:w="211"/>
        <w:gridCol w:w="826"/>
        <w:gridCol w:w="156"/>
      </w:tblGrid>
      <w:tr>
        <w:trPr/>
        <w:tc>
          <w:tcPr>
            <w:tcW w:w="2780"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Current Assets</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$1,065 and $1,493 at April 30, 2026 and July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Assets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Trademarks, trade names and patents, net of accumulated amortization of $724 and $693 at April 30, 2026 and July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list, net of accumulated amortization of $10,124 and $9,278 at April 30, 2026 and July 31,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408,790</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391,677 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 (continued)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29"/>
        <w:gridCol w:w="2394"/>
        <w:gridCol w:w="2402"/>
        <w:gridCol w:w="211"/>
        <w:gridCol w:w="841"/>
        <w:gridCol w:w="109"/>
        <w:gridCol w:w="109"/>
        <w:gridCol w:w="109"/>
        <w:gridCol w:w="109"/>
        <w:gridCol w:w="211"/>
        <w:gridCol w:w="826"/>
        <w:gridCol w:w="155"/>
      </w:tblGrid>
      <w:tr>
        <w:trPr/>
        <w:tc>
          <w:tcPr>
            <w:tcW w:w="2729"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&amp; STOCKHOLDERS’ EQUITY</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r>
      <w:tr>
        <w:trPr/>
        <w:tc>
          <w:tcPr>
            <w:tcW w:w="7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Current Liabilities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Noncurrent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 of $153 and $183 at April 30, 2026 and July 31,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(See note 7)</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Stockholders’ Equity</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$.10 per share, issued 15,349,661 shares at April 30, 2026</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and 15,276,261 shares at July 31, 2025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Stock, par value $.10 per share, issued 4,650,484 shares at April 30, 2026</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and 4,650,484 shares at July 31, 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Treasury Stock, at cost (5,095,266 Common and 416,544 Class B shares at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30, 2026 and 4,902,881 Common and 380,628 Class B shares at July 31, 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&amp; Stockholders’ Equity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408,790</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391,677 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 unaudited)</w:t>
      </w:r>
    </w:p>
    <w:tbl>
      <w:tblPr>
        <w:tblW w:w="7241" w:type="dxa"/>
        <w:jc w:val="center"/>
        <w:tblInd w:w="0" w:type="dxa"/>
        <w:tblLayout w:type="fixed"/>
        <w:tblCellMar>
          <w:top w:w="28" w:type="dxa"/>
          <w:left w:w="28" w:type="dxa"/>
          <w:bottom w:w="28" w:type="dxa"/>
          <w:right w:w="28" w:type="dxa"/>
        </w:tblCellMar>
      </w:tblPr>
      <w:tblGrid>
        <w:gridCol w:w="1442"/>
        <w:gridCol w:w="1271"/>
        <w:gridCol w:w="1276"/>
        <w:gridCol w:w="256"/>
        <w:gridCol w:w="1022"/>
        <w:gridCol w:w="132"/>
        <w:gridCol w:w="132"/>
        <w:gridCol w:w="132"/>
        <w:gridCol w:w="132"/>
        <w:gridCol w:w="256"/>
        <w:gridCol w:w="1003"/>
        <w:gridCol w:w="187"/>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364,552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(263,027)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101,525</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(51,785)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49,740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Other Income (Expense) </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51,399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(8,848)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42,551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Earnings Per Share </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Common</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Class B</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Common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 Class B</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Average Shares Outstanding </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Common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9,884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Class B</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Common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13,919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 Class B</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Share</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0.590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Stock</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0.441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p>
      <w:pPr>
        <w:pStyle w:val="TextBody"/>
        <w:bidi w:val="0"/>
        <w:spacing w:before="0" w:after="0"/>
        <w:jc w:val="center"/>
        <w:rPr/>
      </w:pPr>
      <w:r>
        <w:rPr/>
      </w:r>
    </w:p>
    <w:tbl>
      <w:tblPr>
        <w:tblW w:w="6461" w:type="dxa"/>
        <w:jc w:val="center"/>
        <w:tblInd w:w="0" w:type="dxa"/>
        <w:tblLayout w:type="fixed"/>
        <w:tblCellMar>
          <w:top w:w="28" w:type="dxa"/>
          <w:left w:w="28" w:type="dxa"/>
          <w:bottom w:w="28" w:type="dxa"/>
          <w:right w:w="28" w:type="dxa"/>
        </w:tblCellMar>
      </w:tblPr>
      <w:tblGrid>
        <w:gridCol w:w="1163"/>
        <w:gridCol w:w="1022"/>
        <w:gridCol w:w="1025"/>
        <w:gridCol w:w="278"/>
        <w:gridCol w:w="970"/>
        <w:gridCol w:w="143"/>
        <w:gridCol w:w="143"/>
        <w:gridCol w:w="143"/>
        <w:gridCol w:w="143"/>
        <w:gridCol w:w="278"/>
        <w:gridCol w:w="950"/>
        <w:gridCol w:w="203"/>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Oil-Dri</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42,551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expenses (net of tax)</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42,558</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amounts, unaudited)</w:t>
      </w:r>
    </w:p>
    <w:tbl>
      <w:tblPr>
        <w:tblW w:w="7360" w:type="dxa"/>
        <w:jc w:val="center"/>
        <w:tblInd w:w="0" w:type="dxa"/>
        <w:tblLayout w:type="fixed"/>
        <w:tblCellMar>
          <w:top w:w="28" w:type="dxa"/>
          <w:left w:w="28" w:type="dxa"/>
          <w:bottom w:w="28" w:type="dxa"/>
          <w:right w:w="28" w:type="dxa"/>
        </w:tblCellMar>
      </w:tblPr>
      <w:tblGrid>
        <w:gridCol w:w="1442"/>
        <w:gridCol w:w="1271"/>
        <w:gridCol w:w="1276"/>
        <w:gridCol w:w="265"/>
        <w:gridCol w:w="1059"/>
        <w:gridCol w:w="137"/>
        <w:gridCol w:w="137"/>
        <w:gridCol w:w="137"/>
        <w:gridCol w:w="137"/>
        <w:gridCol w:w="265"/>
        <w:gridCol w:w="1040"/>
        <w:gridCol w:w="194"/>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126,329</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(92,601)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33,728</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(16,635)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17,093</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Other Income (Expense) </w:t>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17,911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(3,385)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14,526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Earnings Per Share </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Common</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Class B</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Common</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20"/>
              </w:rPr>
              <w:t>Diluted Class B</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Shares Outstanding</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Common</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Class B</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Diluted Common </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20"/>
              </w:rPr>
              <w:t>Diluted Class B</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Share</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Common</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0.2050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Class B</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0.1530</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0.1165 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270"/>
        <w:jc w:val="both"/>
        <w:rPr/>
      </w:pPr>
      <w:r>
        <w:rPr/>
      </w:r>
    </w:p>
    <w:p>
      <w:pPr>
        <w:pStyle w:val="TextBody"/>
        <w:bidi w:val="0"/>
        <w:spacing w:lineRule="auto" w:line="256"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6583" w:type="dxa"/>
        <w:jc w:val="center"/>
        <w:tblInd w:w="0" w:type="dxa"/>
        <w:tblLayout w:type="fixed"/>
        <w:tblCellMar>
          <w:top w:w="28" w:type="dxa"/>
          <w:left w:w="28" w:type="dxa"/>
          <w:bottom w:w="28" w:type="dxa"/>
          <w:right w:w="28" w:type="dxa"/>
        </w:tblCellMar>
      </w:tblPr>
      <w:tblGrid>
        <w:gridCol w:w="1163"/>
        <w:gridCol w:w="1022"/>
        <w:gridCol w:w="1025"/>
        <w:gridCol w:w="288"/>
        <w:gridCol w:w="1006"/>
        <w:gridCol w:w="149"/>
        <w:gridCol w:w="149"/>
        <w:gridCol w:w="149"/>
        <w:gridCol w:w="149"/>
        <w:gridCol w:w="288"/>
        <w:gridCol w:w="985"/>
        <w:gridCol w:w="210"/>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Attributable to Oil-Dri</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14,526</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Postretirement expenses (net of tax)</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14,427</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amounts, unaudited)</w:t>
      </w:r>
    </w:p>
    <w:tbl>
      <w:tblPr>
        <w:tblW w:w="11246" w:type="dxa"/>
        <w:jc w:val="center"/>
        <w:tblInd w:w="0" w:type="dxa"/>
        <w:tblLayout w:type="fixed"/>
        <w:tblCellMar>
          <w:top w:w="28" w:type="dxa"/>
          <w:left w:w="28" w:type="dxa"/>
          <w:bottom w:w="28" w:type="dxa"/>
          <w:right w:w="28" w:type="dxa"/>
        </w:tblCellMar>
      </w:tblPr>
      <w:tblGrid>
        <w:gridCol w:w="618"/>
        <w:gridCol w:w="201"/>
        <w:gridCol w:w="202"/>
        <w:gridCol w:w="534"/>
        <w:gridCol w:w="292"/>
        <w:gridCol w:w="211"/>
        <w:gridCol w:w="109"/>
        <w:gridCol w:w="109"/>
        <w:gridCol w:w="109"/>
        <w:gridCol w:w="368"/>
        <w:gridCol w:w="368"/>
        <w:gridCol w:w="221"/>
        <w:gridCol w:w="109"/>
        <w:gridCol w:w="109"/>
        <w:gridCol w:w="109"/>
        <w:gridCol w:w="181"/>
        <w:gridCol w:w="496"/>
        <w:gridCol w:w="109"/>
        <w:gridCol w:w="109"/>
        <w:gridCol w:w="109"/>
        <w:gridCol w:w="109"/>
        <w:gridCol w:w="181"/>
        <w:gridCol w:w="571"/>
        <w:gridCol w:w="109"/>
        <w:gridCol w:w="109"/>
        <w:gridCol w:w="109"/>
        <w:gridCol w:w="109"/>
        <w:gridCol w:w="181"/>
        <w:gridCol w:w="646"/>
        <w:gridCol w:w="109"/>
        <w:gridCol w:w="109"/>
        <w:gridCol w:w="109"/>
        <w:gridCol w:w="109"/>
        <w:gridCol w:w="109"/>
        <w:gridCol w:w="109"/>
        <w:gridCol w:w="181"/>
        <w:gridCol w:w="631"/>
        <w:gridCol w:w="109"/>
        <w:gridCol w:w="109"/>
        <w:gridCol w:w="109"/>
        <w:gridCol w:w="109"/>
        <w:gridCol w:w="235"/>
        <w:gridCol w:w="644"/>
        <w:gridCol w:w="142"/>
        <w:gridCol w:w="109"/>
        <w:gridCol w:w="109"/>
        <w:gridCol w:w="109"/>
        <w:gridCol w:w="109"/>
        <w:gridCol w:w="109"/>
        <w:gridCol w:w="181"/>
        <w:gridCol w:w="64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4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April 30</w:t>
            </w:r>
          </w:p>
        </w:tc>
        <w:tc>
          <w:tcPr>
            <w:tcW w:w="1526" w:type="dxa"/>
            <w:gridSpan w:val="8"/>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1" w:type="dxa"/>
            <w:gridSpan w:val="2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&amp; Class B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&amp; Class B</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January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19,866,445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(5,275,972)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63,195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257,349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(87,232)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561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235,860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Treasury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issuance of stock under long-term incentive plans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April 30,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19,919,745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(5,277,917)</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64,536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266,889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(87,309)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751</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246,859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January 31, 2026</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19,989,245</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(5,506,829)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68,980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300,343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(99,947)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1,075</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272,450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Treasury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issuance of stock under long-term incentive plans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April 30,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20,000,145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(5,511,810)</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70,344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312,119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(100,213)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976</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285,226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246" w:type="dxa"/>
        <w:jc w:val="center"/>
        <w:tblInd w:w="0" w:type="dxa"/>
        <w:tblLayout w:type="fixed"/>
        <w:tblCellMar>
          <w:top w:w="28" w:type="dxa"/>
          <w:left w:w="28" w:type="dxa"/>
          <w:bottom w:w="28" w:type="dxa"/>
          <w:right w:w="28" w:type="dxa"/>
        </w:tblCellMar>
      </w:tblPr>
      <w:tblGrid>
        <w:gridCol w:w="531"/>
        <w:gridCol w:w="288"/>
        <w:gridCol w:w="202"/>
        <w:gridCol w:w="534"/>
        <w:gridCol w:w="292"/>
        <w:gridCol w:w="211"/>
        <w:gridCol w:w="109"/>
        <w:gridCol w:w="109"/>
        <w:gridCol w:w="109"/>
        <w:gridCol w:w="368"/>
        <w:gridCol w:w="368"/>
        <w:gridCol w:w="221"/>
        <w:gridCol w:w="109"/>
        <w:gridCol w:w="109"/>
        <w:gridCol w:w="109"/>
        <w:gridCol w:w="181"/>
        <w:gridCol w:w="496"/>
        <w:gridCol w:w="109"/>
        <w:gridCol w:w="109"/>
        <w:gridCol w:w="109"/>
        <w:gridCol w:w="109"/>
        <w:gridCol w:w="181"/>
        <w:gridCol w:w="571"/>
        <w:gridCol w:w="109"/>
        <w:gridCol w:w="109"/>
        <w:gridCol w:w="109"/>
        <w:gridCol w:w="109"/>
        <w:gridCol w:w="181"/>
        <w:gridCol w:w="646"/>
        <w:gridCol w:w="109"/>
        <w:gridCol w:w="109"/>
        <w:gridCol w:w="109"/>
        <w:gridCol w:w="109"/>
        <w:gridCol w:w="109"/>
        <w:gridCol w:w="109"/>
        <w:gridCol w:w="181"/>
        <w:gridCol w:w="631"/>
        <w:gridCol w:w="109"/>
        <w:gridCol w:w="109"/>
        <w:gridCol w:w="109"/>
        <w:gridCol w:w="109"/>
        <w:gridCol w:w="271"/>
        <w:gridCol w:w="586"/>
        <w:gridCol w:w="164"/>
        <w:gridCol w:w="109"/>
        <w:gridCol w:w="109"/>
        <w:gridCol w:w="109"/>
        <w:gridCol w:w="109"/>
        <w:gridCol w:w="109"/>
        <w:gridCol w:w="181"/>
        <w:gridCol w:w="64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Nine Months Ended April 30</w:t>
            </w:r>
          </w:p>
        </w:tc>
        <w:tc>
          <w:tcPr>
            <w:tcW w:w="1526" w:type="dxa"/>
            <w:gridSpan w:val="8"/>
            <w:tcBorders/>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188" w:type="dxa"/>
            <w:gridSpan w:val="4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&amp; Class B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&amp; Class B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July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19,825,170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(5,230,529)</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60,031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232,247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(84,441)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769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210,588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Treasury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(34,966)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issuance of stock under long-term incentive plans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94,575 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(12,422)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April 30,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19,919,745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(5,277,917)</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64,536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266,889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(87,309)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751</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246,859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July 31, 2025</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19,926,745</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(5,283,509)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66,138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277,500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(87,540)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969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259,060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Treasury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(224,601)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issuance of stock under long-term incentive plans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73,400 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April 30,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20,000,145</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(5,511,810)</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2,000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70,344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312,119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(100,213)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976</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285,226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9971" w:type="dxa"/>
        <w:jc w:val="center"/>
        <w:tblInd w:w="0" w:type="dxa"/>
        <w:tblLayout w:type="fixed"/>
        <w:tblCellMar>
          <w:top w:w="28" w:type="dxa"/>
          <w:left w:w="28" w:type="dxa"/>
          <w:bottom w:w="28" w:type="dxa"/>
          <w:right w:w="28" w:type="dxa"/>
        </w:tblCellMar>
      </w:tblPr>
      <w:tblGrid>
        <w:gridCol w:w="2436"/>
        <w:gridCol w:w="2140"/>
        <w:gridCol w:w="2144"/>
        <w:gridCol w:w="278"/>
        <w:gridCol w:w="970"/>
        <w:gridCol w:w="143"/>
        <w:gridCol w:w="143"/>
        <w:gridCol w:w="143"/>
        <w:gridCol w:w="143"/>
        <w:gridCol w:w="278"/>
        <w:gridCol w:w="950"/>
        <w:gridCol w:w="203"/>
      </w:tblGrid>
      <w:tr>
        <w:trPr/>
        <w:tc>
          <w:tcPr>
            <w:tcW w:w="243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CASH FLOWS FROM OPERATING ACTIVITIES</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42,551</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17,186</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debts and cash discounts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patent applications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Accretion of asset retirement obligation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disposals of property, plant and equipment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assets:</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liabilities:</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(5,529)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(3,170)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10,657</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53,208</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CASH FLOWS FROM INVESTING ACTIVITIES</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 business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 of short-term investments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(20,606)</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CASH FLOWS FROM FINANCING ACTIVITIES</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(7,626)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(12,537)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(20,163)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12,483</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50,458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62,941</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p>
      <w:pPr>
        <w:pStyle w:val="TextBody"/>
        <w:bidi w:val="0"/>
        <w:spacing w:before="0" w:after="0"/>
        <w:jc w:val="center"/>
        <w:rPr/>
      </w:pPr>
      <w:r>
        <w:rPr/>
      </w:r>
    </w:p>
    <w:tbl>
      <w:tblPr>
        <w:tblW w:w="8441" w:type="dxa"/>
        <w:jc w:val="left"/>
        <w:tblInd w:w="0" w:type="dxa"/>
        <w:tblLayout w:type="fixed"/>
        <w:tblCellMar>
          <w:top w:w="28" w:type="dxa"/>
          <w:left w:w="28" w:type="dxa"/>
          <w:bottom w:w="28" w:type="dxa"/>
          <w:right w:w="28" w:type="dxa"/>
        </w:tblCellMar>
      </w:tblPr>
      <w:tblGrid>
        <w:gridCol w:w="1879"/>
        <w:gridCol w:w="1652"/>
        <w:gridCol w:w="1659"/>
        <w:gridCol w:w="286"/>
        <w:gridCol w:w="939"/>
        <w:gridCol w:w="148"/>
        <w:gridCol w:w="148"/>
        <w:gridCol w:w="148"/>
        <w:gridCol w:w="148"/>
        <w:gridCol w:w="286"/>
        <w:gridCol w:w="939"/>
        <w:gridCol w:w="209"/>
      </w:tblGrid>
      <w:tr>
        <w:trPr/>
        <w:tc>
          <w:tcPr>
            <w:tcW w:w="187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assets:</w:t>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Beginning balance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Converted to unrestricted cash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Final settlement of acquisition of Ultra Pet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cash flows:</w:t>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payments, net of amounts capitalized</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Income tax payments, net of refunds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capital expenditures in accounts payable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capital expenditures in accrued expenses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and accrued</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w:t>
      </w:r>
      <w:r>
        <w:rPr>
          <w:color w:val="000000"/>
        </w:rPr>
        <w:t> </w:t>
      </w:r>
      <w:r>
        <w:rPr>
          <w:rFonts w:ascii="Times New Roman;serif" w:hAnsi="Times New Roman;serif"/>
          <w:b/>
          <w:color w:val="000000"/>
          <w:sz w:val="20"/>
        </w:rPr>
        <w:t>BASIS OF PRESENTATION AND SIGNIFICANT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included in our Annual Report on Form 10-K for the fiscal year ended July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reflect all adjustments, consisting of normal recurring accruals which are, in the opinion of management, necessary for a fair presentation of the statements contained herein. Operating results for the three and nine months ended April 30, 2026, are not necessarily an indication of the results that may be expected for the fiscal year ending July 31, 2026.</w:t>
      </w:r>
    </w:p>
    <w:p>
      <w:pPr>
        <w:pStyle w:val="TextBody"/>
        <w:bidi w:val="0"/>
        <w:spacing w:lineRule="auto" w:line="288" w:before="225" w:after="283"/>
        <w:jc w:val="both"/>
        <w:rPr>
          <w:rFonts w:ascii="Times New Roman;serif" w:hAnsi="Times New Roman;serif"/>
          <w:b/>
          <w:color w:val="000000"/>
          <w:sz w:val="20"/>
        </w:rPr>
      </w:pPr>
      <w:r>
        <w:rPr>
          <w:rFonts w:ascii="Times New Roman;serif" w:hAnsi="Times New Roman;serif"/>
          <w:b/>
          <w:color w:val="000000"/>
          <w:sz w:val="20"/>
        </w:rPr>
        <w:t>Management 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U.S. GAAP requires management to make estimates and assumptions that affect the reported amounts of assets, liabilities, and disclosure of contingent assets and liabilities as of the date of the unaudited Condensed Consolidated Financial Statements and the reported amounts of revenues and expenses during the reporting period, as well as the related disclosures. Estimates and assumptions about future events cannot be made with certainty. All of our estimates and assumptions are revised periodically. Actual results could differ from these estimates.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which are summarized in detail in our Annual Report on Form 10-K for the fiscal year ended July 31, 2025, have not materially changed. The following is a description of certain of our significant accounting policies: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Trade Receivables.</w:t>
      </w:r>
      <w:r>
        <w:rPr>
          <w:color w:val="000000"/>
        </w:rPr>
        <w:t xml:space="preserve"> </w:t>
      </w:r>
      <w:r>
        <w:rPr>
          <w:rFonts w:ascii="Times New Roman;serif" w:hAnsi="Times New Roman;serif"/>
          <w:b w:val="false"/>
          <w:color w:val="000000"/>
          <w:sz w:val="20"/>
        </w:rPr>
        <w:t xml:space="preserve">We recognize trade receivables when control of finished products is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 by our customers. Accounts receivable was $75.8 million, $69.4 million, and $62.2 million as of April 30, 2026, July 31, 2025, and July 31, 2024,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Property, Plant and Equipment. </w:t>
      </w:r>
      <w:r>
        <w:rPr>
          <w:rFonts w:ascii="Times New Roman;serif" w:hAnsi="Times New Roman;serif"/>
          <w:b w:val="false"/>
          <w:color w:val="000000"/>
          <w:sz w:val="20"/>
        </w:rPr>
        <w:t xml:space="preserve">Property, plant and equipment includes depreciable assets such as building, machinery, equipment, furniture, vehicles, and capitalized spare parts. These assets are depreciated using the straight-line method over their estimated useful lives. Major improvements and betterments are capitalized, while maintenance and repairs that do not extend the useful life or increase functionality of the applicable assets are expensed as incurred. Interest expense may also be capitalized for assets that require a period of time to prepare them for their intended use.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assets are carried at cost on the unaudited Condensed Consolidated Balance Sheet and are reviewed for possible impairment on an annual basis or when circumstances indicate that an asset may become impaired. We take into consideration idle and underutilized equipment and review business plans for possible impairment. When impairment is indicated,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impairment charge is recorded for the difference between the carrying value of the asset and its fair market value.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composition of property, plant and equipment is as follows (in thousands):</w:t>
      </w:r>
    </w:p>
    <w:tbl>
      <w:tblPr>
        <w:tblW w:w="6369" w:type="dxa"/>
        <w:jc w:val="center"/>
        <w:tblInd w:w="0" w:type="dxa"/>
        <w:tblLayout w:type="fixed"/>
        <w:tblCellMar>
          <w:top w:w="28" w:type="dxa"/>
          <w:left w:w="28" w:type="dxa"/>
          <w:bottom w:w="28" w:type="dxa"/>
          <w:right w:w="28" w:type="dxa"/>
        </w:tblCellMar>
      </w:tblPr>
      <w:tblGrid>
        <w:gridCol w:w="1337"/>
        <w:gridCol w:w="1173"/>
        <w:gridCol w:w="1180"/>
        <w:gridCol w:w="211"/>
        <w:gridCol w:w="841"/>
        <w:gridCol w:w="109"/>
        <w:gridCol w:w="109"/>
        <w:gridCol w:w="109"/>
        <w:gridCol w:w="109"/>
        <w:gridCol w:w="211"/>
        <w:gridCol w:w="82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366,934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150,799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Land, Mining Property and Mineral Rights.</w:t>
      </w:r>
      <w:r>
        <w:rPr>
          <w:color w:val="000000"/>
        </w:rPr>
        <w:t xml:space="preserve"> </w:t>
      </w:r>
      <w:r>
        <w:rPr>
          <w:rFonts w:ascii="Times New Roman;serif" w:hAnsi="Times New Roman;serif"/>
          <w:b w:val="false"/>
          <w:color w:val="000000"/>
          <w:sz w:val="20"/>
        </w:rPr>
        <w:t xml:space="preserve">We surface mine sorbent minerals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it is our policy to capitalize the purchase cost of land and mineral rights, including associated legal, survey and real estate fees. The costs of obtaining mineral rights,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Reclamation. </w:t>
      </w:r>
      <w:r>
        <w:rPr>
          <w:rFonts w:ascii="Times New Roman;serif" w:hAnsi="Times New Roman;serif"/>
          <w:b w:val="false"/>
          <w:color w:val="000000"/>
          <w:sz w:val="20"/>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an annual basis we evaluate our potential reclamation liability in accordance with ASC 410, </w:t>
      </w:r>
      <w:r>
        <w:rPr>
          <w:rFonts w:ascii="Times New Roman;serif" w:hAnsi="Times New Roman;serif"/>
          <w:b w:val="false"/>
          <w:i/>
          <w:color w:val="000000"/>
          <w:sz w:val="20"/>
        </w:rPr>
        <w:t>Asset Retirement and Environmental Obligations.</w:t>
      </w:r>
      <w:r>
        <w:rPr>
          <w:color w:val="000000"/>
        </w:rPr>
        <w:t xml:space="preserve"> </w:t>
      </w:r>
      <w:r>
        <w:rPr>
          <w:rFonts w:ascii="Times New Roman;serif" w:hAnsi="Times New Roman;serif"/>
          <w:b w:val="false"/>
          <w:color w:val="000000"/>
          <w:sz w:val="20"/>
        </w:rPr>
        <w:t>The reclamation assets are depreciated over the estimated useful lives of the respective mines. The reclamation liabilities are increased based on a yearly accretion charge over the estimated useful lives of the respective mines.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Leases. </w:t>
      </w:r>
      <w:r>
        <w:rPr>
          <w:rFonts w:ascii="Times New Roman;serif" w:hAnsi="Times New Roman;serif"/>
          <w:b w:val="false"/>
          <w:color w:val="000000"/>
          <w:sz w:val="20"/>
        </w:rPr>
        <w:t xml:space="preserve">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provides that a contract is, or contains, a lease if it conveys the right to control the use of an identified asset and, accordingly, a lease liability and a related right-of-use ("ROU") asset is recognized at the commencement date on our unaudited Condensed Consolidated Balance Sheet. As provided in ASC 842, we have elected not to apply these measurements and recognition requirements to short-term leases (i.e., leases with a term of 12 months or less). Short-term leases will not be recorded as ROU assets or lease liabilities on our unaudited Condensed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leases provide for variable lease payments that vary due to changes in facts and circumstances occurring after the commencement date, other than the passage of time. Variable lease payments that are dependent on an index or rate (e.g., the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Revenue Recognition.</w:t>
      </w:r>
      <w:r>
        <w:rPr>
          <w:color w:val="000000"/>
        </w:rPr>
        <w:t xml:space="preserve"> </w:t>
      </w:r>
      <w:r>
        <w:rPr>
          <w:rFonts w:ascii="Times New Roman;serif" w:hAnsi="Times New Roman;serif"/>
          <w:b w:val="false"/>
          <w:color w:val="000000"/>
          <w:sz w:val="20"/>
        </w:rPr>
        <w:t>We recognize revenue when performance obligations under the terms of the contracts with customers are satisfied. Our performance obligation generally consists of the promise to sell finished products to wholesalers, distributors, retailers or consumers and our obligations have an original duration of one year or less. Control of the finished products are generally transferred upon shipment to, or receipt at, customers' locations, as determined by the specific terms of the orders. We have one customer who requested that the title and risk of loss transfer when production is completed. For that customer, we produce and physically segregate finished goods in our warehouses. We have completed our performance obligation when control is transferred, and we recognize revenue accordingly. Taxes collected from customers and remitted to governmental authorities are excluded from net sales. Sales returns are not material nor are warranties or any related obligations.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an unconditional right to consideration under the payment terms specified in the contracts upon completion of the performance obligation. We may require certain customers to provide payment in advance of product shipment. We recorded a liability for these advance payments of $0.6 million as of April 30, 2026 and $0.3 million as of July 31, 2025. This liability is reported in Other within Accrued Expenses on the unaudited Condensed Consolidated Balance Sheet. There was $0.3 million revenue recognized during the nine months ended April 30, 2026, that was included in the liability for advance payments at the beginning of the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routinely commit to one-time or ongoing trade promotion programs directly with consumers, such as coupon programs, and also with customers, such as volume discounts, cooperative marketing and other arrangements. We estimate and accrue the expected costs of these programs. These costs are considered variable consideration 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Selling, General and Administrative Expenses.</w:t>
      </w:r>
      <w:r>
        <w:rPr>
          <w:color w:val="000000"/>
        </w:rPr>
        <w:t xml:space="preserve"> </w:t>
      </w:r>
      <w:r>
        <w:rPr>
          <w:rFonts w:ascii="Times New Roman;serif" w:hAnsi="Times New Roman;serif"/>
          <w:b w:val="false"/>
          <w:color w:val="000000"/>
          <w:sz w:val="20"/>
        </w:rPr>
        <w:t>Selling, general and administrative expenses ("SG&amp;A")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Current and Noncurrent Liabilities. </w:t>
      </w:r>
      <w:r>
        <w:rPr>
          <w:rFonts w:ascii="Times New Roman;serif" w:hAnsi="Times New Roman;serif"/>
          <w:b w:val="false"/>
          <w:color w:val="000000"/>
          <w:sz w:val="20"/>
        </w:rPr>
        <w:t>Other liabilities include the accruals for general expenses not yet paid, cash collected not yet vouchered, legal reserves, postretirement health benefit obligations, and reclamation liability accrual. Current liabilities are due to be paid within the next 12 months. Other noncurrent liabilities on the unaudited Condensed Consolidated Balance Sheet include $6.1 million and $5.9 million for the reclamation liability as of April 30, 2026, and July 31, 2025, respectively, and $1.7 million and $1.6 million for the postretirement health benefit as of April 30, 2026 and July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New Accounting Pronouncements and Regulations.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No. 2023-07, "Segment Reporting (Topic 280): Improvements to Reportable Segment Disclosures" ("ASU 2023-07").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Refer to Note 10 - Operating Segments of this Form 10-Q for the enhanced disclosures added as a result of the adoption of ASU 2023-07.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plan to adopt this amendment as of July 31, 2026. We do not expect the amendment to have a material impact on the Company's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(Subtopic 220-40): Disaggregation of Income Statement Expenses" ("ASU 2024-03"). The pronouncement expands the disclosure requirements for expenses, specifically by providing more detailed information about the types of expenses in commonly presented expense captions. ASU 2024-03 is effective for fiscal years beginning after December 15, 2026, and interim periods within fiscal years beginning after December 15, 2027. We are currently evaluating the impact that ASU 2024-03 will have on the Company's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We do not expect the amendment to have a material impact on the Company's consolidated financial statement disclosures, however we will continue to assess through the adoption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provides clarification and improvements to the accounting for internal-use software costs under ASC 350-40, Intangibles – Goodwill and Other – Internal-Use Software. The guidance includes amendments related to capitalization of implementation costs, subsequent measurement, and related presentation and disclosure requirements. ASU 2025-06 is effective for fiscal years beginning after December 15, 2027, including interim periods within those fiscal years. We are currently evaluating the impact that ASU 2025-06 will have on the Company's consolidated financial statement disclosures.</w:t>
      </w:r>
    </w:p>
    <w:p>
      <w:pPr>
        <w:pStyle w:val="TextBody"/>
        <w:bidi w:val="0"/>
        <w:spacing w:before="0" w:after="0"/>
        <w:jc w:val="both"/>
        <w:rPr/>
      </w:pPr>
      <w:r>
        <w:rPr/>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("ASU 2025-10"). This amendment establishes authoritative guidance on the recognition, measurement and presentation of government grants received by business entities. ASU 2025-10 is effective for fiscal years beginning after December 15, 2028, including interim periods within those years, with early adoption permitted. Given the nature of our existing government-related arrangements, we do not expect the amendment to have a material impact on the Company's consolidated financial statement disclosures, however we will continue to assess through the adoption period.</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("ASU 2025-11"). These amendments are intended to improve the navigability of interim reporting guidance, clarify when ASC 270 applies, and provide a comprehensive list of required interim disclosures including a requirement for entities to disclose events that occur after the end of the most recent annual reporting period that have a material impact on the entity. ASU 2025-11 is effective for interim periods within fiscal years beginning after December 15, 2027, with early adoption permitted. We are currently evaluating the impact that ASU 2025-11 will have on the Company's consolidated financial statement disclosures.</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("ASU 2025-12") which includes amendments for technical corrections, clarifications and revisions to existing codification intended to improve consistency of application, remove ambiguity and enhance overall usability. These improvements do not introduce new accounting requirements and are not expected to result in significant changes to accounting practices. ASU 2025-12 is effective for annual periods beginning after December 15, 2026, including interim periods within those fiscal years. We are currently evaluating the impact that ASU 2025-12 will have on the Company's consolidated financial statement disclosures.</w:t>
      </w:r>
    </w:p>
    <w:p>
      <w:pPr>
        <w:pStyle w:val="TextBody"/>
        <w:bidi w:val="0"/>
        <w:spacing w:before="225"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2.</w:t>
      </w:r>
      <w:r>
        <w:rPr>
          <w:color w:val="000000"/>
        </w:rPr>
        <w:t> </w:t>
      </w:r>
      <w:r>
        <w:rPr>
          <w:rFonts w:ascii="Times New Roman;serif" w:hAnsi="Times New Roman;serif"/>
          <w:b/>
          <w:color w:val="000000"/>
          <w:sz w:val="20"/>
        </w:rPr>
        <w:t>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utilize the two-class method to report our earnings per share ("EPS"). The two-class method is an earnings allocation formula that determines EPS for each class of common stock according to dividends declared and participation rights in undistributed earnings. Common Stock is entitled to cash dividends equal to at least 133.33% on a per share basis of the cash dividend paid on Class B Stock. In computing EPS, the Company has allocated dividends declared to shares of Common Stock and Class B Stock based on amounts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have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Common Stock is derived utilizing the most dilutive result of the if-converted, treasury stock and two-class methods. In our case, the if-converted method is more dilutive than the two-class method and because our unvested restricted stock participates in dividends and is therefore anti-dilutive the treasury stock method does not apply. For Class B Stock, diluted EPS is derived utilizing the two-class method since, as with our Common Stock, our unvested restricted stock participates in dividends and is therefore anti-dilutive, making the treasury stock method inapplicable. The reverse treasury stock method is also inapplicable to both classes as we have no obligation to repurchase our Common Stock or Class B Stock. In both the if-converted and two-class methods, diluted EPS is computed by dividing net earnings by the weighted-average number of shares and potential shares outstanding during the period, taking into consideration different potential shares outstanding based on the method used. Dilution for Common Stock takes into consideration the effect of both unvested restricted shares and convertible shares of Class B Stock, unless such shares are anti-dilutive, in which case they are not considered. Dilution for Class B Stock takes into consideration the effect of unvested restricted shares, unless such shares are anti-dilutive, in which case they are not considered.</w:t>
      </w:r>
    </w:p>
    <w:p>
      <w:pPr>
        <w:pStyle w:val="TextBody"/>
        <w:bidi w:val="0"/>
        <w:spacing w:lineRule="auto" w:line="288" w:before="22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reconciliation of the calculation of basic and diluted EPS.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9"/>
        <w:gridCol w:w="667"/>
        <w:gridCol w:w="674"/>
        <w:gridCol w:w="222"/>
        <w:gridCol w:w="665"/>
        <w:gridCol w:w="133"/>
        <w:gridCol w:w="133"/>
        <w:gridCol w:w="133"/>
        <w:gridCol w:w="133"/>
        <w:gridCol w:w="222"/>
        <w:gridCol w:w="665"/>
        <w:gridCol w:w="133"/>
        <w:gridCol w:w="133"/>
        <w:gridCol w:w="133"/>
        <w:gridCol w:w="133"/>
        <w:gridCol w:w="222"/>
        <w:gridCol w:w="665"/>
        <w:gridCol w:w="133"/>
        <w:gridCol w:w="133"/>
        <w:gridCol w:w="133"/>
        <w:gridCol w:w="133"/>
        <w:gridCol w:w="222"/>
        <w:gridCol w:w="665"/>
        <w:gridCol w:w="133"/>
        <w:gridCol w:w="133"/>
        <w:gridCol w:w="133"/>
        <w:gridCol w:w="133"/>
        <w:gridCol w:w="222"/>
        <w:gridCol w:w="665"/>
        <w:gridCol w:w="133"/>
        <w:gridCol w:w="133"/>
        <w:gridCol w:w="133"/>
        <w:gridCol w:w="133"/>
        <w:gridCol w:w="222"/>
        <w:gridCol w:w="572"/>
        <w:gridCol w:w="216"/>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Nine Months Ended April 30, 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Nine Months Ended April 30,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for per share data)</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for per share data)</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42,551 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9,740 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Distributed and undistributed earnings on restricted shares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available to stockholders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40,731 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31,167 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9,085 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(Numerator)</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9,085 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 Average Shares Outstanding (Denominator)</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Basic EPS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3.15</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2.37</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3.03</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Effect of dilution - Net Income </w:t>
            </w:r>
            <w:r>
              <w:rPr>
                <w:rFonts w:ascii="Times New Roman;serif" w:hAnsi="Times New Roman;serif"/>
                <w:b w:val="false"/>
                <w:color w:val="000000"/>
                <w:sz w:val="9"/>
              </w:rPr>
              <w:t>(1)</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assuming dilution (Numerator)</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Effect of dilution - Shares </w:t>
            </w:r>
            <w:r>
              <w:rPr>
                <w:rFonts w:ascii="Times New Roman;serif" w:hAnsi="Times New Roman;serif"/>
                <w:b w:val="false"/>
                <w:color w:val="000000"/>
                <w:sz w:val="9"/>
              </w:rPr>
              <w:t>(1)</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assuming dilution (Denominator)</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Diluted EPS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2.93</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2.37</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2.81</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2.28</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 xml:space="preserve">The impact of 281,219 unvested shares of Common Stock and 135,090 unvested shares of Class B Stock were anti-dilutive therefore not included in the calculation of diluted EPS for the nine months ended April 30, 2026. The impact of 259,469 unvested shares of Common Stock and 124,187 unvested shares of Class B Stock were anti-dilutive, and therefore not included in the calculation of diluted EPS for the nine months ended April 30, 2025. </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April 30, 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April 30,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for per share data)</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for per share data)</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11,644 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Distributed and undistributed earnings on restricted shares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available to stockholders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13,903 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10,625 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(Numerator)</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 Average Shares Outstanding (Denominator)</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Basic EPS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1.08</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0.81</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0.86</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0.65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Effect of dilution - Net Income </w:t>
            </w:r>
            <w:r>
              <w:rPr>
                <w:rFonts w:ascii="Times New Roman;serif" w:hAnsi="Times New Roman;serif"/>
                <w:b w:val="false"/>
                <w:color w:val="000000"/>
                <w:sz w:val="9"/>
              </w:rPr>
              <w:t>(1)</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assuming dilution (Numerator)</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Effect of dilution - Shares </w:t>
            </w:r>
            <w:r>
              <w:rPr>
                <w:rFonts w:ascii="Times New Roman;serif" w:hAnsi="Times New Roman;serif"/>
                <w:b w:val="false"/>
                <w:color w:val="000000"/>
                <w:sz w:val="9"/>
              </w:rPr>
              <w:t>(1)</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assuming dilution (Denominator)</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Diluted EPS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1.00</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0.81</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0.80</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0.65</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 xml:space="preserve">The impact of 267,018 unvested shares of Common Stock and 125,345 unvested shares of Class B Stock were anti-dilutive therefore not included in the calculation of diluted EPS for the three months ended April 30, 2026. The impact of 268,920 unvested shares of Common Stock and 132,528 unvested shares of Class B Stock were anti-dilutive, and therefore not included in the calculation of diluted EPS for the three months ended April 30, 2025. </w:t>
            </w:r>
          </w:p>
        </w:tc>
      </w:tr>
    </w:tbl>
    <w:p>
      <w:pPr>
        <w:pStyle w:val="TextBody"/>
        <w:bidi w:val="0"/>
        <w:spacing w:before="225"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3.</w:t>
      </w:r>
      <w:r>
        <w:rPr>
          <w:color w:val="000000"/>
        </w:rPr>
        <w:t> </w:t>
      </w:r>
      <w:r>
        <w:rPr>
          <w:rFonts w:ascii="Times New Roman;serif" w:hAnsi="Times New Roman;serif"/>
          <w:b/>
          <w:color w:val="000000"/>
          <w:sz w:val="20"/>
        </w:rPr>
        <w:t>INVENTORIES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composition of inventories is as follows (in thousands):</w:t>
      </w:r>
    </w:p>
    <w:p>
      <w:pPr>
        <w:pStyle w:val="TextBody"/>
        <w:bidi w:val="0"/>
        <w:spacing w:before="0" w:after="0"/>
        <w:jc w:val="both"/>
        <w:rPr/>
      </w:pPr>
      <w:r>
        <w:rPr/>
      </w:r>
    </w:p>
    <w:tbl>
      <w:tblPr>
        <w:tblW w:w="3984" w:type="dxa"/>
        <w:jc w:val="center"/>
        <w:tblInd w:w="0" w:type="dxa"/>
        <w:tblLayout w:type="fixed"/>
        <w:tblCellMar>
          <w:top w:w="28" w:type="dxa"/>
          <w:left w:w="28" w:type="dxa"/>
          <w:bottom w:w="28" w:type="dxa"/>
          <w:right w:w="28" w:type="dxa"/>
        </w:tblCellMar>
      </w:tblPr>
      <w:tblGrid>
        <w:gridCol w:w="549"/>
        <w:gridCol w:w="482"/>
        <w:gridCol w:w="484"/>
        <w:gridCol w:w="211"/>
        <w:gridCol w:w="736"/>
        <w:gridCol w:w="109"/>
        <w:gridCol w:w="109"/>
        <w:gridCol w:w="109"/>
        <w:gridCol w:w="109"/>
        <w:gridCol w:w="211"/>
        <w:gridCol w:w="721"/>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are valued at the lower of cost (first-in, first-out) or net realizable value. Inventory costs include the cost of raw materials, packaging supplies, labor, and other overhead costs. The Company maintains reserves against inventory to reduce the carrying value to the expected net realizable value. These reserves are based upon a combination of factors including historical issues and market trends. Inventory reserves were $3.8 million as of April 30, 2026 and $3.7 million as of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4.</w:t>
      </w:r>
      <w:r>
        <w:rPr>
          <w:color w:val="000000"/>
        </w:rPr>
        <w:t> </w:t>
      </w:r>
      <w:r>
        <w:rPr>
          <w:rFonts w:ascii="Times New Roman;serif" w:hAnsi="Times New Roman;serif"/>
          <w:b/>
          <w:color w:val="000000"/>
          <w:sz w:val="20"/>
        </w:rPr>
        <w:t>FAIR VALUE MEASUREMENTS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2: Observable market-based inputs for similar assets or liabilities or valuation models whose inputs are observable, directly or indirectly.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are classified as Level 1 of the fair value hierarchy because they are valued using quoted market prices in active markets. These cash instruments are primarily money market funds and are included in cash and cash equivalents on the unaudited Condensed Consolidated Balance Sheet. We had $46.2 million in cash equivalents as of April 30, 2026, and $35.3 million in cash equivalents as of July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Balances of accounts receivable, short-term investments and accounts payable approximated their fair values as of April 30, 2026, and July 31, 2025, due to the short maturity and nature of those balances.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is reported at outstanding face value, less unamortized debt issuance costs. The estimated fair value of debt, including current maturities, was $40.7 million and $40.3 million as of April 30, 2026, and July 31, 2025, respectively. The fair value was estimated using the exit price notion of fair value and is classified as Level 2. See Note 8 of the Notes to the unaudited Condensed Consolidated Financial Statements for further information about such debt.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INTANGIBLE ASSETS AND 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intangible assets are mainly comprised of customer lists, patents, trademarks, trade names and goodwill.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amortize customer lists on a straight-line basis over a useful life of 18 years and patents on a straight-line basis over periods ranging from 7 to 20 years. Estimated intangible amortization for fiscal year 2026 is $1.2 million. Estimated intangible amortization for each of the next five fiscal years is $1.2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Trademarks and trade names acquired via acquisitions, with a carrying value of $5.6 million, were determined to have an indefinite life and are not amortized.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xml:space="preserve">There have been no triggering events in fiscal years 2026 or 2025 that would indicate a new impairment analysis is needed. </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ACCRUED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are as follows (in thousands):</w:t>
      </w:r>
    </w:p>
    <w:p>
      <w:pPr>
        <w:pStyle w:val="TextBody"/>
        <w:bidi w:val="0"/>
        <w:spacing w:before="0" w:after="0"/>
        <w:jc w:val="left"/>
        <w:rPr/>
      </w:pPr>
      <w:r>
        <w:rPr/>
      </w:r>
    </w:p>
    <w:tbl>
      <w:tblPr>
        <w:tblW w:w="7311" w:type="dxa"/>
        <w:jc w:val="center"/>
        <w:tblInd w:w="0" w:type="dxa"/>
        <w:tblLayout w:type="fixed"/>
        <w:tblCellMar>
          <w:top w:w="28" w:type="dxa"/>
          <w:left w:w="28" w:type="dxa"/>
          <w:bottom w:w="28" w:type="dxa"/>
          <w:right w:w="28" w:type="dxa"/>
        </w:tblCellMar>
      </w:tblPr>
      <w:tblGrid>
        <w:gridCol w:w="1627"/>
        <w:gridCol w:w="1432"/>
        <w:gridCol w:w="1441"/>
        <w:gridCol w:w="109"/>
        <w:gridCol w:w="109"/>
        <w:gridCol w:w="109"/>
        <w:gridCol w:w="211"/>
        <w:gridCol w:w="736"/>
        <w:gridCol w:w="109"/>
        <w:gridCol w:w="109"/>
        <w:gridCol w:w="109"/>
        <w:gridCol w:w="109"/>
        <w:gridCol w:w="211"/>
        <w:gridCol w:w="736"/>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Wages, Commissions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Promotions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Georgia Landfill Modification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44,864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OTHER CONTINGENCIES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various legal actions that arise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fiscal year 2023, we recorded a reserve of $2.5 million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We increased the total estimated cost by $0.6 million and $0.7 million in fiscal years 2024 and 2025, respectively. In fiscal year 2026, we decreased the total estimated cost by $0.2 million resulting in a total $3.6 million expense related to this matter. The modification work is expected to be completed during fiscal year 2026 and, as inherent uncertainties exist in these estimates, we will monitor through the completion of the modification but do not expect that remaining costs in excess of amounts accrued would have a material impact on the Company’s results of operations, financial condition and cash flows.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an Amended and Restated Note Purchase and Private Shelf Agreement (as amended, the "Note Agreement") with PGIM, Inc. ("Prudential") and certain existing noteholders and purchasers affiliated with Prudential named therein. Pursuant to the Note Agreement, (i) on May 15, 2020, we issued $10 million in aggregate principal amount of our 3.95% Series B Senior Notes due May 15, 2030 (the "Series B Senior Notes"), of which $5 million aggregate principal amount remained outstanding as of April 30, 2026, (ii) on December 16, 2021, we issued an additional $25 million in aggregate principal amount of our 3.25% Series C Senior Notes due December 16, 2031 (the "Series C Senior Notes"), all of which remained outstanding as of April 30, 2026, and (iii) on April 30, 2024 we issued $10 million in aggregate principal amount of our 6.47% Series D Senior Notes due April 30, 2033 (the "Series D Senior Notes"), all of which remained outstanding as of April 30, 2026. The Note Agreement also provides us with the ability to request, from time to time until September 21, 2026, that Prudential affiliate(s) purchase, at Prudential’s discretion and on an uncommitted basis, additional senior unsecured notes of Oil-Dri (the “Shelf Notes,” and collectively with the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the Credit Agreement, dated as of January 27, 2006 (as previously amended, the “Credit Agreement”), among us, BMO Harris Bank N.A (“BMO Bank”), and certain of our domestic subsidiaries. The Credit Agreement provides for a $75 million unsecured revolving credit facility, including a maximum of $20 million for letters of credit.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 increase the amount the Company may borrow from BMO Bank from time to time pursuant to its revolving line of credit from up to $45 million to up to $75 million; (ii) increase the aggregate maximum amount of letters of credit from up to $10 million to up to $20 million; (iii) add an accordion provision to allow the Company to increase the revolving line of credit by up to an additional $50 million, subject to the terms and conditions set forth in the Eighth Amendment; (iv) extend the termination date to September 30, 2029; and (v) increase certain restrictive covenant thresholds, including but not limited to, an increase to the permitted acquisitions threshold in the restricted covenants from a cumulative total of $45 million to $100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30, 2026, and July 31, 2025, we were in compliance with the restrictive covenants under the Credit Agreement. There were no new borrowings during the third quarter of fiscal year 2026. As of April 30, 2026, we do not have any outstanding borrowings under the Credit Agreement. We had $3.0 million of letters of credit outstanding under the Credit Agreement as of both April 30, 2026, and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states that we may select a variable interest rate based on either the Bank of Montreal ("BMO") prime rate or an adjusted Secured Overnight Financing ("SOFR")-based rate, plus a margin that varies depending on our debt to earnings ratio, or a fixed rate as agreed between us and BMO. As of April 30, 2026, the variable rates would have been 6.75% for the BMO prime-based rate or 5.06% for the adjusted SOFR-based rate.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material finance leases, and variable costs for operating leases are immaterial for the nine months ended April 30, 2026. Operating lease costs are included in Cost of Goods Sold or SG&amp;A expenses in the unaudited Condensed Consolidated Statements of Operations based on the nature of the lease. The following table summarizes total lease costs for our operating leases (in thousands):</w:t>
      </w:r>
    </w:p>
    <w:p>
      <w:pPr>
        <w:pStyle w:val="TextBody"/>
        <w:bidi w:val="0"/>
        <w:spacing w:before="0" w:after="0"/>
        <w:jc w:val="both"/>
        <w:rPr/>
      </w:pPr>
      <w:r>
        <w:rPr/>
      </w:r>
    </w:p>
    <w:tbl>
      <w:tblPr>
        <w:tblW w:w="9966" w:type="dxa"/>
        <w:jc w:val="center"/>
        <w:tblInd w:w="0" w:type="dxa"/>
        <w:tblLayout w:type="fixed"/>
        <w:tblCellMar>
          <w:top w:w="28" w:type="dxa"/>
          <w:left w:w="28" w:type="dxa"/>
          <w:bottom w:w="28" w:type="dxa"/>
          <w:right w:w="28" w:type="dxa"/>
        </w:tblCellMar>
      </w:tblPr>
      <w:tblGrid>
        <w:gridCol w:w="950"/>
        <w:gridCol w:w="834"/>
        <w:gridCol w:w="840"/>
        <w:gridCol w:w="317"/>
        <w:gridCol w:w="949"/>
        <w:gridCol w:w="163"/>
        <w:gridCol w:w="163"/>
        <w:gridCol w:w="163"/>
        <w:gridCol w:w="163"/>
        <w:gridCol w:w="317"/>
        <w:gridCol w:w="926"/>
        <w:gridCol w:w="163"/>
        <w:gridCol w:w="109"/>
        <w:gridCol w:w="109"/>
        <w:gridCol w:w="109"/>
        <w:gridCol w:w="306"/>
        <w:gridCol w:w="915"/>
        <w:gridCol w:w="158"/>
        <w:gridCol w:w="158"/>
        <w:gridCol w:w="158"/>
        <w:gridCol w:w="158"/>
        <w:gridCol w:w="306"/>
        <w:gridCol w:w="893"/>
        <w:gridCol w:w="158"/>
        <w:gridCol w:w="109"/>
        <w:gridCol w:w="109"/>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cost</w:t>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21"/>
        <w:gridCol w:w="1246"/>
        <w:gridCol w:w="1253"/>
        <w:gridCol w:w="263"/>
        <w:gridCol w:w="789"/>
        <w:gridCol w:w="135"/>
        <w:gridCol w:w="135"/>
        <w:gridCol w:w="135"/>
        <w:gridCol w:w="135"/>
        <w:gridCol w:w="263"/>
        <w:gridCol w:w="770"/>
        <w:gridCol w:w="135"/>
        <w:gridCol w:w="109"/>
        <w:gridCol w:w="109"/>
        <w:gridCol w:w="109"/>
        <w:gridCol w:w="258"/>
        <w:gridCol w:w="772"/>
        <w:gridCol w:w="133"/>
        <w:gridCol w:w="133"/>
        <w:gridCol w:w="133"/>
        <w:gridCol w:w="133"/>
        <w:gridCol w:w="258"/>
        <w:gridCol w:w="753"/>
        <w:gridCol w:w="133"/>
        <w:gridCol w:w="109"/>
        <w:gridCol w:w="109"/>
        <w:gridCol w:w="109"/>
        <w:gridCol w:w="165"/>
      </w:tblGrid>
      <w:tr>
        <w:trPr/>
        <w:tc>
          <w:tcPr>
            <w:tcW w:w="14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20"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1,089</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3,214</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2,433</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tbl>
      <w:tblPr>
        <w:tblW w:w="7719" w:type="dxa"/>
        <w:jc w:val="center"/>
        <w:tblInd w:w="0" w:type="dxa"/>
        <w:tblLayout w:type="fixed"/>
        <w:tblCellMar>
          <w:top w:w="28" w:type="dxa"/>
          <w:left w:w="28" w:type="dxa"/>
          <w:bottom w:w="28" w:type="dxa"/>
          <w:right w:w="28" w:type="dxa"/>
        </w:tblCellMar>
      </w:tblPr>
      <w:tblGrid>
        <w:gridCol w:w="1734"/>
        <w:gridCol w:w="1522"/>
        <w:gridCol w:w="1528"/>
        <w:gridCol w:w="439"/>
        <w:gridCol w:w="439"/>
        <w:gridCol w:w="441"/>
        <w:gridCol w:w="109"/>
        <w:gridCol w:w="109"/>
        <w:gridCol w:w="109"/>
        <w:gridCol w:w="377"/>
        <w:gridCol w:w="377"/>
        <w:gridCol w:w="535"/>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 years</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liability maturities as of April 30, 2026 are as follows (in thousands):</w:t>
      </w:r>
    </w:p>
    <w:tbl>
      <w:tblPr>
        <w:tblW w:w="4750" w:type="dxa"/>
        <w:jc w:val="center"/>
        <w:tblInd w:w="0" w:type="dxa"/>
        <w:tblLayout w:type="fixed"/>
        <w:tblCellMar>
          <w:top w:w="28" w:type="dxa"/>
          <w:left w:w="28" w:type="dxa"/>
          <w:bottom w:w="28" w:type="dxa"/>
          <w:right w:w="28" w:type="dxa"/>
        </w:tblCellMar>
      </w:tblPr>
      <w:tblGrid>
        <w:gridCol w:w="1281"/>
        <w:gridCol w:w="1126"/>
        <w:gridCol w:w="1133"/>
        <w:gridCol w:w="211"/>
        <w:gridCol w:w="736"/>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2026 (remaining three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obligation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OPERATING SEGMENTS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two reportable operating segments: (1) Retail and Wholesale Products Group and (2) Business to Business Products Group. The Retail and Wholesale Products Group is comprised of our Cat Litter and Industrial and Sports Products and the Business to Business Products Group is comprised of our Agricultural and Horticultural, Fluids Purification, and Animal Health &amp; Nutrition Products.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for our principal products by segment are as follows (in thousands):</w:t>
      </w:r>
    </w:p>
    <w:p>
      <w:pPr>
        <w:pStyle w:val="TextBody"/>
        <w:bidi w:val="0"/>
        <w:spacing w:before="0" w:after="0"/>
        <w:jc w:val="left"/>
        <w:rPr/>
      </w:pPr>
      <w:r>
        <w:rPr/>
      </w:r>
    </w:p>
    <w:tbl>
      <w:tblPr>
        <w:tblW w:w="9414" w:type="dxa"/>
        <w:jc w:val="center"/>
        <w:tblInd w:w="0" w:type="dxa"/>
        <w:tblLayout w:type="fixed"/>
        <w:tblCellMar>
          <w:top w:w="28" w:type="dxa"/>
          <w:left w:w="28" w:type="dxa"/>
          <w:bottom w:w="28" w:type="dxa"/>
          <w:right w:w="28" w:type="dxa"/>
        </w:tblCellMar>
      </w:tblPr>
      <w:tblGrid>
        <w:gridCol w:w="920"/>
        <w:gridCol w:w="809"/>
        <w:gridCol w:w="821"/>
        <w:gridCol w:w="256"/>
        <w:gridCol w:w="1020"/>
        <w:gridCol w:w="132"/>
        <w:gridCol w:w="132"/>
        <w:gridCol w:w="132"/>
        <w:gridCol w:w="132"/>
        <w:gridCol w:w="256"/>
        <w:gridCol w:w="1002"/>
        <w:gridCol w:w="132"/>
        <w:gridCol w:w="109"/>
        <w:gridCol w:w="109"/>
        <w:gridCol w:w="109"/>
        <w:gridCol w:w="263"/>
        <w:gridCol w:w="1050"/>
        <w:gridCol w:w="136"/>
        <w:gridCol w:w="136"/>
        <w:gridCol w:w="136"/>
        <w:gridCol w:w="136"/>
        <w:gridCol w:w="263"/>
        <w:gridCol w:w="1031"/>
        <w:gridCol w:w="192"/>
      </w:tblGrid>
      <w:tr>
        <w:trPr/>
        <w:tc>
          <w:tcPr>
            <w:tcW w:w="9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 Litter</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198,895</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190,656 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Sports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35,553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and Horticultural</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36,615</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Fluids Purification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77,180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Animal Health &amp; Nutrition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16,309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130,104</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234,448</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 Litter</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69,219</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Sports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and Horticultural</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Fluids Purification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25,040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Animal Health &amp; Nutrition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43,841</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82,488</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72,823 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President and CEO. The CODM regularly reviews net sales, gross profit, and operating income by segment to assess profitability and assist in the allocation of resources. Net sales and operating income for each segment are provided below, along with the significant segment expense categories that are regularly provided and used by the CODM when assessing segment profitability and the allocation of resources. The significant amounts within the segment operating expenses include cost of goods sold, compensation and benefits, and advertising. Other operating expenses in the table below is comprised of all other SG&amp;A expenses which include but are not limited to travel, research &amp; development, technical service support, and amortization of intangibles. Our CODM reviews the performance of each segment regularly by analyzing financial results in conjunction with our internal financial forecasts.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br/>
        <w:t xml:space="preserve">The corporate expenses line in the table below represents certain unallocated expenses, including primarily salaries, wages and benefits, purchased services, rent, utilities and depreciation and amortization associated with corporate functions such as information systems, finance, legal, human resources and customer service.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886"/>
        <w:gridCol w:w="750"/>
        <w:gridCol w:w="736"/>
        <w:gridCol w:w="109"/>
        <w:gridCol w:w="109"/>
        <w:gridCol w:w="109"/>
        <w:gridCol w:w="513"/>
        <w:gridCol w:w="2010"/>
        <w:gridCol w:w="264"/>
        <w:gridCol w:w="109"/>
        <w:gridCol w:w="109"/>
        <w:gridCol w:w="109"/>
        <w:gridCol w:w="528"/>
        <w:gridCol w:w="2070"/>
        <w:gridCol w:w="272"/>
        <w:gridCol w:w="109"/>
        <w:gridCol w:w="109"/>
        <w:gridCol w:w="109"/>
        <w:gridCol w:w="211"/>
        <w:gridCol w:w="826"/>
        <w:gridCol w:w="158"/>
      </w:tblGrid>
      <w:tr>
        <w:trPr/>
        <w:tc>
          <w:tcPr>
            <w:tcW w:w="88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 2026</w:t>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234,448 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(183,693)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50,770</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50,755</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101,525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&amp; Consultant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38,392</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34,470</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72,862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49,740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51,399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42,551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 2025</w:t>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134,509 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(174,438)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56,837</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51,413</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108,250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&amp; Consultant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44,814</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34,414</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79,228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52,576</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50,710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40,941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8"/>
        <w:gridCol w:w="745"/>
        <w:gridCol w:w="732"/>
        <w:gridCol w:w="109"/>
        <w:gridCol w:w="109"/>
        <w:gridCol w:w="109"/>
        <w:gridCol w:w="566"/>
        <w:gridCol w:w="1937"/>
        <w:gridCol w:w="292"/>
        <w:gridCol w:w="109"/>
        <w:gridCol w:w="109"/>
        <w:gridCol w:w="109"/>
        <w:gridCol w:w="584"/>
        <w:gridCol w:w="1995"/>
        <w:gridCol w:w="301"/>
        <w:gridCol w:w="109"/>
        <w:gridCol w:w="109"/>
        <w:gridCol w:w="109"/>
        <w:gridCol w:w="211"/>
        <w:gridCol w:w="826"/>
        <w:gridCol w:w="157"/>
      </w:tblGrid>
      <w:tr>
        <w:trPr/>
        <w:tc>
          <w:tcPr>
            <w:tcW w:w="87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 2026</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17,147</w:t>
            </w: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16,581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33,728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&amp; Consultant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12,959</w:t>
            </w: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24,258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17,911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14,526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 2025</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17,537</w:t>
            </w: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15,485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33,022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&amp; Consultant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13,382</w:t>
            </w: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9,709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23,091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13,904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11,644</w:t>
            </w:r>
            <w:r>
              <w:rPr>
                <w:color w:val="000000"/>
              </w:rPr>
              <w:t>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w:t>
      </w:r>
    </w:p>
    <w:tbl>
      <w:tblPr>
        <w:tblW w:w="8624" w:type="dxa"/>
        <w:jc w:val="center"/>
        <w:tblInd w:w="0" w:type="dxa"/>
        <w:tblLayout w:type="fixed"/>
        <w:tblCellMar>
          <w:top w:w="28" w:type="dxa"/>
          <w:left w:w="28" w:type="dxa"/>
          <w:bottom w:w="28" w:type="dxa"/>
          <w:right w:w="28" w:type="dxa"/>
        </w:tblCellMar>
      </w:tblPr>
      <w:tblGrid>
        <w:gridCol w:w="1144"/>
        <w:gridCol w:w="1008"/>
        <w:gridCol w:w="1012"/>
        <w:gridCol w:w="109"/>
        <w:gridCol w:w="211"/>
        <w:gridCol w:w="841"/>
        <w:gridCol w:w="109"/>
        <w:gridCol w:w="109"/>
        <w:gridCol w:w="211"/>
        <w:gridCol w:w="826"/>
        <w:gridCol w:w="109"/>
        <w:gridCol w:w="439"/>
        <w:gridCol w:w="439"/>
        <w:gridCol w:w="441"/>
        <w:gridCol w:w="109"/>
        <w:gridCol w:w="109"/>
        <w:gridCol w:w="109"/>
        <w:gridCol w:w="377"/>
        <w:gridCol w:w="377"/>
        <w:gridCol w:w="535"/>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to Business Products Group</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100,249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and Wholesale Products Group</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Assets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408,790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11.</w:t>
      </w:r>
      <w:r>
        <w:rPr>
          <w:color w:val="000000"/>
        </w:rPr>
        <w:t> </w:t>
      </w:r>
      <w:r>
        <w:rPr>
          <w:rFonts w:ascii="Times New Roman;serif" w:hAnsi="Times New Roman;serif"/>
          <w:b/>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3,439,000. As of April 30, 2026, there were 1,074,344 shares of Common Stock or Class B Stock available for future grants under this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our non-vested restricted stock as of April 30, 2026 was issued under the 2006 Plan with vesting periods generally between one and five years. We determined the fair value of restricted shares as of the grant date. We recognize the related compensation expense over the period from the date of grant to the date the shares vest.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73,400 and 135,850 restricted shares of Common Stock granted during the nine months ended April 30, 2026, and 2025, respectively. There were no restricted shares of Class B Stock granted during the nine months ended April 30, 2026, and 2025. Stock-based compensation expense was $1.0 million for the three months ended April 30, 2026, and 2025, and was $3.1 million and $2.9 million for the nine months ended April 30, 2026, and 2025,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transactions is shown below:</w:t>
      </w:r>
    </w:p>
    <w:tbl>
      <w:tblPr>
        <w:tblW w:w="10205" w:type="dxa"/>
        <w:jc w:val="left"/>
        <w:tblInd w:w="0" w:type="dxa"/>
        <w:tblLayout w:type="fixed"/>
        <w:tblCellMar>
          <w:top w:w="28" w:type="dxa"/>
          <w:left w:w="28" w:type="dxa"/>
          <w:bottom w:w="28" w:type="dxa"/>
          <w:right w:w="28" w:type="dxa"/>
        </w:tblCellMar>
      </w:tblPr>
      <w:tblGrid>
        <w:gridCol w:w="1701"/>
        <w:gridCol w:w="1495"/>
        <w:gridCol w:w="1499"/>
        <w:gridCol w:w="519"/>
        <w:gridCol w:w="519"/>
        <w:gridCol w:w="521"/>
        <w:gridCol w:w="109"/>
        <w:gridCol w:w="109"/>
        <w:gridCol w:w="109"/>
        <w:gridCol w:w="778"/>
        <w:gridCol w:w="2273"/>
        <w:gridCol w:w="573"/>
      </w:tblGrid>
      <w:tr>
        <w:trPr/>
        <w:tc>
          <w:tcPr>
            <w:tcW w:w="170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br/>
              <w:t>(per share)</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outstanding at July 31, 2025</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outstanding at April 30, 2026</w:t>
            </w:r>
          </w:p>
        </w:tc>
        <w:tc>
          <w:tcPr>
            <w:tcW w:w="1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ACCUMULATED OTHER COMPREHENSIVE INCOME (LOSS)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accumulated other comprehensive income (loss) by component as of April 30, 2026 (in thousands):</w:t>
      </w:r>
    </w:p>
    <w:tbl>
      <w:tblPr>
        <w:tblW w:w="10205" w:type="dxa"/>
        <w:jc w:val="center"/>
        <w:tblInd w:w="0" w:type="dxa"/>
        <w:tblLayout w:type="fixed"/>
        <w:tblCellMar>
          <w:top w:w="28" w:type="dxa"/>
          <w:left w:w="28" w:type="dxa"/>
          <w:bottom w:w="28" w:type="dxa"/>
          <w:right w:w="28" w:type="dxa"/>
        </w:tblCellMar>
      </w:tblPr>
      <w:tblGrid>
        <w:gridCol w:w="1373"/>
        <w:gridCol w:w="954"/>
        <w:gridCol w:w="883"/>
        <w:gridCol w:w="423"/>
        <w:gridCol w:w="1238"/>
        <w:gridCol w:w="220"/>
        <w:gridCol w:w="109"/>
        <w:gridCol w:w="109"/>
        <w:gridCol w:w="109"/>
        <w:gridCol w:w="475"/>
        <w:gridCol w:w="1086"/>
        <w:gridCol w:w="247"/>
        <w:gridCol w:w="109"/>
        <w:gridCol w:w="109"/>
        <w:gridCol w:w="109"/>
        <w:gridCol w:w="671"/>
        <w:gridCol w:w="1482"/>
        <w:gridCol w:w="499"/>
      </w:tblGrid>
      <w:tr>
        <w:trPr/>
        <w:tc>
          <w:tcPr>
            <w:tcW w:w="137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Postretirement Health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Other Comprehensive Income (Loss)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 net of tax</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net of tax</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 income, net of tax</w:t>
            </w:r>
          </w:p>
        </w:tc>
        <w:tc>
          <w:tcPr>
            <w:tcW w:w="1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30, 2026</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member of our Board is currently the President and Chief Executive Officer of one of our vendors. Total payments to this vendor for fees and cost reimbursements were $0.1 million and $0.5 million for the three months ended April 30, 2026 and April 30, 2025, respectively, and $0.8 million and $1.0 million for the first nine months of fiscal years 2026, and 2025, respectively. There were no outstanding accounts payable due to that vendor as of either April 30, 2026, or July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member of our Board retired from the role of President and Chief Executive Officer of a customer of ours on September 28, 2019, and was party to a post-employment consulting agreement with the customer until September 30, 2025. Total sales to that customer, including sales to its subsidiaries, were $0.1 million for both the three months ended April 30, 2026, and April 30, 2025, and $0.2 million and $0.3 million for the first nine months of fiscal years 2026 and 2025, respectively. There were no outstanding amounts due from that customer as of either April 30, 2026, or July 31,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2.  MANAGEMENT’S DISCUSSION AND ANALYSIS OF</w:t>
      </w:r>
      <w:r>
        <w:rPr>
          <w:color w:val="000000"/>
        </w:rPr>
        <w:t xml:space="preserve"> </w:t>
      </w:r>
      <w:r>
        <w:rPr>
          <w:rFonts w:ascii="Times New Roman;serif" w:hAnsi="Times New Roman;serif"/>
          <w:b/>
          <w:color w:val="000000"/>
          <w:sz w:val="20"/>
        </w:rPr>
        <w:t>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2025. This discussion contains forward-looking statements that involve risks and uncertainties. Our actual results may differ materially from the results discussed in the forward-looking statements. Factors that might cause a difference include, but are not limited to, those discussed herein under "Forward-Looking Statements" and "Risk Factors," and those discussed under Part I, Item 1A, "Risk Factors," of our </w:t>
      </w:r>
      <w:r>
        <w:rPr>
          <w:rFonts w:ascii="Times New Roman;serif" w:hAnsi="Times New Roman;serif"/>
          <w:b w:val="false"/>
          <w:i/>
          <w:color w:val="000000"/>
          <w:sz w:val="20"/>
          <w:shd w:fill="FFFFFF" w:val="clear"/>
        </w:rPr>
        <w:t xml:space="preserve">Annual Report on Form 10-K for the fiscal year ended July 31, 2025.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and the Business to Business Products Group ("Business to Business"), as described in Note 10 of the Notes to the unaudited Condensed Consolidated Financial Statements. Each operating segment is discussed individually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RECENT EVENTS AFFECTING THE COMPANY</w:t>
      </w:r>
    </w:p>
    <w:p>
      <w:pPr>
        <w:pStyle w:val="TextBody"/>
        <w:bidi w:val="0"/>
        <w:spacing w:lineRule="auto" w:line="276" w:before="225" w:after="283"/>
        <w:jc w:val="both"/>
        <w:rPr/>
      </w:pPr>
      <w:r>
        <w:rPr>
          <w:rFonts w:ascii="Times New Roman;serif" w:hAnsi="Times New Roman;serif"/>
          <w:b w:val="false"/>
          <w:color w:val="000000"/>
          <w:sz w:val="20"/>
        </w:rPr>
        <w:t xml:space="preserve">Over a period of several days in January 2026, the southern and eastern United States was impacted by a significant weather event known as "Winter Storm Fern" that resulted in snow, freezing rain, and ice causing widespread damage and power outages (“Weather Event”). During this time, due to safety concerns and interruptions that we experienced to power, natural gas, and water, we temporarily shut down operations of our facilities in the affected regions, which resulted in reduced production. Our supply chain was also impacted, causing significant delays in delivery of materials and services necessary to resume production. </w:t>
      </w:r>
      <w:r>
        <w:rPr>
          <w:rFonts w:ascii="Times New Roman;serif" w:hAnsi="Times New Roman;serif"/>
          <w:b w:val="false"/>
          <w:color w:val="000000"/>
          <w:sz w:val="20"/>
          <w:shd w:fill="FFFFFF" w:val="clear"/>
        </w:rPr>
        <w:t xml:space="preserve">These shutdowns and delays resulted in decreased fixed cost absorption and an increase of backlog in the second quarter of fiscal year 2026. </w:t>
      </w:r>
      <w:r>
        <w:rPr>
          <w:rFonts w:ascii="Times New Roman;serif" w:hAnsi="Times New Roman;serif"/>
          <w:b w:val="false"/>
          <w:color w:val="000000"/>
          <w:sz w:val="20"/>
        </w:rPr>
        <w:t>All operations have since resumed normal activity and the backlog has decreased by $2.2 million at the end of the third quarter when compared to the prior quarter.</w:t>
      </w:r>
      <w:r>
        <w:rPr>
          <w:color w:val="000000"/>
          <w:shd w:fill="FFFFFF" w:val="clear"/>
        </w:rPr>
        <w:t xml:space="preserve"> </w:t>
      </w:r>
      <w:r>
        <w:rPr>
          <w:rFonts w:ascii="Times New Roman;serif" w:hAnsi="Times New Roman;serif"/>
          <w:b w:val="false"/>
          <w:color w:val="000000"/>
          <w:sz w:val="20"/>
          <w:shd w:fill="FFFFFF" w:val="clear"/>
        </w:rPr>
        <w:t xml:space="preserve">We </w:t>
      </w:r>
      <w:r>
        <w:rPr>
          <w:rFonts w:ascii="Times New Roman;serif" w:hAnsi="Times New Roman;serif"/>
          <w:b w:val="false"/>
          <w:color w:val="000000"/>
          <w:sz w:val="20"/>
        </w:rPr>
        <w:t xml:space="preserve">define backlog as purchase orders that we have received from customers and that we have accepted, but that have not shipped by the customers’ requested ship dates.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While ongoing geopolitical tensions and conflict in the Middle East have contributed to broader market volatility, these conditions did not have a direct, material impact on our results for the current quarter. However, continued uncertainty in the region may lead to increased input and transportation costs in future periods. The Company continues to closely monitor developments and assess potential impacts on operations and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NINE MONTHS ENDED APRIL 30, 2026 COMPARED TO</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NINE MONTHS ENDED APRIL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RESULTS</w:t>
      </w:r>
    </w:p>
    <w:tbl>
      <w:tblPr>
        <w:tblW w:w="7194" w:type="dxa"/>
        <w:jc w:val="center"/>
        <w:tblInd w:w="0" w:type="dxa"/>
        <w:tblLayout w:type="fixed"/>
        <w:tblCellMar>
          <w:top w:w="28" w:type="dxa"/>
          <w:left w:w="28" w:type="dxa"/>
          <w:bottom w:w="28" w:type="dxa"/>
          <w:right w:w="28" w:type="dxa"/>
        </w:tblCellMar>
      </w:tblPr>
      <w:tblGrid>
        <w:gridCol w:w="766"/>
        <w:gridCol w:w="673"/>
        <w:gridCol w:w="675"/>
        <w:gridCol w:w="109"/>
        <w:gridCol w:w="109"/>
        <w:gridCol w:w="109"/>
        <w:gridCol w:w="211"/>
        <w:gridCol w:w="826"/>
        <w:gridCol w:w="109"/>
        <w:gridCol w:w="109"/>
        <w:gridCol w:w="109"/>
        <w:gridCol w:w="109"/>
        <w:gridCol w:w="211"/>
        <w:gridCol w:w="826"/>
        <w:gridCol w:w="109"/>
        <w:gridCol w:w="109"/>
        <w:gridCol w:w="109"/>
        <w:gridCol w:w="109"/>
        <w:gridCol w:w="211"/>
        <w:gridCol w:w="691"/>
        <w:gridCol w:w="109"/>
        <w:gridCol w:w="233"/>
        <w:gridCol w:w="233"/>
        <w:gridCol w:w="330"/>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Business to Business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Retail &amp; Wholesale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net sales for the nine months ended April 30, 2026 were $364.6 million, representing a 1% increase compared to net sales of $360.4 million for the nine months ended April 30, 2025. The increase was driven primarily by higher volumes of cat litter and agricultural and horticultural products, when compared to the same period in fiscal year 2025. Further details of the drivers are discussed below in the segment analysis.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in the nine months ended April 30, 2026 was $101.5 million, a decrease of $6.7 million, or 6%, from gross profit of $108.3 million in the nine months ended April 30, 2025. Gross margin (defined as gross profit as a percentage of net sales) in the nine months ended April 30, 2026 decreased to 27.8% from 30.0% in the nine months ended April 30, 2025, driven primarily by higher per ton costs. For the nine months ended April 30, 2026, the overall domestic per ton cost of goods sold increased 4% compared to the same period of fiscal year 2025. The increase was primarily driven by higher per ton manufacturing costs which increased 8% when compared to nine months ended April 30, 2025. Labor was the largest contributor to this increase, along with higher costs for repairs, depreciation, purchased materials, and natural gas. These increases were slightly offset by a 3% decrease in per ton transportation costs, and 1% decrease in per ton packaging costs for the nine months ended April 30, 2026, when compared to the nine months ended April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SG&amp;A expenses of $51.8 million for the nine months ended April 30, 2026 were $3.9 million, or 7%, lower compared to $55.7 million for the nine months ended April 30, 2025. The decrease was driven by a $3.5 million reduction in corporate unallocated expenses, primarily as a result of a lower incentive bonus accrual and lower corporate human resource costs. The additional $0.4 million decrease in SG&amp;A expenses at the operating segments level is discussed below.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Total other income, net was $1.7 million for the nine months ended April 30, 2026, roughly a $3.5 million gain compared to total other expenses, net of $1.9 million in the same period of fiscal year 2025. This gain was driven by a number of items including, $0.9 million due to a reduction in the estimated landfill modification costs recognized in fiscal year 2026 compared to an increase in the estimated cost recognized during the nine months ended April 30, 2025 and $0.8 million due to foreign exchange gains. The gain was also in part driven by the positive outcome of a confidential legal settlement in the matter of Oil-Dri Corporation of America vs. Entera Animal Health, et 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 expense was $8.8 million for the nine months ended April 30, 2026 compared to $9.8 million for the nine months ended April 30, 2025, mainly due to the impact of discrete items. We used an effective tax rate of 17% for the nine months ended April 30, 2026 compared to a 19% effective tax rate in the same period of fiscal year 2025. We adjust our effective tax rate based on expected annual taxable income and our assessment of various tax adjustments, including depletion and discrete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Balance Sheet as of April 30, 2026 and our unaudited Condensed Consolidated Statement of Cash Flows for the nine months ended April 30, 2026 show a $12.5 million increase in total cash and cash equivalents from fiscal year-end 2025. The increase was driven primarily by positive cash flow from operations, partially offset by investing and financing activities. Refer to the "Liquidity and Capital Resources" section below for more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BUSINESS TO BUSINESS PRODUCTS GROUP</w:t>
      </w:r>
    </w:p>
    <w:p>
      <w:pPr>
        <w:pStyle w:val="TextBody"/>
        <w:bidi w:val="0"/>
        <w:spacing w:before="0" w:after="0"/>
        <w:jc w:val="left"/>
        <w:rPr/>
      </w:pPr>
      <w:r>
        <w:rPr/>
      </w:r>
    </w:p>
    <w:tbl>
      <w:tblPr>
        <w:tblW w:w="8885" w:type="dxa"/>
        <w:jc w:val="center"/>
        <w:tblInd w:w="0" w:type="dxa"/>
        <w:tblLayout w:type="fixed"/>
        <w:tblCellMar>
          <w:top w:w="28" w:type="dxa"/>
          <w:left w:w="28" w:type="dxa"/>
          <w:bottom w:w="28" w:type="dxa"/>
          <w:right w:w="28" w:type="dxa"/>
        </w:tblCellMar>
      </w:tblPr>
      <w:tblGrid>
        <w:gridCol w:w="1160"/>
        <w:gridCol w:w="1022"/>
        <w:gridCol w:w="1027"/>
        <w:gridCol w:w="109"/>
        <w:gridCol w:w="109"/>
        <w:gridCol w:w="109"/>
        <w:gridCol w:w="211"/>
        <w:gridCol w:w="841"/>
        <w:gridCol w:w="109"/>
        <w:gridCol w:w="109"/>
        <w:gridCol w:w="109"/>
        <w:gridCol w:w="109"/>
        <w:gridCol w:w="211"/>
        <w:gridCol w:w="826"/>
        <w:gridCol w:w="109"/>
        <w:gridCol w:w="109"/>
        <w:gridCol w:w="109"/>
        <w:gridCol w:w="109"/>
        <w:gridCol w:w="211"/>
        <w:gridCol w:w="691"/>
        <w:gridCol w:w="109"/>
        <w:gridCol w:w="109"/>
        <w:gridCol w:w="109"/>
        <w:gridCol w:w="109"/>
        <w:gridCol w:w="218"/>
        <w:gridCol w:w="218"/>
        <w:gridCol w:w="614"/>
      </w:tblGrid>
      <w:tr>
        <w:trPr/>
        <w:tc>
          <w:tcPr>
            <w:tcW w:w="1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and Horticultural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Fluids Purification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Animal Health &amp; Nutrition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(79,334)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of the Business to Business Products Group for the nine months ended April 30, 2026 decreased $4.4 million, or 3%, compared to the nine months ended April 30, 2025, driven primarily by a reduction in sales of our fluids purification and animal health products, partially offset by an increase in sales of our agricultural and horticultural products. Net sales of our fluids purification products for the nine months ended April 30, 2026 decreased $5.2 million, or 6%, compared to the nine months ended April 30, 2025. This decrease was due to lower volumes, primarily of our products used in renewable diesel filtration, which were significantly higher in fiscal year 2025 when several new customers began operations in new plants. Net sales of our animal health &amp; nutrition products for the nine months ended April 30, 2026 decreased $3.4 million, or 17%, compared to the nine months ended April 30, 2025, due to lower volume primarily driven by a temporary loss of a key customer at one of our distributors. Net sales of our agricultural and horticultural products for the nine months ended April 30, 2026 increased $4.2 million, or 13%, compared to the nine months ended April 30, 2025, due to a combination of favorable mix and higher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decreased 11% in the nine months ended April 30, 2026 compared to the nine months ended April 30, 2025. This decrease was mainly due to lower sales resulting in unfavorable fixed cost absorption and higher per ton manufacturing costs. For the nine months ended April 30, 2026, the overall Business to Business domestic per ton cost of goods sold increased 5% compared to the same period of fiscal year 2025. The increase was primarily driven by higher per ton manufacturing costs, including materials, which increased 9% when compared to nine months ended April 30, 2025. Per ton transportation and packaging costs remained flat for the nine months ended April 30, 2026, when compared to the nine months ended April 30, 2025. SG&amp;A expenses increased by $0.4 million, or 3%, for the nine months ended April 30, 2026 compared to the nine months ended April 30, 2025, primarily driven by higher compensation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AND WHOLESALE PRODUCTS GROUP</w:t>
      </w:r>
    </w:p>
    <w:p>
      <w:pPr>
        <w:pStyle w:val="TextBody"/>
        <w:bidi w:val="0"/>
        <w:spacing w:before="0" w:after="0"/>
        <w:jc w:val="left"/>
        <w:rPr/>
      </w:pPr>
      <w:r>
        <w:rPr/>
      </w:r>
    </w:p>
    <w:tbl>
      <w:tblPr>
        <w:tblW w:w="9111" w:type="dxa"/>
        <w:jc w:val="center"/>
        <w:tblInd w:w="0" w:type="dxa"/>
        <w:tblLayout w:type="fixed"/>
        <w:tblCellMar>
          <w:top w:w="28" w:type="dxa"/>
          <w:left w:w="28" w:type="dxa"/>
          <w:bottom w:w="28" w:type="dxa"/>
          <w:right w:w="28" w:type="dxa"/>
        </w:tblCellMar>
      </w:tblPr>
      <w:tblGrid>
        <w:gridCol w:w="1198"/>
        <w:gridCol w:w="1055"/>
        <w:gridCol w:w="1061"/>
        <w:gridCol w:w="109"/>
        <w:gridCol w:w="109"/>
        <w:gridCol w:w="109"/>
        <w:gridCol w:w="211"/>
        <w:gridCol w:w="901"/>
        <w:gridCol w:w="109"/>
        <w:gridCol w:w="109"/>
        <w:gridCol w:w="109"/>
        <w:gridCol w:w="109"/>
        <w:gridCol w:w="211"/>
        <w:gridCol w:w="901"/>
        <w:gridCol w:w="109"/>
        <w:gridCol w:w="109"/>
        <w:gridCol w:w="109"/>
        <w:gridCol w:w="109"/>
        <w:gridCol w:w="211"/>
        <w:gridCol w:w="691"/>
        <w:gridCol w:w="109"/>
        <w:gridCol w:w="109"/>
        <w:gridCol w:w="109"/>
        <w:gridCol w:w="109"/>
        <w:gridCol w:w="211"/>
        <w:gridCol w:w="211"/>
        <w:gridCol w:w="614"/>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 Litter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198,895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Sports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(183,693)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(174,438)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of the Retail and Wholesale Products Group for the nine months ended April 30, 2026 increased $8.6 million, or 4%, compared to the nine months ended April 30, 2025, mainly due to an increase in cat litter sales. Net sales of co-packaged cat litter products increased 43% in the nine months ended April 30, 2026, compared to the nine months ended April 30, 2025. This increase was driven primarily by higher volumes as we expanded our co-packaged offerings to include lightweight cat litter. Domestic cat litter net sales, excluding co-packaged cat litter, were $170.2 million for the nine months ended April 30, 2026, an increase of $1.9 million, or 1%, when compared to the nine months ended April 30, 2025, mainly driven by higher volumes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crystal cat litter products. Net sales of our domestic industrial and sports products were $33.8 million for the nine months ended April 30, 2026, an increase of $0.6 million, or 2%, when compared to the nine months ended April 30, 2025, mainly driven by higher prices to offset elevated costs including higher transportation costs. Net sales by our subsidiary in Canada, which include both our cat litter and industrial products, increased $0.2 million, or 2%, for the nine months ended April 30, 2026, when compared to the nine months ended April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decreased 1% in the nine months ended April 30, 2026, compared to the nine months ended April 30, 2025. This decrease was mainly due to higher per ton manufacturing costs. For the nine months ended April 30, 2026, the overall Retail and Wholesale domestic per ton cost of goods sold increased 4% compared to the same period of fiscal year 2025. The increase was primarily driven by higher per ton manufacturing costs, including materials, which increased 8% when compared to nine months ended April 30, 2025. This increase was partially offset by a 5% reduction in per ton transportation and 2% reduction in per ton packaging costs. SG&amp;A expenses decreased $0.7 million, or 4%, during the nine months ended April 30, 2026, compared to the nine months ended April 30, 2025, primarily due to timing of advertising spend.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operations include our subsidiaries in Canada and the Netherlands, which are reported in the Retail and Wholesale Products Group, and our subsidiaries in the United Kingdom ("UK"), Mexico, China and Indonesia, which are reported in the Business to Business Products Group. Net sales by our foreign subsidiaries for the nine months ended April 30, 2026 were $14.6 million, a decrease of $0.3 million compared to net sales of $14.9 million in the same period ended April 30, 2025, driven primarily by a decrease in sales volume in Mexico. Net sales by our foreign subsidiaries represented 4% of our consolidated net sales for both the nine months ended April 30, 2026, and April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foreign subsidiaries reported net income of $0.3 million for the nine months ended April 30, 2026, compared to net loss of $0.1 million in the nine months ended April 30, 2025. The increase in net income was primarily driven by the preliminary foreign VAT assessment recognized in fiscal year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Identifiable assets of our foreign subsidiaries as of April 30, 2026 were $10.3 million, compared to $9.0 million as of July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THREE MONTHS ENDED APRIL 30, 2026 COMPARED TO</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THREE MONTHS ENDED APRIL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RESULTS</w:t>
      </w:r>
    </w:p>
    <w:tbl>
      <w:tblPr>
        <w:tblW w:w="7224" w:type="dxa"/>
        <w:jc w:val="center"/>
        <w:tblInd w:w="0" w:type="dxa"/>
        <w:tblLayout w:type="fixed"/>
        <w:tblCellMar>
          <w:top w:w="28" w:type="dxa"/>
          <w:left w:w="28" w:type="dxa"/>
          <w:bottom w:w="28" w:type="dxa"/>
          <w:right w:w="28" w:type="dxa"/>
        </w:tblCellMar>
      </w:tblPr>
      <w:tblGrid>
        <w:gridCol w:w="766"/>
        <w:gridCol w:w="673"/>
        <w:gridCol w:w="675"/>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233"/>
        <w:gridCol w:w="233"/>
        <w:gridCol w:w="330"/>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Business to Business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Retail &amp; Wholesale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net sales for the third quarter of fiscal year 2026 were $126.3 million, a 9% increase compared to net sales of $115.5 million for the third quarter of fiscal year 2025, primarily driven by higher volume of cat litter within our Retail and Wholesale operating segment.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gross profit for the third quarter of fiscal year 2026 was $33.7 million, an increase of 2% when compared to $33.0 million for the third quarter of fiscal year 2025, mainly due to higher net sales. Our gross margin (defined as gross profit as a percentage of net sales) decreased to 26.7% from 28.6% in the third quarter of fiscal year 2026 compared to the third quarter of fiscal year 2025. This decrease was mainly driven by higher per ton costs of goods sold. Domestic per ton cost of goods sold increased 6%, due to a 9% increase in per ton manufacturing costs when compared to the same period in fiscal year 2025. The largest driver of this increase was purchased materials, along with higher repair, natural gas and labor costs. There was also a 3% increase in per ton packaging, and 1% higher transportation costs. These increases were also partially driven by additional costs incurred during recovery from the Weather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SG&amp;A expenses of $16.6 million for the third quarter of fiscal year 2026 decreased by $2.5 million, or 13%, compared to $19.1 million for the same period of fiscal year 2025. This decrease was primarily due to unallocated corporate expenses which decreased $2.0 million, or 22%, compared to the same period in fiscal year 2025, primarily as a result of a lower corporate bonus accrual. SG&amp;A expenses at the operating segments level also decreased and are discussed below in the discussion of our segments'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net other income was $0.8 million for the third quarter of fiscal year 2026, compared to $0.3 million for the third quarter of fiscal year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 expense was $3.4 million for the third quarter of fiscal year 2026 compared to $2.6 million for the third quarter of fiscal year 2025, mainly due to higher pre-tax income. We used an effective tax rate of 19% in the third quarter of fiscal year 2026, compared to an 18% effective tax rate in the third quarter of fiscal year 2025. We adjust our effective tax rate quarterly based on expected annual taxable income and our assessment of various tax adjustments, including depletion and discrete items.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BUSINESS TO BUSINESS PRODUCTS GROUP</w:t>
      </w:r>
    </w:p>
    <w:tbl>
      <w:tblPr>
        <w:tblW w:w="8796" w:type="dxa"/>
        <w:jc w:val="center"/>
        <w:tblInd w:w="0" w:type="dxa"/>
        <w:tblLayout w:type="fixed"/>
        <w:tblCellMar>
          <w:top w:w="28" w:type="dxa"/>
          <w:left w:w="28" w:type="dxa"/>
          <w:bottom w:w="28" w:type="dxa"/>
          <w:right w:w="28" w:type="dxa"/>
        </w:tblCellMar>
      </w:tblPr>
      <w:tblGrid>
        <w:gridCol w:w="1160"/>
        <w:gridCol w:w="1022"/>
        <w:gridCol w:w="1027"/>
        <w:gridCol w:w="109"/>
        <w:gridCol w:w="109"/>
        <w:gridCol w:w="109"/>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11"/>
        <w:gridCol w:w="211"/>
        <w:gridCol w:w="614"/>
      </w:tblGrid>
      <w:tr>
        <w:trPr/>
        <w:tc>
          <w:tcPr>
            <w:tcW w:w="1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and Horticultural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Fluids Purification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Animal Health &amp; Nutrition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(26,694)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(4,188)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of the Business to Business Products Group increased $1.2 million, or 3%, in the third quarter of fiscal year 2026, compared to the same period in 2025, driven primarily by agricultural and horticultural and animal health sales, offset partially by a slight decrease in fluids purification sales. Net sales of our agricultural and horticultural products in the third quarter of fiscal year 2026 increased $0.8 million, or 7%, compared to the third quarter of fiscal year 2025, due to higher volume from increased demand by new and existing customers. Net sales of our animal health and nutrition products in the third quarter of fiscal year 2026 increased $0.6 million, or 10%, compared to the third quarter of fiscal year 2025, driven by higher volumes due to increased demand, including new end-users and partial recovery of sales from a previously lost customer at one of our distributors. Net sales of our fluids purification products in the third quarter decreased $0.2 million, or 1%, compared to the third quarter of fiscal year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Business to Business Products Group decreased 2% in the third quarter of fiscal year 2026, compared to the same period in 2025, mainly driven by higher manufacturing costs. Domestic per ton manufacturing costs for Business to Business products increased 8%. This was partially offset by lower per ton packaging cost, which decreased 4%. Per ton freight cost in the third quarter remained flat compared to the same period in fiscal 2025. Total SG&amp;A expenses for the Business to Business Products Group in the third quarter of fiscal year 2026 remained flat compared to the same period of fiscal year 2025.</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AND WHOLESALE PRODUCTS GROUP</w:t>
      </w:r>
    </w:p>
    <w:p>
      <w:pPr>
        <w:pStyle w:val="TextBody"/>
        <w:bidi w:val="0"/>
        <w:spacing w:before="0" w:after="0"/>
        <w:jc w:val="both"/>
        <w:rPr/>
      </w:pPr>
      <w:r>
        <w:rPr/>
      </w:r>
    </w:p>
    <w:tbl>
      <w:tblPr>
        <w:tblW w:w="8901" w:type="dxa"/>
        <w:jc w:val="center"/>
        <w:tblInd w:w="0" w:type="dxa"/>
        <w:tblLayout w:type="fixed"/>
        <w:tblCellMar>
          <w:top w:w="28" w:type="dxa"/>
          <w:left w:w="28" w:type="dxa"/>
          <w:bottom w:w="28" w:type="dxa"/>
          <w:right w:w="28" w:type="dxa"/>
        </w:tblCellMar>
      </w:tblPr>
      <w:tblGrid>
        <w:gridCol w:w="1198"/>
        <w:gridCol w:w="1055"/>
        <w:gridCol w:w="1061"/>
        <w:gridCol w:w="109"/>
        <w:gridCol w:w="109"/>
        <w:gridCol w:w="109"/>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11"/>
        <w:gridCol w:w="211"/>
        <w:gridCol w:w="614"/>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April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 Litter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Sports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(65,907)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(5,282)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of the Retail and Wholesale Products Group increased $9.7 million, or 13%, in the third quarter of fiscal year 2026, compared to the same period in 2025, primarily due to cat litter sales. Domestic cat litter net sales, excluding sales of co-packaged cat litter, were $57.9 million for the third quarter of fiscal year 2026, an increase of $5.2 million when compared to the third quarter of fiscal year 2025. This was primarily driven by higher volume, including sales shifted into the third quarter due to delays caused by the Weather Event. Net sales of co-packaged cat litter products increased 94% compared to the third quarter of fiscal year 2025, due to higher volumes as we expanded our co-packaged offerings to include lightweight cat litter. Net sales of our domestic industrial and sports products in the third quarter of fiscal year 2026 were $12.7 million, an increase of $0.3 million, or 3%, when compared to the third quarter of fiscal year 2025, mainly driven by the higher pricing to offset elevated costs including higher transportation costs. Net sales by our subsidiary in Canada, which include both our cat litter and industrial products, in the third quarter of fiscal year 2026, increased $0.1 million, or 2%, compared to the same period in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increased 7% in the third quarter of fiscal year 2026, compared to the same period in 2025. This increase is primarily due to higher net sales which offset the impact of higher per ton cost of goods sold. Domestic per-ton manufacturing costs, including materials, increased by 9%. Per ton transportation and packaging costs increased 4% and 2%, respectively. SG&amp;A expenses for the Retail and Wholesale Products Group decreased by $0.5 million, or 9%, during the third quarter of fiscal year 2026, compared to the same period in fiscal year 2025, primarily due to timing of advertising spend.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FOREIGN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Foreign operations include our subsidiaries in Canada and the Netherlands, which are reported in the Retail and Wholesale Products Group, and our subsidiaries in the UK, Mexico, China and Indonesia, which are reported in the Business to Business Products Group. Net sales by our foreign subsidiaries during the third quarter of fiscal year 2026 were $4.7 million, a decrease of $0.1 million compared to net sales of $4.8 million during the same period of fiscal year 2025. This decrease was driven primarily by a $0.2 million decrease in net sales in Mexico, partially offset by a $0.1 million increase in net sales in Canada. Net sales by our foreign subsidiaries represented 4% of our consolidated net sales during the third quarter of both fiscal years 2026 and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foreign subsidiaries reported net income of $0.1 million for the third quarter of fiscal year 2026 as compared to $0.2 million in the third quarter of fiscal year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the nine months ended April 30, 2026, we principally funded these short and long-term capital requirements using cash from current operations as well as cash generated from previous borrowings under our Credit Agreement and Series B, C and D Senior Notes issued under the Note Agreement. See Note 8 of the Notes to the unaudited Condensed Consolidated Financial Statements in this Quarterly Report on Form 10-Q for further information relating to our existing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cash flow from operations, availability under our Note Agreement and revolving credit facility under our Credit Agreement, current cash balances and our ability to obtain other financing, if necessary, will provide sufficient liquidity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foreseeable working capital needs, capital expenditures at existing facilities, deferred compensation payouts, dividend payments and debt service obligations for the foreseeable future.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totaled $62.9 million and $36.5 million as of April 30, 2026, and 2025, respectively. The following table sets forth certain elements of our unaudited Condensed Consolidated Statements of Cash Flows (in thousands):</w:t>
      </w:r>
    </w:p>
    <w:tbl>
      <w:tblPr>
        <w:tblW w:w="8335" w:type="dxa"/>
        <w:jc w:val="center"/>
        <w:tblInd w:w="0" w:type="dxa"/>
        <w:tblLayout w:type="fixed"/>
        <w:tblCellMar>
          <w:top w:w="28" w:type="dxa"/>
          <w:left w:w="28" w:type="dxa"/>
          <w:bottom w:w="28" w:type="dxa"/>
          <w:right w:w="28" w:type="dxa"/>
        </w:tblCellMar>
      </w:tblPr>
      <w:tblGrid>
        <w:gridCol w:w="1840"/>
        <w:gridCol w:w="1620"/>
        <w:gridCol w:w="1624"/>
        <w:gridCol w:w="278"/>
        <w:gridCol w:w="970"/>
        <w:gridCol w:w="143"/>
        <w:gridCol w:w="143"/>
        <w:gridCol w:w="143"/>
        <w:gridCol w:w="143"/>
        <w:gridCol w:w="278"/>
        <w:gridCol w:w="950"/>
        <w:gridCol w:w="203"/>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April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53,208</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(20,163)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12,483</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net income, as adjusted for depreciation and amortization and other non-cash operating activities, the primary sources and uses of operating cash flows for the nine months ended April 30, 2026, were as follows: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allowances increased by $6.2 million in the nine months ended April 30, 2026. The increase in accounts receivable was driven primarily by net sales and timing of collections.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increased by $0.8 million in the nine months ended April 30, 2026, mainly due to the building of finished goods inventory and purchases of other additives to meet anticipated demand.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Excluding the impact of payments related to capital expenditures, accounts payable decreased by $0.6 million in the nine months ended April 30, 2026. The decrease was mainly due to the timing of payments, cost of goods and services we purchase, production volume levels and vendor payment terms. In the nine months ended April 30, 2026, there was a $2.3 million decrease in accounts payable related to capital expenditures recognized as cash used in investing activities as compared to the nine months ended April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Excluding the impact of payments made related to capital expenditures, accrued expenses decreased $5.5 million in the nine months ended April 30, 2026. The decrease was mainly due to the payout of annual bonuses and other miscellaneous expenses which fluctuate due to timing of payments, changes in the cost of goods and services we purchase, production volume levels, and vendor payment terms, including freight. In the nine months ended April 30, 2026, there was a $1.0 million decrease in accrued expenses related to capital expenditures recognized as cash used in investing activities as compared to the nine months ended April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totaled $20.6 million in the nine months ended April 30, 2026, primarily driven by capital expenditures. During this period, we continued to invest in expanding our plant equipment and enhance our facilities to improve manufacturing efficiency and support customer demand.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of $20.2 million in the nine months ended April 30, 2026 included $12.5 million for stock repurchases and $7.6 million for dividend payments.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cash balances held by our foreign subsidiaries were $7.1 million as of April 30, 2026, compared to $4.7 million as of July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30, 2026, we had remaining authority to repurchase 172,261 shares of Common Stock and 208,197 shares of Class B Stock under a repurchase plan approved by our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our exposure to market risk from that discussed in our Annual Report on Form 10-K for the fiscal year ended July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under the Exchange Act) that occurred during the fiscal quarter ended April 30, 2026 that have materially affected, or are reasonably likely to materially affect, our internal control over financial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Items 1, 3, and 5 of this Part II are either inapplicable or are answered in the negative and are omitted pursuant to the instructions to Part II of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operations and financial results are subject to various risks and uncertainties, including those described in Part I, Item 1A, "Risk Factors," of our Annual Report on Form 10-K for the fiscal year ended July 31, 2025. There have been no material changes to our risk factors since our Annual Report on Form 10-K for the fiscal year ended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April 30, 2026, we did not sell any equity securities which were not registered under the Securities Act of 1933, as amended. The following table summarizes our Common Stock purchases by or on behalf of the Company or any affiliated purchaser (as defined in Rule 10b-18(a)(3) under the Exchange Act) during this period. </w:t>
      </w:r>
    </w:p>
    <w:tbl>
      <w:tblPr>
        <w:tblW w:w="10205" w:type="dxa"/>
        <w:jc w:val="center"/>
        <w:tblInd w:w="0" w:type="dxa"/>
        <w:tblLayout w:type="fixed"/>
        <w:tblCellMar>
          <w:top w:w="28" w:type="dxa"/>
          <w:left w:w="28" w:type="dxa"/>
          <w:bottom w:w="28" w:type="dxa"/>
          <w:right w:w="28" w:type="dxa"/>
        </w:tblCellMar>
      </w:tblPr>
      <w:tblGrid>
        <w:gridCol w:w="485"/>
        <w:gridCol w:w="426"/>
        <w:gridCol w:w="430"/>
        <w:gridCol w:w="121"/>
        <w:gridCol w:w="121"/>
        <w:gridCol w:w="121"/>
        <w:gridCol w:w="499"/>
        <w:gridCol w:w="499"/>
        <w:gridCol w:w="500"/>
        <w:gridCol w:w="121"/>
        <w:gridCol w:w="121"/>
        <w:gridCol w:w="121"/>
        <w:gridCol w:w="400"/>
        <w:gridCol w:w="400"/>
        <w:gridCol w:w="401"/>
        <w:gridCol w:w="121"/>
        <w:gridCol w:w="121"/>
        <w:gridCol w:w="121"/>
        <w:gridCol w:w="785"/>
        <w:gridCol w:w="785"/>
        <w:gridCol w:w="787"/>
        <w:gridCol w:w="121"/>
        <w:gridCol w:w="121"/>
        <w:gridCol w:w="121"/>
        <w:gridCol w:w="687"/>
        <w:gridCol w:w="687"/>
        <w:gridCol w:w="982"/>
      </w:tblGrid>
      <w:tr>
        <w:trPr/>
        <w:tc>
          <w:tcPr>
            <w:tcW w:w="4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ISSUER PURCHASES OF EQUITY SECURITIES</w:t>
            </w:r>
            <w:r>
              <w:rPr>
                <w:rFonts w:ascii="Times New Roman;serif" w:hAnsi="Times New Roman;serif"/>
                <w:b/>
                <w:color w:val="000000"/>
                <w:sz w:val="13"/>
              </w:rPr>
              <w:t>1, 2</w:t>
            </w:r>
          </w:p>
        </w:tc>
      </w:tr>
      <w:tr>
        <w:trPr/>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w:t>
            </w:r>
          </w:p>
        </w:tc>
      </w:tr>
      <w:tr>
        <w:trPr/>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3</w:t>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of Shares that may yet be Purchased Under Plans or Programs</w:t>
            </w:r>
            <w:r>
              <w:rPr>
                <w:rFonts w:ascii="Times New Roman;serif" w:hAnsi="Times New Roman;serif"/>
                <w:b/>
                <w:color w:val="000000"/>
                <w:sz w:val="13"/>
              </w:rPr>
              <w:t>4</w:t>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r>
      <w:tr>
        <w:trPr/>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1,809</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$67.84</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172,933</w:t>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172,933</w:t>
            </w:r>
          </w:p>
        </w:tc>
      </w:tr>
      <w:tr>
        <w:trPr/>
        <w:tc>
          <w:tcPr>
            <w:tcW w:w="13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April 1, 2026 to </w:t>
              <w:br/>
              <w:t>April 30, 2026</w:t>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672</w:t>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$74.38</w:t>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172,261</w:t>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8864" w:type="dxa"/>
            <w:gridSpan w:val="24"/>
            <w:tcBorders/>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The table summarizes repurchases of (and remaining authority to repurchase) shares of our Common Stock and Class B Stock. No shares of our Class A Common Stock are currently outstanding. Descriptions of our Common Stock, Class B Stock and Class A Common Stock are contained in Exhibit 4.1 of our Annual Report on Form 10-K for the fiscal year ended July 31,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shd w:fill="FFFFFF" w:val="clear"/>
        </w:rPr>
        <w:t xml:space="preserve">2 </w:t>
      </w:r>
      <w:r>
        <w:rPr>
          <w:rFonts w:ascii="Times New Roman;serif" w:hAnsi="Times New Roman;serif"/>
          <w:b w:val="false"/>
          <w:color w:val="000000"/>
          <w:sz w:val="20"/>
          <w:shd w:fill="FFFFFF" w:val="clear"/>
        </w:rPr>
        <w:t>The figures in the table reflect transactions according to the settlement dates. For the purposes of our unaudited Condensed Consolidated F</w:t>
      </w:r>
      <w:r>
        <w:rPr>
          <w:rFonts w:ascii="Times New Roman;serif" w:hAnsi="Times New Roman;serif"/>
          <w:b w:val="false"/>
          <w:color w:val="000000"/>
          <w:sz w:val="20"/>
        </w:rPr>
        <w:t>inancial Statements included in this report, the impact of repurchases are recorded according to the settlement dates.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Includes 1,809 shares and 672 shares of Common Stock which were surrendered by employees to pay taxes related to restricted stock awards during the periods of February 1, 2026 to February 28, 2026 and April 1, 2026 to April 30, 2026,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 xml:space="preserve">Our Board authorized the repurchase of 750,000 shares of Common Stock on March 11, 2019. This authorization, which was announced on March 11, 2019,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number and manner of share repurchases will be determined by management.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are included in Exhibit 95 to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9"/>
        <w:gridCol w:w="246"/>
        <w:gridCol w:w="248"/>
        <w:gridCol w:w="109"/>
        <w:gridCol w:w="109"/>
        <w:gridCol w:w="109"/>
        <w:gridCol w:w="1682"/>
        <w:gridCol w:w="1617"/>
        <w:gridCol w:w="1633"/>
        <w:gridCol w:w="109"/>
        <w:gridCol w:w="109"/>
        <w:gridCol w:w="109"/>
        <w:gridCol w:w="1223"/>
        <w:gridCol w:w="1083"/>
        <w:gridCol w:w="1540"/>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Document Reference</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Second Amendment, effective April 3, 2026, to the Oil-Dri Corporation of America 2005 Deferred Compensation Plan (as amended and restated effective January 1, 2008).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Oil-Dri Corporation of America’s Current Report on Form 8-K filed on April 3, 2026</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Form of Oil-Dri Corporation of America 2006 Long Term Incentive Plan Employee Restricted Stock Agreement for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Oil-Dri Corporation of America’s Current Report on Form 8-K filed on April 3, 2026</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80"/>
                  <w:sz w:val="20"/>
                  <w:u w:val="single"/>
                </w:rPr>
                <w:t>F</w:t>
              </w:r>
            </w:hyperlink>
            <w:hyperlink r:id="rId5">
              <w:r>
                <w:rPr>
                  <w:rStyle w:val="InternetLink"/>
                  <w:rFonts w:ascii="Times New Roman;serif" w:hAnsi="Times New Roman;serif"/>
                  <w:b w:val="false"/>
                  <w:color w:val="000080"/>
                  <w:sz w:val="20"/>
                  <w:u w:val="single"/>
                </w:rPr>
                <w:t>orm of Oil-Dri Corporation of America 2006 Long Term Incentive Plan Employee Restricted Stock Agreement for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by reference to Exhibit 10.3 to Oil-Dri Corporation of America’s Current Report on Form 8-K filed on April 3, 2026</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Form of Oil-Dri Corporation of America 2006 Long Term Incentive Plan Employee Restricted Stock Agreement for Class B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by reference to Exhibit 10.4 to Oil-Dri Corporation of America’s Current Report on Form 8-K filed on April 3, 2026</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Form of Oil-Dri Corporation of America 2006 Long Term Incentive Plan Director Restricted Stock Agreement for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by reference to Exhibit 10.5 to Oil-Dri Corporation of America’s Current Report on Form 8-K filed on April 3, 2026</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3104302026.htm">
              <w:r>
                <w:rPr>
                  <w:rStyle w:val="InternetLink"/>
                  <w:rFonts w:ascii="Times New Roman;serif" w:hAnsi="Times New Roman;serif"/>
                  <w:b w:val="false"/>
                  <w:color w:val="0000FF"/>
                  <w:sz w:val="20"/>
                  <w:u w:val="single"/>
                </w:rPr>
                <w:t>Certifications pursuant to Rule 13a–14(a) or Rule 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3204302026.htm">
              <w:r>
                <w:rPr>
                  <w:rStyle w:val="InternetLink"/>
                  <w:rFonts w:ascii="Times New Roman;serif" w:hAnsi="Times New Roman;serif"/>
                  <w:b w:val="false"/>
                  <w:color w:val="0000FF"/>
                  <w:sz w:val="20"/>
                  <w:u w:val="single"/>
                </w:rPr>
                <w:t>Certifications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ex9504302026.htm">
              <w:r>
                <w:rPr>
                  <w:rStyle w:val="InternetLink"/>
                  <w:rFonts w:ascii="Times New Roman;serif" w:hAnsi="Times New Roman;serif"/>
                  <w:b w:val="false"/>
                  <w:color w:val="0000FF"/>
                  <w:sz w:val="20"/>
                  <w:u w:val="single"/>
                </w:rPr>
                <w:t>Mine Safety Disclosures</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OIL-DRI CORPORATION OF AMERICA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Daniel S. Jaffee                          </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Daniel S. Jaffee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Susan M. Kreh                         </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Susan M. Kreh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Dated:  June 8,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Exhibit 31: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CERTIFICATIONS PURSUANT TO RULE 13A-14(A)/15D-14(A) UNDER THE SECURITIES EXCHANGE ACT OF 1934, AS AMENDED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before="180" w:after="283"/>
        <w:jc w:val="center"/>
        <w:rPr/>
      </w:pPr>
      <w:r>
        <w:rPr/>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Daniel S. Jaffee,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 have reviewed this quarterly report on Form 10-Q of Oil-Dri Corporation of America (the “registrant”);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65"/>
        <w:jc w:val="both"/>
        <w:rPr>
          <w:rFonts w:ascii="Times New Roman;serif" w:hAnsi="Times New Roman;serif"/>
          <w:b w:val="false"/>
          <w:color w:val="000000"/>
          <w:sz w:val="20"/>
        </w:rPr>
      </w:pPr>
      <w:r>
        <w:rPr>
          <w:rFonts w:ascii="Times New Roman;serif" w:hAnsi="Times New Roman;serif"/>
          <w:b w:val="false"/>
          <w:color w:val="000000"/>
          <w:sz w:val="20"/>
        </w:rPr>
        <w:t>i.Designed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521"/>
        <w:jc w:val="both"/>
        <w:rPr>
          <w:rFonts w:ascii="Times New Roman;serif" w:hAnsi="Times New Roman;serif"/>
          <w:b w:val="false"/>
          <w:color w:val="000000"/>
          <w:sz w:val="20"/>
        </w:rPr>
      </w:pPr>
      <w:r>
        <w:rPr>
          <w:rFonts w:ascii="Times New Roman;serif" w:hAnsi="Times New Roman;serif"/>
          <w:b w:val="false"/>
          <w:color w:val="000000"/>
          <w:sz w:val="20"/>
        </w:rPr>
        <w:t>ii.Designed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iii.Evaluated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565"/>
        <w:jc w:val="both"/>
        <w:rPr>
          <w:rFonts w:ascii="Times New Roman;serif" w:hAnsi="Times New Roman;serif"/>
          <w:b w:val="false"/>
          <w:color w:val="000000"/>
          <w:sz w:val="20"/>
        </w:rPr>
      </w:pPr>
      <w:r>
        <w:rPr>
          <w:rFonts w:ascii="Times New Roman;serif" w:hAnsi="Times New Roman;serif"/>
          <w:b w:val="false"/>
          <w:color w:val="000000"/>
          <w:sz w:val="20"/>
        </w:rPr>
        <w:t>iv.Disclosed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65"/>
        <w:jc w:val="both"/>
        <w:rPr>
          <w:rFonts w:ascii="Times New Roman;serif" w:hAnsi="Times New Roman;serif"/>
          <w:b w:val="false"/>
          <w:color w:val="000000"/>
          <w:sz w:val="20"/>
        </w:rPr>
      </w:pPr>
      <w:r>
        <w:rPr>
          <w:rFonts w:ascii="Times New Roman;serif" w:hAnsi="Times New Roman;serif"/>
          <w:b w:val="false"/>
          <w:color w:val="000000"/>
          <w:sz w:val="20"/>
        </w:rPr>
        <w:t>i.All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521"/>
        <w:jc w:val="both"/>
        <w:rPr>
          <w:rFonts w:ascii="Times New Roman;serif" w:hAnsi="Times New Roman;serif"/>
          <w:b w:val="false"/>
          <w:color w:val="000000"/>
          <w:sz w:val="20"/>
        </w:rPr>
      </w:pPr>
      <w:r>
        <w:rPr>
          <w:rFonts w:ascii="Times New Roman;serif" w:hAnsi="Times New Roman;serif"/>
          <w:b w:val="false"/>
          <w:color w:val="000000"/>
          <w:sz w:val="20"/>
        </w:rPr>
        <w:t>ii.Any fraud, whether or not material, that involves management or other employees who have a significant role in the registrant’s internal control over financial reporting.</w:t>
      </w:r>
    </w:p>
    <w:tbl>
      <w:tblPr>
        <w:tblW w:w="4649" w:type="dxa"/>
        <w:jc w:val="left"/>
        <w:tblInd w:w="0" w:type="dxa"/>
        <w:tblLayout w:type="fixed"/>
        <w:tblCellMar>
          <w:top w:w="28" w:type="dxa"/>
          <w:left w:w="28" w:type="dxa"/>
          <w:bottom w:w="28" w:type="dxa"/>
          <w:right w:w="28" w:type="dxa"/>
        </w:tblCellMar>
      </w:tblPr>
      <w:tblGrid>
        <w:gridCol w:w="200"/>
        <w:gridCol w:w="177"/>
        <w:gridCol w:w="178"/>
        <w:gridCol w:w="1199"/>
        <w:gridCol w:w="1199"/>
        <w:gridCol w:w="16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June 8, 2026</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S. Jaffee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Daniel S. Jaffee </w:t>
              <w:br/>
              <w:t>Chairman, 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31 (continued):</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a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before="180" w:after="283"/>
        <w:jc w:val="center"/>
        <w:rPr/>
      </w:pPr>
      <w:r>
        <w:rPr/>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Susan M. Kreh,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Oil-Dri Corporation of America (the “registrant”);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564" w:type="dxa"/>
        <w:jc w:val="left"/>
        <w:tblInd w:w="0" w:type="dxa"/>
        <w:tblLayout w:type="fixed"/>
        <w:tblCellMar>
          <w:top w:w="28" w:type="dxa"/>
          <w:left w:w="28" w:type="dxa"/>
          <w:bottom w:w="28" w:type="dxa"/>
          <w:right w:w="28" w:type="dxa"/>
        </w:tblCellMar>
      </w:tblPr>
      <w:tblGrid>
        <w:gridCol w:w="200"/>
        <w:gridCol w:w="177"/>
        <w:gridCol w:w="178"/>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June 8, 2026</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Susan M. Kreh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Susan M. Kreh</w:t>
              <w:b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18"/>
        </w:rPr>
        <w:t>Exhibit 32:</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CERTIFICATIONS PURSUANT TO 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SARBANES-OXLEY ACT OF 2002 CERTIFICATION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April 30, 2026 (the “Report”) fully complies with the requirements of Section 13(a) or 15(d), as applicable, of the Securities Exchange Act of 1934 and that the information contained in the Report fairly presents, in all material respects, the financial condition and results of operation of the Company. </w:t>
      </w:r>
    </w:p>
    <w:tbl>
      <w:tblPr>
        <w:tblW w:w="4604" w:type="dxa"/>
        <w:jc w:val="left"/>
        <w:tblInd w:w="0" w:type="dxa"/>
        <w:tblLayout w:type="fixed"/>
        <w:tblCellMar>
          <w:top w:w="28" w:type="dxa"/>
          <w:left w:w="28" w:type="dxa"/>
          <w:bottom w:w="28" w:type="dxa"/>
          <w:right w:w="28" w:type="dxa"/>
        </w:tblCellMar>
      </w:tblPr>
      <w:tblGrid>
        <w:gridCol w:w="594"/>
        <w:gridCol w:w="524"/>
        <w:gridCol w:w="529"/>
        <w:gridCol w:w="866"/>
        <w:gridCol w:w="866"/>
        <w:gridCol w:w="1225"/>
      </w:tblGrid>
      <w:tr>
        <w:trPr/>
        <w:tc>
          <w:tcPr>
            <w:tcW w:w="5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Dated:</w:t>
            </w:r>
          </w:p>
        </w:tc>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June 8, 2026</w:t>
            </w:r>
          </w:p>
        </w:tc>
      </w:tr>
      <w:tr>
        <w:trPr/>
        <w:tc>
          <w:tcPr>
            <w:tcW w:w="460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 Jaffee</w:t>
            </w:r>
          </w:p>
        </w:tc>
      </w:tr>
      <w:tr>
        <w:trPr/>
        <w:tc>
          <w:tcPr>
            <w:tcW w:w="46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Daniel S. Jaffee </w:t>
              <w:br/>
              <w:t>Title: Chairman, President and Chief Executive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Section 906 of the Sarbanes-Oxley Act of 2002 (Section 1350, Chapter 63 of Title 18, United States Code) and is not being filed as part of the Report or as a separate disclosure document.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April 30, 2026 (the “Report”) fully complies with the requirements of Section 13(a) or 15(d), as applicable, of the Securities Exchange Act of 1934 and that the information contained in the Report fairly presents, in all material respects, the financial condition and results of operation of the Company. </w:t>
      </w:r>
    </w:p>
    <w:tbl>
      <w:tblPr>
        <w:tblW w:w="2563" w:type="dxa"/>
        <w:jc w:val="left"/>
        <w:tblInd w:w="0" w:type="dxa"/>
        <w:tblLayout w:type="fixed"/>
        <w:tblCellMar>
          <w:top w:w="28" w:type="dxa"/>
          <w:left w:w="28" w:type="dxa"/>
          <w:bottom w:w="28" w:type="dxa"/>
          <w:right w:w="28" w:type="dxa"/>
        </w:tblCellMar>
      </w:tblPr>
      <w:tblGrid>
        <w:gridCol w:w="331"/>
        <w:gridCol w:w="292"/>
        <w:gridCol w:w="294"/>
        <w:gridCol w:w="482"/>
        <w:gridCol w:w="482"/>
        <w:gridCol w:w="682"/>
      </w:tblGrid>
      <w:tr>
        <w:trPr/>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Dated:</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June 8, 2026</w:t>
            </w:r>
          </w:p>
        </w:tc>
      </w:tr>
      <w:tr>
        <w:trPr/>
        <w:tc>
          <w:tcPr>
            <w:tcW w:w="256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Susan M. Kreh</w:t>
            </w:r>
          </w:p>
        </w:tc>
      </w:tr>
      <w:tr>
        <w:trPr/>
        <w:tc>
          <w:tcPr>
            <w:tcW w:w="25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Susan M. Kreh</w:t>
              <w:br/>
              <w:t xml:space="preserve">Title: Chief Financial Officer </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Section 906 of the Sarbanes-Oxley Act of 2002 (Section 1350, Chapter 63 of Title 18, United States Code) and is not being filed as part of the Report or as a separate disclosure document.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95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MINE SAFETY DISCLOSURES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2026.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104 Significant and Substantial Violations: Total number of violations of mandatory health or safety standards that could significantly and substantially contribute to the cause and effect of a coal or other mine safety or health hazard.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107(a) Imminent Danger Orders: Total number of orders issued when an imminent danger is identified which requires all persons to be withdrawn from area(s) in the mine until the imminent danger and the conditions that caused it cease to exist.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Dollar Value of Proposed MSHA Assessments: Each issuance of a citation or order by MSHA results in the assessment of a monetary penalty. The total dollar value presented includes any contested penalties.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tbl>
      <w:tblPr>
        <w:tblW w:w="10205" w:type="dxa"/>
        <w:jc w:val="center"/>
        <w:tblInd w:w="0" w:type="dxa"/>
        <w:tblLayout w:type="fixed"/>
        <w:tblCellMar>
          <w:top w:w="28" w:type="dxa"/>
          <w:left w:w="28" w:type="dxa"/>
          <w:bottom w:w="28" w:type="dxa"/>
          <w:right w:w="28" w:type="dxa"/>
        </w:tblCellMar>
      </w:tblPr>
      <w:tblGrid>
        <w:gridCol w:w="271"/>
        <w:gridCol w:w="238"/>
        <w:gridCol w:w="242"/>
        <w:gridCol w:w="388"/>
        <w:gridCol w:w="376"/>
        <w:gridCol w:w="262"/>
        <w:gridCol w:w="358"/>
        <w:gridCol w:w="358"/>
        <w:gridCol w:w="359"/>
        <w:gridCol w:w="214"/>
        <w:gridCol w:w="214"/>
        <w:gridCol w:w="215"/>
        <w:gridCol w:w="249"/>
        <w:gridCol w:w="249"/>
        <w:gridCol w:w="250"/>
        <w:gridCol w:w="303"/>
        <w:gridCol w:w="303"/>
        <w:gridCol w:w="304"/>
        <w:gridCol w:w="244"/>
        <w:gridCol w:w="244"/>
        <w:gridCol w:w="246"/>
        <w:gridCol w:w="364"/>
        <w:gridCol w:w="364"/>
        <w:gridCol w:w="365"/>
        <w:gridCol w:w="254"/>
        <w:gridCol w:w="254"/>
        <w:gridCol w:w="255"/>
        <w:gridCol w:w="274"/>
        <w:gridCol w:w="274"/>
        <w:gridCol w:w="276"/>
        <w:gridCol w:w="242"/>
        <w:gridCol w:w="242"/>
        <w:gridCol w:w="244"/>
        <w:gridCol w:w="261"/>
        <w:gridCol w:w="261"/>
        <w:gridCol w:w="388"/>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Legal Actions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ID</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Location</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 “Significant and Substantial” Violations</w:t>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104(b)</w:t>
              <w:br/>
              <w:t xml:space="preserve">Orders </w:t>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104(d)</w:t>
              <w:br/>
              <w:t xml:space="preserve">Citations and Orders </w:t>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110(b)(2) Flagrant Violations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107(a) Imminent Danger Orders</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Total Dollar Value of Proposed MSHA Assessments </w:t>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Mining Related Fatalities</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Pending as of Last Day of Period</w:t>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Initiated During Period</w:t>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Resolved During Period</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0900114</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Ochlocknee, Georgia</w:t>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2200035</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Ripley, Mississippi</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3,743</w:t>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1102403</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Mounds, Illinois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2200582</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Blue Mountain, Mississippi</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650</w:t>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0402964</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Taft, California</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769</w:t>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w:t>
      </w:r>
    </w:p>
    <w:p>
      <w:pPr>
        <w:pStyle w:val="TextBody"/>
        <w:bidi w:val="0"/>
        <w:spacing w:before="0" w:after="0"/>
        <w:jc w:val="both"/>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Legal actions pending before the Commission may involve, among other questions, challenges by operators to citations, orders and penalties they have received from MSHA or complaints of discrimination by miners under section 105 of the Mine Act. The following is a brief description of the types of legal actions that may be brought before the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Contests of Citations and Orders: A contest proceeding may be filed with the Commission by operators, miners or miners’ representatives to challenge the issuance of a citation or order issued by MSHA.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Applications for Temporary Relief: An application for temporary relief from any modification or termination of any order or from any order issued under section 104 of the Mine Act.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Appeals of Judges’ Decisions or Orders to the Commission: A filing with the Commission of a petition for discretionary review of a Judge’s decision or order by a person who has been adversely affected or aggrieved by such decision or order.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38"/>
        <w:gridCol w:w="242"/>
        <w:gridCol w:w="424"/>
        <w:gridCol w:w="424"/>
        <w:gridCol w:w="359"/>
        <w:gridCol w:w="360"/>
        <w:gridCol w:w="360"/>
        <w:gridCol w:w="361"/>
        <w:gridCol w:w="362"/>
        <w:gridCol w:w="362"/>
        <w:gridCol w:w="363"/>
        <w:gridCol w:w="448"/>
        <w:gridCol w:w="448"/>
        <w:gridCol w:w="449"/>
        <w:gridCol w:w="551"/>
        <w:gridCol w:w="551"/>
        <w:gridCol w:w="553"/>
        <w:gridCol w:w="443"/>
        <w:gridCol w:w="443"/>
        <w:gridCol w:w="444"/>
        <w:gridCol w:w="507"/>
        <w:gridCol w:w="507"/>
        <w:gridCol w:w="735"/>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ID</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location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Contests of Citations and Orders</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Contests of Proposed Penalties</w:t>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Complaints for Compensation</w:t>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Complaints of Discharge, Discrimination or Interference</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Applications for Temporary Relief</w:t>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Appeals of Judges Decisions or Orders to the Commission</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0900114</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Ochlocknee, Georgia</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2200035</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Ripley, Mississippi</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1102403</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Mounds, Illinois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2200582</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Blue Mountain, Mississippi</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0402964</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Taft, California</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046/000162828026023675/secondamendmenttothedeferr.htm" TargetMode="External"/><Relationship Id="rId3" Type="http://schemas.openxmlformats.org/officeDocument/2006/relationships/hyperlink" Target="https://www.sec.gov/Archives/edgar/data/74046/000162828026023675/restrictedstockawardagreem.htm" TargetMode="External"/><Relationship Id="rId4" Type="http://schemas.openxmlformats.org/officeDocument/2006/relationships/hyperlink" Target="https://www.sec.gov/Archives/edgar/data/74046/000162828026023675/restrictedstockawardagreemc.htm" TargetMode="External"/><Relationship Id="rId5" Type="http://schemas.openxmlformats.org/officeDocument/2006/relationships/hyperlink" Target="https://www.sec.gov/Archives/edgar/data/74046/000162828026023675/restrictedstockawardagreemc.htm" TargetMode="External"/><Relationship Id="rId6" Type="http://schemas.openxmlformats.org/officeDocument/2006/relationships/hyperlink" Target="https://www.sec.gov/Archives/edgar/data/74046/000162828026023675/restrictedstockawardagreema.htm" TargetMode="External"/><Relationship Id="rId7" Type="http://schemas.openxmlformats.org/officeDocument/2006/relationships/hyperlink" Target="https://www.sec.gov/Archives/edgar/data/74046/000162828026023675/restrictedstockawardagreemb.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18741</Words>
  <Characters>101197</Characters>
  <CharactersWithSpaces>118616</CharactersWithSpaces>
  <Paragraphs>2729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