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Quarterly Period Ended April 30, 2015</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April 30, 2015.</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5,001,797 Shares and Class B Stock – 2,064,994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EFFE7"/>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EFFE7"/>
          </w:tcPr>
          <w:p>
            <w:pPr>
              <w:ind w:left="28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1500" w:type="dxa"/>
            <w:vAlign w:val="bottom"/>
            <w:shd w:val="clear" w:color="auto" w:fill="CEFFE7"/>
          </w:tcPr>
          <w:p>
            <w:pPr>
              <w:spacing w:after="0"/>
              <w:rPr>
                <w:sz w:val="21"/>
                <w:szCs w:val="21"/>
                <w:color w:val="auto"/>
              </w:rPr>
            </w:pPr>
          </w:p>
        </w:tc>
        <w:tc>
          <w:tcPr>
            <w:tcW w:w="280" w:type="dxa"/>
            <w:vAlign w:val="bottom"/>
            <w:gridSpan w:val="5"/>
            <w:shd w:val="clear" w:color="auto" w:fill="CEFFE7"/>
          </w:tcPr>
          <w:p>
            <w:pPr>
              <w:jc w:val="center"/>
              <w:ind w:left="10"/>
              <w:spacing w:after="0" w:line="202" w:lineRule="exact"/>
              <w:rPr>
                <w:rFonts w:ascii="Arial" w:cs="Arial" w:eastAsia="Arial" w:hAnsi="Arial"/>
                <w:sz w:val="18"/>
                <w:szCs w:val="18"/>
                <w:color w:val="0000EE"/>
                <w:w w:val="89"/>
                <w:shd w:val="clear" w:color="auto" w:fill="CEFFE7"/>
              </w:rPr>
            </w:pPr>
            <w:hyperlink w:anchor="page29">
              <w:r>
                <w:rPr>
                  <w:rFonts w:ascii="Arial" w:cs="Arial" w:eastAsia="Arial" w:hAnsi="Arial"/>
                  <w:sz w:val="18"/>
                  <w:szCs w:val="18"/>
                  <w:color w:val="0000EE"/>
                  <w:w w:val="89"/>
                  <w:shd w:val="clear" w:color="auto" w:fill="CEFFE7"/>
                </w:rPr>
                <w:t>29</w:t>
              </w:r>
            </w:hyperlink>
          </w:p>
        </w:tc>
        <w:tc>
          <w:tcPr>
            <w:tcW w:w="2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r>
      <w:tr>
        <w:trPr>
          <w:trHeight w:val="297"/>
        </w:trPr>
        <w:tc>
          <w:tcPr>
            <w:tcW w:w="880" w:type="dxa"/>
            <w:vAlign w:val="bottom"/>
            <w:tcBorders>
              <w:top w:val="single" w:sz="8" w:color="CEFFE7"/>
            </w:tcBorders>
          </w:tcPr>
          <w:p>
            <w:pPr>
              <w:spacing w:after="0"/>
              <w:rPr>
                <w:sz w:val="24"/>
                <w:szCs w:val="24"/>
                <w:color w:val="auto"/>
              </w:rPr>
            </w:pPr>
          </w:p>
        </w:tc>
        <w:tc>
          <w:tcPr>
            <w:tcW w:w="8280" w:type="dxa"/>
            <w:vAlign w:val="bottom"/>
            <w:tcBorders>
              <w:top w:val="single" w:sz="8" w:color="CEFFE7"/>
            </w:tcBorders>
          </w:tcPr>
          <w:p>
            <w:pPr>
              <w:spacing w:after="0"/>
              <w:rPr>
                <w:sz w:val="24"/>
                <w:szCs w:val="24"/>
                <w:color w:val="auto"/>
              </w:rPr>
            </w:pPr>
          </w:p>
        </w:tc>
        <w:tc>
          <w:tcPr>
            <w:tcW w:w="150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EFFE7"/>
            </w:tcBorders>
          </w:tcPr>
          <w:p>
            <w:pPr>
              <w:spacing w:after="0"/>
              <w:rPr>
                <w:sz w:val="24"/>
                <w:szCs w:val="24"/>
                <w:color w:val="auto"/>
              </w:rPr>
            </w:pPr>
          </w:p>
        </w:tc>
        <w:tc>
          <w:tcPr>
            <w:tcW w:w="80" w:type="dxa"/>
            <w:vAlign w:val="bottom"/>
            <w:tcBorders>
              <w:top w:val="single" w:sz="8" w:color="CEFFE7"/>
            </w:tcBorders>
          </w:tcPr>
          <w:p>
            <w:pPr>
              <w:spacing w:after="0"/>
              <w:rPr>
                <w:sz w:val="24"/>
                <w:szCs w:val="24"/>
                <w:color w:val="auto"/>
              </w:rPr>
            </w:pPr>
          </w:p>
        </w:tc>
        <w:tc>
          <w:tcPr>
            <w:tcW w:w="260" w:type="dxa"/>
            <w:vAlign w:val="bottom"/>
            <w:tcBorders>
              <w:top w:val="single" w:sz="8" w:color="CEFFE7"/>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2014.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Cat’s Pride, Fresh &amp; Light and Oil-Dri are registered trademarks of Oil-Dri Corporation of America. Fresh &amp; Light Ultimate Care is a trademark of Oil-Dri Corporation of America.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Accounts receivable, less allowance of $744 and $707</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31,965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at April 30, 2015 and July 31, 2014,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78,491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83,516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209,006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(128,459)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80,547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$316 and $420 at April 30, 2015 and July 31, 2014,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$432 and $522 at April 30, 2015 and July 31 2014,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$1,285 and $1,145 at April 30, 2015 and July 31, 2014,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$1,762 and $764 at April 30, 2015 and July 31, 2014,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4,011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26,388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185,426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w w:val="92"/>
              </w:rPr>
              <w:t>Current Liabilities</w:t>
            </w:r>
          </w:p>
        </w:tc>
        <w:tc>
          <w:tcPr>
            <w:tcW w:w="7320" w:type="dxa"/>
            <w:vAlign w:val="bottom"/>
            <w:gridSpan w:val="3"/>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73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3,483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2,313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28,729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7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52,396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78,056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81,896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87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Common Stock, par value $.10 per share, issued 7,934,093 shares at April 30, 2015</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7,917,393 shares at July 31, 2014</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Class B Stock, par value $.10 per share, issued 2,389,735 shares at April 30, 2015</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2,394,735 shares at July 31, 2014</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33,518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33,130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138,405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136,039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0" w:type="dxa"/>
            <w:vAlign w:val="bottom"/>
            <w:tcBorders>
              <w:bottom w:val="single" w:sz="8" w:color="BFE4FF"/>
            </w:tcBorders>
          </w:tcPr>
          <w:p>
            <w:pPr>
              <w:spacing w:after="0"/>
              <w:rPr>
                <w:sz w:val="2"/>
                <w:szCs w:val="2"/>
                <w:color w:val="auto"/>
              </w:rPr>
            </w:pPr>
          </w:p>
        </w:tc>
        <w:tc>
          <w:tcPr>
            <w:tcW w:w="1440" w:type="dxa"/>
            <w:vAlign w:val="bottom"/>
            <w:tcBorders>
              <w:bottom w:val="single" w:sz="8" w:color="BFE4FF"/>
            </w:tcBorders>
          </w:tcPr>
          <w:p>
            <w:pPr>
              <w:spacing w:after="0"/>
              <w:rPr>
                <w:sz w:val="2"/>
                <w:szCs w:val="2"/>
                <w:color w:val="auto"/>
              </w:rPr>
            </w:pPr>
          </w:p>
        </w:tc>
        <w:tc>
          <w:tcPr>
            <w:tcW w:w="18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706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BFE4FF"/>
            </w:tcBorders>
            <w:shd w:val="clear" w:color="auto" w:fill="BFE4FF"/>
          </w:tcPr>
          <w:p>
            <w:pPr>
              <w:spacing w:after="0"/>
              <w:rPr>
                <w:sz w:val="22"/>
                <w:szCs w:val="22"/>
                <w:color w:val="auto"/>
              </w:rPr>
            </w:pPr>
          </w:p>
        </w:tc>
        <w:tc>
          <w:tcPr>
            <w:tcW w:w="8760" w:type="dxa"/>
            <w:vAlign w:val="bottom"/>
            <w:tcBorders>
              <w:bottom w:val="single" w:sz="8" w:color="BFE4FF"/>
            </w:tcBorders>
            <w:gridSpan w:val="4"/>
            <w:shd w:val="clear" w:color="auto" w:fill="BFE4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(2,932,296 Common and 324,741 Class B shares at</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(55,970)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160"/>
              <w:spacing w:after="0"/>
              <w:rPr>
                <w:sz w:val="20"/>
                <w:szCs w:val="20"/>
                <w:color w:val="auto"/>
              </w:rPr>
            </w:pPr>
            <w:r>
              <w:rPr>
                <w:rFonts w:ascii="Arial" w:cs="Arial" w:eastAsia="Arial" w:hAnsi="Arial"/>
                <w:sz w:val="18"/>
                <w:szCs w:val="18"/>
                <w:color w:val="auto"/>
              </w:rPr>
              <w:t>April 30, 2015 and 2,915,651 Common and 324,741 Class B shares at July 31, 2014)</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107,370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185,426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2"/>
              </w:rPr>
              <w:t>For the Nine Months Ended April</w:t>
            </w:r>
          </w:p>
        </w:tc>
      </w:tr>
      <w:tr>
        <w:trPr>
          <w:trHeight w:val="234"/>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30,</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195,883</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200,268</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(152,448)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(152,991)</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43,435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47,277</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(34,085)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(36,211)</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11,066</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8,653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10,286</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6,302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132,750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Cash dividends declared and treasury stock issuances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(3,936)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(3,739)</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138,405</w:t>
            </w: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136,901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0.96</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0.88</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4,974</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7,034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6,998</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0.6000</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0.5700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0.4500</w:t>
            </w: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0.4275</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2"/>
              </w:rPr>
              <w:t>For the Nine Months Ended April</w:t>
            </w:r>
          </w:p>
        </w:tc>
      </w:tr>
      <w:tr>
        <w:trPr>
          <w:trHeight w:val="234"/>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30,</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6,302</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7,890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(loss) gain on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6,173</w:t>
            </w: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28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30,</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65,196</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67,417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(50,763)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(53,533)</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14,433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13,884</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(12,894)</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9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w:t>
            </w:r>
          </w:p>
        </w:tc>
      </w:tr>
      <w:tr>
        <w:trPr>
          <w:trHeight w:val="284"/>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0.21</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4,987</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2,004</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7,013</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0.2000</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0.1900</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0.1500</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0.1425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28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5"/>
              </w:rPr>
              <w:t>30,</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(unaudited)</w:t>
            </w:r>
          </w:p>
        </w:tc>
        <w:tc>
          <w:tcPr>
            <w:tcW w:w="12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6"/>
              </w:rPr>
              <w:t>For the Nine Months Ended April 30,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5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17"/>
                <w:szCs w:val="17"/>
                <w:color w:val="auto"/>
              </w:rPr>
            </w:pPr>
          </w:p>
        </w:tc>
        <w:tc>
          <w:tcPr>
            <w:tcW w:w="1520" w:type="dxa"/>
            <w:vAlign w:val="bottom"/>
          </w:tcPr>
          <w:p>
            <w:pPr>
              <w:jc w:val="right"/>
              <w:ind w:right="63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630"/>
              <w:spacing w:after="0" w:line="196" w:lineRule="exact"/>
              <w:rPr>
                <w:sz w:val="20"/>
                <w:szCs w:val="20"/>
                <w:color w:val="auto"/>
              </w:rPr>
            </w:pPr>
            <w:r>
              <w:rPr>
                <w:rFonts w:ascii="Arial" w:cs="Arial" w:eastAsia="Arial" w:hAnsi="Arial"/>
                <w:sz w:val="18"/>
                <w:szCs w:val="18"/>
                <w:b w:val="1"/>
                <w:bCs w:val="1"/>
                <w:color w:val="auto"/>
              </w:rPr>
              <w:t>2014</w:t>
            </w: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7500" w:type="dxa"/>
            <w:vAlign w:val="bottom"/>
            <w:gridSpan w:val="4"/>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6,302</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7,890</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8,955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7,607</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Amortization of investment net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Non-cash stock compensation expense</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866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873</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Excess tax benefits for share-based payments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776</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Provision for bad debts and cash discounts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Loss on the sale of fixed assets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Gain on sale of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Life insurance benefits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(Increase) Decrease in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(1,183)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1,655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Increase (Decrease) in liabilities: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348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37"/>
        </w:trPr>
        <w:tc>
          <w:tcPr>
            <w:tcW w:w="20" w:type="dxa"/>
            <w:vAlign w:val="bottom"/>
          </w:tcPr>
          <w:p>
            <w:pPr>
              <w:spacing w:after="0"/>
              <w:rPr>
                <w:sz w:val="20"/>
                <w:szCs w:val="20"/>
                <w:color w:val="auto"/>
              </w:rPr>
            </w:pPr>
          </w:p>
        </w:tc>
        <w:tc>
          <w:tcPr>
            <w:tcW w:w="7500" w:type="dxa"/>
            <w:vAlign w:val="bottom"/>
            <w:gridSpan w:val="4"/>
          </w:tcPr>
          <w:p>
            <w:pPr>
              <w:ind w:left="800"/>
              <w:spacing w:after="0"/>
              <w:rPr>
                <w:sz w:val="20"/>
                <w:szCs w:val="20"/>
                <w:color w:val="auto"/>
              </w:rPr>
            </w:pPr>
            <w:r>
              <w:rPr>
                <w:rFonts w:ascii="Arial" w:cs="Arial" w:eastAsia="Arial" w:hAnsi="Arial"/>
                <w:sz w:val="18"/>
                <w:szCs w:val="18"/>
                <w:b w:val="1"/>
                <w:bCs w:val="1"/>
                <w:color w:val="auto"/>
              </w:rPr>
              <w:t>Total Adjustments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9,966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2,820</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16,268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10,710</w:t>
            </w: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r>
      <w:tr>
        <w:trPr>
          <w:trHeight w:val="250"/>
        </w:trPr>
        <w:tc>
          <w:tcPr>
            <w:tcW w:w="20" w:type="dxa"/>
            <w:vAlign w:val="bottom"/>
            <w:shd w:val="clear" w:color="auto" w:fill="CCEEFF"/>
          </w:tcPr>
          <w:p>
            <w:pPr>
              <w:spacing w:after="0"/>
              <w:rPr>
                <w:sz w:val="21"/>
                <w:szCs w:val="21"/>
                <w:color w:val="auto"/>
              </w:rPr>
            </w:pPr>
          </w:p>
        </w:tc>
        <w:tc>
          <w:tcPr>
            <w:tcW w:w="75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9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Capital expenditures</w:t>
            </w:r>
          </w:p>
        </w:tc>
        <w:tc>
          <w:tcPr>
            <w:tcW w:w="3540" w:type="dxa"/>
            <w:vAlign w:val="bottom"/>
            <w:tcBorders>
              <w:top w:val="single" w:sz="8" w:color="CCEEFF"/>
            </w:tcBorders>
            <w:gridSpan w:val="3"/>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(13,945)</w:t>
            </w:r>
          </w:p>
        </w:tc>
        <w:tc>
          <w:tcPr>
            <w:tcW w:w="10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(13,291)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Acquisition of business</w:t>
            </w:r>
          </w:p>
        </w:tc>
        <w:tc>
          <w:tcPr>
            <w:tcW w:w="2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(12,814)</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Dispositions of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25,132</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Proceeds from sale of marketable securities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Proceeds from life insurance</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(10,622)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(10,984)</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20" w:type="dxa"/>
            <w:vAlign w:val="bottom"/>
            <w:shd w:val="clear" w:color="auto" w:fill="CCEEFF"/>
          </w:tcPr>
          <w:p>
            <w:pPr>
              <w:spacing w:after="0"/>
              <w:rPr>
                <w:sz w:val="11"/>
                <w:szCs w:val="11"/>
                <w:color w:val="auto"/>
              </w:rPr>
            </w:pPr>
          </w:p>
        </w:tc>
        <w:tc>
          <w:tcPr>
            <w:tcW w:w="3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75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Principal payments on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(3,937)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Purchase of treasury stock</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Proceeds from issuance of treasury stock</w:t>
            </w:r>
          </w:p>
        </w:tc>
        <w:tc>
          <w:tcPr>
            <w:tcW w:w="2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Excess tax benefits for share-based payments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(7,476)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r>
      <w:tr>
        <w:trPr>
          <w:trHeight w:val="237"/>
        </w:trPr>
        <w:tc>
          <w:tcPr>
            <w:tcW w:w="20" w:type="dxa"/>
            <w:vAlign w:val="bottom"/>
          </w:tcPr>
          <w:p>
            <w:pPr>
              <w:spacing w:after="0"/>
              <w:rPr>
                <w:sz w:val="20"/>
                <w:szCs w:val="20"/>
                <w:color w:val="auto"/>
              </w:rPr>
            </w:pPr>
          </w:p>
        </w:tc>
        <w:tc>
          <w:tcPr>
            <w:tcW w:w="7500" w:type="dxa"/>
            <w:vAlign w:val="bottom"/>
            <w:gridSpan w:val="4"/>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(7,599)</w:t>
            </w:r>
          </w:p>
        </w:tc>
      </w:tr>
      <w:tr>
        <w:trPr>
          <w:trHeight w:val="243"/>
        </w:trPr>
        <w:tc>
          <w:tcPr>
            <w:tcW w:w="20" w:type="dxa"/>
            <w:vAlign w:val="bottom"/>
          </w:tcPr>
          <w:p>
            <w:pPr>
              <w:spacing w:after="0"/>
              <w:rPr>
                <w:sz w:val="21"/>
                <w:szCs w:val="21"/>
                <w:color w:val="auto"/>
              </w:rPr>
            </w:pPr>
          </w:p>
        </w:tc>
        <w:tc>
          <w:tcPr>
            <w:tcW w:w="750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16,230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24,035</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14,379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16,436</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580" w:right="339" w:bottom="54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40" w:top="580" w:right="339" w:bottom="543"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(unaudited)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80" w:type="dxa"/>
            <w:vAlign w:val="bottom"/>
            <w:gridSpan w:val="5"/>
          </w:tcPr>
          <w:p>
            <w:pPr>
              <w:jc w:val="right"/>
              <w:spacing w:after="0"/>
              <w:rPr>
                <w:sz w:val="20"/>
                <w:szCs w:val="20"/>
                <w:color w:val="auto"/>
              </w:rPr>
            </w:pPr>
            <w:r>
              <w:rPr>
                <w:rFonts w:ascii="Arial" w:cs="Arial" w:eastAsia="Arial" w:hAnsi="Arial"/>
                <w:sz w:val="18"/>
                <w:szCs w:val="18"/>
                <w:b w:val="1"/>
                <w:bCs w:val="1"/>
                <w:color w:val="auto"/>
                <w:w w:val="96"/>
              </w:rPr>
              <w:t>For the Nine Months Ended April 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included in Accounts payable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expenditures included in Accrued expenses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10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2014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nine months ended April 30, 2015 are not necessarily an indication of the results that may be expected for the fiscal year ending July 31,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Adopted Accounting Standards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tangible property regulations (“repair regulations") released by the Internal Revenue Service in September 2013 under Sections 162(a) and 263(a)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Internal Revenue Code were effective for our tax year beginning August 1, 2014. The repair regulations provide guidance regarding the timing of deductions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capitalization of amounts paid to acquire, produce or improve tangible property. We believe our accounting policies comply with the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repair regulations and there is no material impact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Regulations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Financial Accounting Standards Board (“FASB”) issued guidance under Accounting Standards Codification (“ASC”) 250,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 with Customers</w:t>
      </w:r>
      <w:r>
        <w:rPr>
          <w:rFonts w:ascii="Arial" w:cs="Arial" w:eastAsia="Arial" w:hAnsi="Arial"/>
          <w:sz w:val="17"/>
          <w:szCs w:val="17"/>
          <w:color w:val="auto"/>
        </w:rPr>
        <w:t>, which establishes a single comprehensive revenue recognition model for all contracts with customers and will supersede most</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not permitted. This guidance will be effective at the beginning of our first quarter of fiscal 2018. We are currently evaluating the impact of the adoption of this requirement on our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ended July 31, 2017. We are currently evaluating the impact of the adoption of this requirement on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2016 and early adoption is permitted. The guidance must be applied on a retrospective basis. We are currently evaluating the impact of the adoption of this requirement on our Consolidated Financial Statements.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also issued guidance under ASC 350, </w:t>
      </w:r>
      <w:r>
        <w:rPr>
          <w:rFonts w:ascii="Arial" w:cs="Arial" w:eastAsia="Arial" w:hAnsi="Arial"/>
          <w:sz w:val="16"/>
          <w:szCs w:val="16"/>
          <w:i w:val="1"/>
          <w:iCs w:val="1"/>
          <w:color w:val="auto"/>
        </w:rPr>
        <w:t>Customer's Accounting for Fees Paid in a Cloud Computing Arrangement</w:t>
      </w:r>
      <w:r>
        <w:rPr>
          <w:rFonts w:ascii="Arial" w:cs="Arial" w:eastAsia="Arial" w:hAnsi="Arial"/>
          <w:sz w:val="16"/>
          <w:szCs w:val="16"/>
          <w:color w:val="auto"/>
        </w:rPr>
        <w:t>. The new guidance provides that if a cloud computing arrangement includes a software license, then the software license element should be accounted for consistent with the acquisition of other software licenses. If the arrangement does not include a software license, the arrangement should be accounted for as a service contract. This new guidance is effective for our first quarter of fiscal year 2016 and early adoption is permitted. Transition options include either a retrospective or prospective approach. We are currently evaluating the impact of the adoption of this requirement on our Consolidated Financial Statements.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2015, the FASB issued guidance under ASC 820, </w:t>
      </w:r>
      <w:r>
        <w:rPr>
          <w:rFonts w:ascii="Arial" w:cs="Arial" w:eastAsia="Arial" w:hAnsi="Arial"/>
          <w:sz w:val="16"/>
          <w:szCs w:val="16"/>
          <w:i w:val="1"/>
          <w:iCs w:val="1"/>
          <w:color w:val="auto"/>
        </w:rPr>
        <w:t>Disclosure for Investments in Certain Entities that Calculate Net Asset Value per Share (or Its</w:t>
      </w:r>
      <w:r>
        <w:rPr>
          <w:rFonts w:ascii="Arial" w:cs="Arial" w:eastAsia="Arial" w:hAnsi="Arial"/>
          <w:sz w:val="16"/>
          <w:szCs w:val="16"/>
          <w:color w:val="auto"/>
        </w:rPr>
        <w:t xml:space="preserve"> </w:t>
      </w:r>
      <w:r>
        <w:rPr>
          <w:rFonts w:ascii="Arial" w:cs="Arial" w:eastAsia="Arial" w:hAnsi="Arial"/>
          <w:sz w:val="16"/>
          <w:szCs w:val="16"/>
          <w:i w:val="1"/>
          <w:iCs w:val="1"/>
          <w:color w:val="auto"/>
        </w:rPr>
        <w:t>Equivalent)</w:t>
      </w:r>
      <w:r>
        <w:rPr>
          <w:rFonts w:ascii="Arial" w:cs="Arial" w:eastAsia="Arial" w:hAnsi="Arial"/>
          <w:sz w:val="16"/>
          <w:szCs w:val="16"/>
          <w:color w:val="auto"/>
        </w:rPr>
        <w:t>. The new guidance provides that investments for which fair value is measured at net asset value per share (or its equivalent) using the practical</w:t>
      </w:r>
      <w:r>
        <w:rPr>
          <w:rFonts w:ascii="Arial" w:cs="Arial" w:eastAsia="Arial" w:hAnsi="Arial"/>
          <w:sz w:val="16"/>
          <w:szCs w:val="16"/>
          <w:i w:val="1"/>
          <w:iCs w:val="1"/>
          <w:color w:val="auto"/>
        </w:rPr>
        <w:t xml:space="preserve"> </w:t>
      </w:r>
      <w:r>
        <w:rPr>
          <w:rFonts w:ascii="Arial" w:cs="Arial" w:eastAsia="Arial" w:hAnsi="Arial"/>
          <w:sz w:val="16"/>
          <w:szCs w:val="16"/>
          <w:color w:val="auto"/>
        </w:rPr>
        <w:t>expedient should not be categorized in the fair value hierarchy; however, information on such investments should continue to be disclosed to help users understand the nature and risks of the investments and whether the investments, if sold, are probable of being sold at amounts different from net asset value. This new guidance is effective for our first quarter of fiscal year 2016 and early adoption is permitted. The guidance must be applied retrospectively to all periods presented. We are currently evaluating the impact of the adoption of this requirement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14,326</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5,402</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w:t>
            </w:r>
          </w:p>
        </w:tc>
      </w:tr>
      <w:tr>
        <w:trPr>
          <w:trHeight w:val="257"/>
        </w:trPr>
        <w:tc>
          <w:tcPr>
            <w:tcW w:w="19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24,483</w:t>
            </w: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April 30, 2015 and July 31, 2014 were $582,000 and $390,000,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hierarchy are as follows:</w:t>
      </w:r>
    </w:p>
    <w:p>
      <w:pPr>
        <w:spacing w:after="0" w:line="12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7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3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Fair Value at April 30, 2015</w:t>
            </w:r>
          </w:p>
        </w:tc>
        <w:tc>
          <w:tcPr>
            <w:tcW w:w="320" w:type="dxa"/>
            <w:vAlign w:val="bottom"/>
          </w:tcPr>
          <w:p>
            <w:pPr>
              <w:spacing w:after="0"/>
              <w:rPr>
                <w:sz w:val="20"/>
                <w:szCs w:val="20"/>
                <w:color w:val="auto"/>
              </w:rPr>
            </w:pPr>
          </w:p>
        </w:tc>
        <w:tc>
          <w:tcPr>
            <w:tcW w:w="2800" w:type="dxa"/>
            <w:vAlign w:val="bottom"/>
            <w:gridSpan w:val="4"/>
          </w:tcPr>
          <w:p>
            <w:pPr>
              <w:ind w:left="220"/>
              <w:spacing w:after="0"/>
              <w:rPr>
                <w:sz w:val="20"/>
                <w:szCs w:val="20"/>
                <w:color w:val="auto"/>
              </w:rPr>
            </w:pPr>
            <w:r>
              <w:rPr>
                <w:rFonts w:ascii="Arial" w:cs="Arial" w:eastAsia="Arial" w:hAnsi="Arial"/>
                <w:sz w:val="18"/>
                <w:szCs w:val="18"/>
                <w:b w:val="1"/>
                <w:bCs w:val="1"/>
                <w:color w:val="auto"/>
              </w:rPr>
              <w:t>Fair Value at July 31, 2014</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60" w:type="dxa"/>
            <w:vAlign w:val="bottom"/>
            <w:gridSpan w:val="5"/>
          </w:tcPr>
          <w:p>
            <w:pPr>
              <w:jc w:val="center"/>
              <w:ind w:right="114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280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0" w:type="dxa"/>
            <w:vAlign w:val="bottom"/>
          </w:tcPr>
          <w:p>
            <w:pPr>
              <w:spacing w:after="0"/>
              <w:rPr>
                <w:sz w:val="1"/>
                <w:szCs w:val="1"/>
                <w:color w:val="auto"/>
              </w:rPr>
            </w:pPr>
          </w:p>
        </w:tc>
      </w:tr>
      <w:tr>
        <w:trPr>
          <w:trHeight w:val="27"/>
        </w:trPr>
        <w:tc>
          <w:tcPr>
            <w:tcW w:w="3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9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equivalents were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Marketable equity securities were valued using quoted market prices in active markets and as such are classified as Level 1 in the fair value hierarchy. We owned stock in one publicly traded company at July 31, 2014, which was included in other assets on the condensed Consolidated Balance Sheets. We sold the stock of this company in the first quarter of fiscal 2015 after it was acquired by another company.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Short-term investments on the condensed Consolidated Balance Sheets included U.S. Treasury securities and certificates of deposit. We intend and have the ability to hold our short-term investments to maturity; therefore, these investments were reported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at amortized cost on the condensed Consolidated Balance Sheets, which approximated fair value as of April 30, 2015 and July 31, 2014. These balances are excluded from the above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on the condensed Consolidated Balance Sheets approximated their fair values at April 30, 2015 and July 31, 2014 due to the short maturity and nature of those balances; therefore, these balances are excluded from the above table.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Prepaid expenses and other assets on the condensed Consolidated Balance Sheets as of July 31, 2014 included a receivable of $255,000 related to our acquisition of certain assets of MFM Industries Inc. (“MFM”) during fiscal 2014. This receivable is excluded from the above table. The receivable represented the estimated amount due to us upon the sale of the real property retained by MFM. We evaluated the value of this receivable during fiscal 2015 and reduced the balance to $114,500 as of the end of the first quarter. We received $116,000 in settlement upon sale of the land during the second quarter of fiscal 2015, thereby eliminating the receivable balance as of April 30, 2015.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payable on the condensed Consolidated Balance Sheets are carried at the face amount of future maturities and are excluded from the above table. The estimated fair value of notes payable, including current maturities, was $20,516,000 and $23,940,000 as of April 30, 2015 and July 31, 2014,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amortization expense was $410,000 and $329,000 in the third quarter of fiscal 2015 and 2014, respectively. Intangible amortization expense was $1,230,000 and $754,000 for the first nine months of fiscal 2015 and 2014, respectively. Estimated intangible amortization for the remainder of fiscal 2015 is $379,000. Estimated intangible amortization for the next five fiscal years is as follows (in thousands):</w:t>
      </w:r>
    </w:p>
    <w:p>
      <w:pPr>
        <w:spacing w:after="0" w:line="115"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2016</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2017</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2018</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2019</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annual goodwill impairment analysis was performed in the first quarter of fiscal 2015 and did not indicate any impairment. There have been no triggering events identified that would indicate the need to re-test for possible impairment.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6. PENSION AND OTHER POSTRETIREMENT BENEFITS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040" w:type="dxa"/>
            <w:vAlign w:val="bottom"/>
            <w:gridSpan w:val="5"/>
          </w:tcPr>
          <w:p>
            <w:pPr>
              <w:spacing w:after="0"/>
              <w:rPr>
                <w:sz w:val="20"/>
                <w:szCs w:val="20"/>
                <w:color w:val="auto"/>
              </w:rPr>
            </w:pPr>
            <w:r>
              <w:rPr>
                <w:rFonts w:ascii="Arial" w:cs="Arial" w:eastAsia="Arial" w:hAnsi="Arial"/>
                <w:sz w:val="18"/>
                <w:szCs w:val="18"/>
                <w:color w:val="auto"/>
                <w:w w:val="91"/>
              </w:rPr>
              <w:t>The components of net periodic pension and postretirement health benefit costs were as follows: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7"/>
              </w:rPr>
              <w:t>Pension Benefits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7"/>
              </w:rPr>
              <w:t>(in thousands)</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20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For the Three Months Ended April 30,</w:t>
            </w:r>
          </w:p>
        </w:tc>
        <w:tc>
          <w:tcPr>
            <w:tcW w:w="306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For the Nine Months Ended April 30,</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402</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1,205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1,624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Postretirement Health Benefits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7"/>
              </w:rPr>
              <w:t>(in thousands)</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20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For the Three Months Ended April 30,</w:t>
            </w:r>
          </w:p>
        </w:tc>
        <w:tc>
          <w:tcPr>
            <w:tcW w:w="306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For the Nine Months Ended April 30,</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transition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$925,000 and $1,506,000 to our pension plan during the third quarter and first nine months of fiscal 2015, respectively. We estimate contributions will be $284,000 for the remainder of fiscal 2015.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5860" w:type="dxa"/>
            <w:vAlign w:val="bottom"/>
          </w:tcPr>
          <w:p>
            <w:pPr>
              <w:spacing w:after="0"/>
              <w:rPr>
                <w:sz w:val="24"/>
                <w:szCs w:val="24"/>
                <w:color w:val="auto"/>
              </w:rPr>
            </w:pPr>
          </w:p>
        </w:tc>
        <w:tc>
          <w:tcPr>
            <w:tcW w:w="2840" w:type="dxa"/>
            <w:vAlign w:val="bottom"/>
            <w:gridSpan w:val="4"/>
          </w:tcPr>
          <w:p>
            <w:pPr>
              <w:ind w:left="740"/>
              <w:spacing w:after="0"/>
              <w:rPr>
                <w:sz w:val="20"/>
                <w:szCs w:val="20"/>
                <w:color w:val="auto"/>
              </w:rPr>
            </w:pPr>
            <w:r>
              <w:rPr>
                <w:rFonts w:ascii="Arial" w:cs="Arial" w:eastAsia="Arial" w:hAnsi="Arial"/>
                <w:sz w:val="18"/>
                <w:szCs w:val="18"/>
                <w:b w:val="1"/>
                <w:bCs w:val="1"/>
                <w:color w:val="auto"/>
              </w:rPr>
              <w:t>Pension Benefits</w:t>
            </w:r>
          </w:p>
        </w:tc>
        <w:tc>
          <w:tcPr>
            <w:tcW w:w="27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6"/>
              </w:rPr>
              <w:t>Postretirement Health Benefits</w:t>
            </w:r>
          </w:p>
        </w:tc>
      </w:tr>
      <w:tr>
        <w:trPr>
          <w:trHeight w:val="27"/>
        </w:trPr>
        <w:tc>
          <w:tcPr>
            <w:tcW w:w="5860" w:type="dxa"/>
            <w:vAlign w:val="bottom"/>
          </w:tcPr>
          <w:p>
            <w:pPr>
              <w:spacing w:after="0"/>
              <w:rPr>
                <w:sz w:val="2"/>
                <w:szCs w:val="2"/>
                <w:color w:val="auto"/>
              </w:rPr>
            </w:pPr>
          </w:p>
        </w:tc>
        <w:tc>
          <w:tcPr>
            <w:tcW w:w="468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680" w:type="dxa"/>
            <w:vAlign w:val="bottom"/>
            <w:gridSpan w:val="7"/>
          </w:tcPr>
          <w:p>
            <w:pPr>
              <w:ind w:left="940"/>
              <w:spacing w:after="0"/>
              <w:rPr>
                <w:sz w:val="20"/>
                <w:szCs w:val="20"/>
                <w:color w:val="auto"/>
              </w:rPr>
            </w:pPr>
            <w:r>
              <w:rPr>
                <w:rFonts w:ascii="Arial" w:cs="Arial" w:eastAsia="Arial" w:hAnsi="Arial"/>
                <w:sz w:val="18"/>
                <w:szCs w:val="18"/>
                <w:b w:val="1"/>
                <w:bCs w:val="1"/>
                <w:color w:val="auto"/>
                <w:w w:val="92"/>
              </w:rPr>
              <w:t>For the Three and Nine Months Ended April 30,</w:t>
            </w:r>
          </w:p>
        </w:tc>
        <w:tc>
          <w:tcPr>
            <w:tcW w:w="8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5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8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 The graded trend rate is expected to decrease to an ultimate rate of 5.0% in fiscal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2014.</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April 30, 2015</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July 31, 2014</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53,823</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98,711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95,712</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36,669</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185,426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186,204</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8"/>
          </w:tcPr>
          <w:p>
            <w:pPr>
              <w:ind w:left="60"/>
              <w:spacing w:after="0"/>
              <w:rPr>
                <w:sz w:val="20"/>
                <w:szCs w:val="20"/>
                <w:color w:val="auto"/>
              </w:rPr>
            </w:pPr>
            <w:r>
              <w:rPr>
                <w:rFonts w:ascii="Arial" w:cs="Arial" w:eastAsia="Arial" w:hAnsi="Arial"/>
                <w:sz w:val="18"/>
                <w:szCs w:val="18"/>
                <w:b w:val="1"/>
                <w:bCs w:val="1"/>
                <w:color w:val="auto"/>
                <w:w w:val="94"/>
              </w:rPr>
              <w:t>For the Nine Months Ended April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Income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80" w:type="dxa"/>
            <w:vAlign w:val="bottom"/>
            <w:gridSpan w:val="5"/>
          </w:tcPr>
          <w:p>
            <w:pPr>
              <w:ind w:left="2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71,649</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20,980</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127,334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2,521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195,883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200,268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(14,161)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9"/>
          </w:tcPr>
          <w:p>
            <w:pPr>
              <w:jc w:val="right"/>
              <w:spacing w:after="0"/>
              <w:rPr>
                <w:sz w:val="20"/>
                <w:szCs w:val="20"/>
                <w:color w:val="auto"/>
              </w:rPr>
            </w:pPr>
            <w:r>
              <w:rPr>
                <w:rFonts w:ascii="Arial" w:cs="Arial" w:eastAsia="Arial" w:hAnsi="Arial"/>
                <w:sz w:val="18"/>
                <w:szCs w:val="18"/>
                <w:b w:val="1"/>
                <w:bCs w:val="1"/>
                <w:color w:val="auto"/>
                <w:w w:val="93"/>
              </w:rPr>
              <w:t>For the Three Months Ended April 30,</w:t>
            </w:r>
          </w:p>
        </w:tc>
        <w:tc>
          <w:tcPr>
            <w:tcW w:w="8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6"/>
          </w:tcPr>
          <w:p>
            <w:pPr>
              <w:ind w:left="48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0"/>
                <w:szCs w:val="20"/>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Income</w:t>
            </w:r>
          </w:p>
        </w:tc>
        <w:tc>
          <w:tcPr>
            <w:tcW w:w="8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21,854</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22,470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6,676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5,336</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43,342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65,196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67,417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r>
      <w:tr>
        <w:trPr>
          <w:trHeight w:val="237"/>
        </w:trPr>
        <w:tc>
          <w:tcPr>
            <w:tcW w:w="66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1,909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66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1,902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 summary of stock option transactions is shown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July 31, 2014</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43"/>
        </w:trPr>
        <w:tc>
          <w:tcPr>
            <w:tcW w:w="8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April 30, 2015</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0"/>
        </w:trPr>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stock options exercised in the third quarter of either fiscal 2015 or 2014. The amount of cash received from the exercise of stock options during the first nine months of fiscal 2015 was $15,000 and the related tax benefit was $3,000. The amount of cash received from the exercise of stock options during the first nine months of fiscal 2014 was $51,000 and the related tax benefit was $24,000.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in the first nine months of either fiscal 2015 or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April 30, 2015 was issued under the 2006 Plan with vesting periods between two years and five years.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67"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Under the 2006 Plan, no restricted shares of Common Stock were granted in the third quarter of fiscal year 2015. There were 18,000 restricted shares granted in the third quarter of fiscal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related to non-vested restricted stock in the third quarter of fiscal years 2015 and 2014 was $210,000 and $313,000, respectively. In the first nine months of fiscal years 2015 and 2014, the stock-based compensation expense related to non-vested restricted stock was $866,000 and $873,000,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2014</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34.07</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April 30, 2015</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as of April 30, 2015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Unrealized Gain</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(Loss) on</w:t>
            </w:r>
          </w:p>
        </w:tc>
        <w:tc>
          <w:tcPr>
            <w:tcW w:w="22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Pension and</w:t>
            </w:r>
          </w:p>
        </w:tc>
        <w:tc>
          <w:tcPr>
            <w:tcW w:w="58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5"/>
              </w:rPr>
              <w:t>Marketable</w:t>
            </w:r>
          </w:p>
        </w:tc>
        <w:tc>
          <w:tcPr>
            <w:tcW w:w="2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Postretirement</w:t>
            </w:r>
          </w:p>
        </w:tc>
        <w:tc>
          <w:tcPr>
            <w:tcW w:w="58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Translation</w:t>
            </w:r>
          </w:p>
        </w:tc>
        <w:tc>
          <w:tcPr>
            <w:tcW w:w="28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Health Benefits</w:t>
            </w:r>
          </w:p>
        </w:tc>
        <w:tc>
          <w:tcPr>
            <w:tcW w:w="580" w:type="dxa"/>
            <w:vAlign w:val="bottom"/>
          </w:tcPr>
          <w:p>
            <w:pPr>
              <w:spacing w:after="0"/>
              <w:rPr>
                <w:sz w:val="20"/>
                <w:szCs w:val="20"/>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Adjustment</w:t>
            </w:r>
          </w:p>
        </w:tc>
        <w:tc>
          <w:tcPr>
            <w:tcW w:w="28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Income</w:t>
            </w: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3"/>
              </w:rPr>
              <w:t>Other comprehensive loss before reclassifications, net</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 a)</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b)</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3"/>
              </w:rPr>
              <w:t>Net current-period other comprehensive income (loss),</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w:t>
            </w:r>
          </w:p>
        </w:tc>
        <w:tc>
          <w:tcPr>
            <w:tcW w:w="5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is included in the condensed Consolidated Statements of Income on the Other, net line item.</w:t>
      </w:r>
    </w:p>
    <w:p>
      <w:pPr>
        <w:spacing w:after="0" w:line="225" w:lineRule="exact"/>
        <w:rPr>
          <w:rFonts w:ascii="Arial" w:cs="Arial" w:eastAsia="Arial" w:hAnsi="Arial"/>
          <w:sz w:val="18"/>
          <w:szCs w:val="18"/>
          <w:color w:val="auto"/>
        </w:rPr>
      </w:pPr>
    </w:p>
    <w:p>
      <w:pPr>
        <w:ind w:right="20" w:firstLine="8"/>
        <w:spacing w:after="0" w:line="277" w:lineRule="auto"/>
        <w:tabs>
          <w:tab w:leader="none" w:pos="208"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is net of tax expense of $176,000. Amount is included in the components of net periodic benefit cost for the pension and postretirement health plans. See Note 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2014.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2015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net sales for the nine months ended April 30, 2015 were $195,883,000, a decrease of 2% from net sales of $200,268,000 for the nine months ended April 30, 2014. Net sales were down for both our Retail and Wholesale Products and Business to Business Products Groups. Consolidated net income for the first nine months of fiscal 2015 was $6,302,000, compared to $7,890,000 for the first nine months of fiscal 2014. Operating income declined for our Retail and Wholesale Products Group and was flat for our Business to Business Products Group. Diluted net income per share was $0.88 for the first nine months of fiscal 2015, compared to $1.11 for the first nine months of fiscal 2014.</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gross profit as a percentage of net sales for the first nine months of fiscal 2015 was 22%, which was lower than the 24% reported for the first nine months of fiscal 2014. Gross profit declined due primarily to higher manufacturing and packaging costs per ton and an unfavorable product mix. The increase in manufacturing costs per ton was driven by reduced fixed cost absorption due to fewer tons produced and increased labor and depreciation costs. Depreciation costs increased as we continue to invest in machinery and equipment at our plants. Partially offsetting these cost increases was a 24% decline in the cost per manufactured ton for natural gas used to operate kilns that dry our clay. Freight costs overall were essentially flat. Lower diesel fuel costs were mostly offset by cost increases accompanying regulation in the trucking industry. The impact of packaging costs and product mix are discussed by operating segment below.</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selling, general and administrative expenses were lower for the first nine months of fiscal 2015 compared to the first nine months of fiscal 2014. Selling, general and administrative expenses as a percentage of net sales were also lower at 17% compared to 18% for the first nine months of fiscal 2015 and 2014, respectively. The discussions of the segments' operating incomes below describe the change in the selling, general and administrative expenses that were allocated to the operating segments, particularly lower advertising costs in the Retail and Wholesale Products Group. The remaining unallocated corporate expenses in the first nine months of fiscal 2015 included a higher estimated annual incentive plan bonus accrual as compared to the prior year. The incentive bonus expenses were based on performance targets that were established for each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$168,000 lower for the first nine months of fiscal 2015 compared to the same period in fiscal 2014 due to a reduction of notes payable.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was 27% of pre-tax income in the first nine months of fiscal 2015, which was higher than the 23% rate for the first nine months of fiscal 2014. Our effective tax rate was based on the estimated level of our taxable income for the year and the assessment of various deductions, including depletion.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of the Business to Business Products Group for the first nine months of fiscal 2015 were $68,549,000, a decrease of $3,100,000, or 4%, from net sales of $71,649,000 for the first nine months of fiscal 2014. Net sales of fluid purification products were down approximately 12% as a result of fewer tons sold and an unfavorable product sales mix (defined as a lower proportion of sales from products with a higher selling price). Usage of our product by edible oil producers declined due to natural variations in the quality and characteristics of certain seed and bean crops. In addition, sales in foreign markets suffered due to the strength of the U.S. Dollar relative to various foreign currencies, which effectively increased the price of our product compared to foreign competitors' products. Our co-packaged coarse cat litter net sales reflected the continued decline in the coarse litter market and were down approximately 9% compared to the first nine months of the prior year. Partially offsetting these declines was a net sales increase of approximately 13% for our standard and engineered granule products used by agricultural and horticultural chemical producers. Net sales of animal health and nutrition products also increased approximately 10% due primarily to sales by our subsidiary in China (Amlan Trading (Shenzhen) Company, Ltd.)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nine months of fiscal 2015 was $20,990,000, an increase of $10,000 from operating income of $20,980,000 for the first nine months of fiscal 2014. Operating income was negatively impacted by the reduced sales and higher manufacturing costs, but was positively impacted by the lower cost per manufactured ton for natural gas used to operate kilns that dry our clay. See further discussion of manufacturing costs in “Consolidated Results” above.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for the Business to Business Products Group were 4% lower than the first nine months of fiscal 2014. Lower sales of our fluid purification products reduced commissions paid to outside distributors. Our subsidiary in China, which was fully operational during the first nine months of fiscal 2015, incurred additional internal sales personnel costs but accordingly reduced external distributor commissions.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sales of the Retail and Wholesale Products Group for the first nine months of fiscal 2015 were $127,334,000, a decrease of $1,285,000, or 1%, from net sales of $128,619,000 for the first nine months of fiscal 2014. Net sales declined for our cat litter products and for our foreign subsidiaries in Canada and the United Kingdom, but increased for industrial absorbents products. Our foreign subsidiaries are discussed under “Foreign Operations” below. Overall cat litter net sales and tons sold were down compared to the first nine months of the prior year. Our branded cat litter net sales decrease of approximately12% was attributed primarily to our competitors' introduction of new products, which were accompanied by increased advertising and aggressive price discounts. The lightweight scoopable segment of the cat litter market continues to grow according to recent data from an independent market reporting service. We believe our relatively low density clay reserves position us well for future growth. Sales of our new Cat's Pride Fresh &amp; Light Ultimate Care products commenced at the end of the second quarter. Private label cat litter sales increased approximately 14%. The increased private label cat litter sales were attributed to the acquisition of MFM in the second quarter of fiscal 2014 (additional MFM-related sales are included in nine months of fiscal 2015 but only six months of fiscal 2014), sales to new customers and sales of our new lightweight private label product, which launched at the end of the second quarter of fiscal 2015. Branded and generic floor absorbent sales increased approximately 9% as the result of increased volume and a higher average selling price.</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Retail and Wholesale Products Group's operating income for the first nine months of fiscal 2015 was $2,521,000, a decrease of $1,042,000, or 29%, from operating income of $3,563,000 for the first nine months of fiscal 2014. Operating income was diminished by the increased proportion of total cat litter sales derived from private label cat litter, which generally has a lower gross profit than branded cat litter. Higher non-fuel manufacturing and packaging costs further reduced operating income, while freight costs were relatively flat. See discussion of manufacturing costs in “Consolidated Results” above. Packaging costs rose approximately 6% due to higher prices for plastics commodities, particularly resin, used to package many of our cat litter products. We anticipate that the recent drop in resin prices will provide some cost relief for the fourth quarter of fiscal 2015 due to supply contract pricing adjustments. These unfavorable factors more than offset the benefits of lower selling general and administrative expenses, discussed below, and the lower cost per manufactured ton for natural gas used to operate kilns that dry our clay.</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expenses for the Retail and Wholesale Products Group were 16% lower than the first nine months of fiscal 2014 due to lower advertising expenses, which were partially offset by higher amortization expense for intangible assets related to the MFM acquisition.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nine months of fiscal 2015 were $8,245,000, a 2% increase compared to net sales of $8,119,000 during the first nine months of fiscal 2014. The net sales increase was attributed primarily to our subsidiary in China, which more than offset lower cat litter sales by our Canadian subsidiary. Net sales by our foreign subsidiaries represented 4% of our consolidated net sales during the first nine months of both fiscal years 2015 and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foreign subsidiaries reported a net loss of $940,000 for the first nine months of fiscal 2015 compared to a net loss of $374,000 for the first nine months of fiscal 2014. The net loss increased due primarily to a greater reported loss at our new subsidiary in China, which is still being integrated into the market, and foreign currency exchange losses upon translation of financial results to reported U.S. Dollars. In addition, both our United Kingdom and Canadian subsidiaries incurred higher costs for items purchased from the United States due to the strength of the U.S. Dollar compared to their respective local currencies.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assets of our foreign subsidiaries as of April 30, 2015 were $7,724,000, compared to $8,221,000 as of April 30, 2014. The decrease was due primarily to lower net fixed assets, cash and accounts receivable, which were partially offset by higher deferred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2015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sales for the three months ended April 30, 2015 were $65,196,000, a decrease of 3% from net sales of $67,417,000 for the three months ended April 30, 2014. Net sales were down for both our Retail and Wholesale Products and Business to Business Products Groups. Consolidated net income for the third quarter of fiscal 2015 was $1,385,000, compared to $722,000 for the third quarter of fiscal 2014. Operating income increased for both our Retail and Wholesale Products Group and our Business to Business Products Group. Diluted net income per share was $0.19 for the third quarter of fiscal 2015, compared to $0.10 for the third quarter of fiscal 2014.</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gross profit as a percentage of net sales for the third quarter of fiscal 2015 was 22%, compared to 21% for the third quarter of fiscal 2014. Gross profit was positively impacted by a 37% decline in the cost per manufactured ton for natural gas used to operate kilns that dry our clay, which was partially offset by an unfavorable product mix and by an increase in other manufacturing costs. The increase in manufacturing costs per ton was driven by reduced fixed cost absorption due to fewer tons produced and increased labor and depreciation costs. Depreciation costs increased as we continue to invest in machinery and equipment at our plants. Freight costs overall were essentially flat. Lower diesel fuel costs were mostly offset by cost increases accompanying regulation in the trucking industry. Price increases moderated for commodities used in packaging.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general and administrative expenses were lower for the third quarter of fiscal 2015 compared to the third quarter of fiscal 2014, but were consistent as a percent of sales between periods. The discussion of the segments' operating incomes below describes the reduction in selling, general and administrative expenses that were allocated to the operating segments. The remaining unallocated corporate expenses in the third quarter of fiscal 2015 included a higher estimated annual incentive bonus accrual as compared to the prior year. The incentive bonus expenses were based on performance targets that were established for each fiscal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$48,000 lower for the third quarter of fiscal 2015 compared to the same period in fiscal 2014 due primarily to a reduction of notes payable.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27% of pre-tax income in the third quarter of fiscal 2015 compared to 16% in the third quarter of fiscal 2014. Our effective tax rate was based on the estimated level of our taxable income for the year and the assessment of various deductions, including depletion. A year-to-date adjustment to the effective tax rate significantly impacted the third quarter of fiscal 2014. Tax expense in the third quarters of each fiscal year included a true-up of the tax provision estimate upon filing of the prior year's tax returns.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of the Business to Business Products Group for the third quarter of fiscal 2015 were $21,854,000, a decrease of $616,000, or 3%, from net sales of $22,470,000 for the third quarter of fiscal 2014. Net sales of fluid purification products were approximately 18% lower primarily as a result of fewer tons sold. Usage of our product by edible oil producers declined due to natural variations in the quality and characteristics of certain bean and seed crops. In addition, sales in foreign markets suffered due to the strength of the U.S. Dollar relative to various foreign currencies, which effectively increased the price of our product compared to foreign competitors' products. Our co-packaged traditional coarse cat litter net sales reflected the continued decline in the coarse litter market and were down approximately 7% compared to the third quarter of the prior year. Partially offsetting these declines were approximately 39% higher sales of our standard and engineered granule products used by agricultural and horticultural chemical producers. In addition, sales of animal health and nutrition products increased approximately 15% higher due primarily to sales by our subsidiary in China and a favorable product sales mix.</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third quarter of fiscal 2015 was $6,676,000, an increase of $1,340,000, or 25%, from operating income of $5,336,000 in the third quarter of fiscal 2014. Operating income was positively impacted by the lower cost per manufactured ton for natural gas used to operate kilns that dry our clay, but was negatively impacted by higher manufacturing costs and the reduced sales described above. See further discussion of manufacturing in “Consolidated Results” above.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for the Business to Business Products Group were 13% lower compared to the third quarter of fiscal 2014. Lower sales of our fluid purification products reduced commissions paid to outside distributors. Our subsidiary in China, which was fully operational during the third quarter of fiscal 2015, incurred additional internal sales personnel costs but accordingly reduced external distributor commissions.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Retail and Wholesale Products Group for the third quarter of fiscal 2015 were $43,342,000, a decrease of $1,605,000, or 4%, from net sales of $44,947,000 for the third quarter of fiscal 2014. Net sales declined for cat litter products and for our foreign subsidiaries in Canada and the United Kingdom, but increased for industrial absorbents products. Our foreign subsidiaries are discussed under “Foreign Operations” below. Overall cat litter net sales and tons sold were down compared to the third quarter of the prior year. Our branded cat litter net sales decreased by approximately 16% due primarily to continued pressure from competitors' advertising campaigns and aggressive price discounts. The lightweight scoopable segment of the cat litter market continues to grow according to recent data from an independent market reporting service. We believe our relatively low density clay reserves position us well for future growth. Our new Cat's Pride Fresh &amp; Light Ultimate Care sales commenced at the end of the second quarter. Our private label cat litter sales increased approximately 6%. The increased sales were attributed to new customers and sales of our new lightweight private label cat litter products, which launched at the end of the second quarter of fiscal 2015. Branded and generic floor absorbent sales increased approximately 7% as the result of increased volume and a higher average selling price.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Retail and Wholesale Products Group reported operating income of $373,000 for the third quarter of fiscal 2015, an increase of $1,067,000 from an operating loss of $694,000 for the third quarter of fiscal 2014. The improved operating income was driven by lower advertising costs and by a lower cost per manufactured ton for natural gas used to operate kilns that dry our clay. Operating income was negatively impacted by higher non-fuel manufacturing costs and by an unfavorable product mix. Manufacturing costs are discussed in “Consolidated Results” above. Product mix reflected an increased proportion of total cat litter sales derived from private label cat litter, which generally has a lower gross profit than branded cat litter. In addition, packaging costs rose approximately 3% due to higher prices for plastics commodities, particularly resin, used to package many of our cat litter products. We anticipate that the recent drop in resin prices will provide some cost relief for the fourth quarter of fiscal 2015 due to supply contract pricing adjustments.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Retail and Wholesale Products Group were 22% lower than the third quarter of fiscal 2014 due primarily to lower advertising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third quarter of fiscal 2015 were $2,378,000, a 6% decrease compared to net sales of $2,537,000 during the third quarter of fiscal 2014. Lower cat litter sales by our Canadian subsidiary and lower export sales by our United Kingdom subsidiary were partially offset by increased sales for our subsidiary in China. Net sales by our foreign subsidiaries represented approximately 4% of our consolidated net sales during the third quarter of both fiscal years 2015 and 2014.</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foreign subsidiaries reported a net loss of $278,000 for the third quarter of fiscal 2015 compared to a net loss of $132,000 for the third quarter of fiscal 2014. The net loss increased due primarily to the lower sales discussed above. In addition, both our United Kingdom and Canadian subsidiaries incurred higher costs for items purchased from the United States due to the strength of the U.S. Dollar compared to their respective local currencies.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and real estate; supporting new product development; investing in infrastructure; repurchasing Common Stock; paying dividends; and business acquisitions. During the first nine months of fiscal 2015, we principally used cash generated from operations and from previous debt issuances to fund these requirements. We also have the ability to borrow under our revolving credit agreement with BMO Harris Bank N.A. (“BMO Harris”), as described further below, however we have not borrowed under the credit agreement in recent years. Cash and cash equivalents decreased $1,851,000 during the first nine months of fiscal 2015 to $14,379,000 as of April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10,710</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(10,984)</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nine months of fiscal years 2015 and 2014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$968,000 in the first nine months of fiscal 2015 compared to an increase of $1,706,000 in the first nine months of fiscal 2014. Sales in the third quarter of fiscal 2015 were lower than in the third quarter of fiscal 2014. The change in both periods is also subject to the timing of sales and collections and the payment terms provided to various customers.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decreased $198,000 in the first nine months of fiscal 2015 compared to an increase of $2,884,000 in the same period in fiscal 2014. Finished goods inventory was down in the first nine months of fiscal 2015 due primarily to increased sales of agricultural chemical products. The lower finished goods inventory was partially offset by higher additives inventories due to favorable purchasing opportunities. In the first nine months of fiscal 2014, finished goods inventory was up primarily due to higher costs and increased tons in inventory. Packaging inventories were also up due to higher costs and production projections for certain products.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Prepaid expenses decreased $1,655,000 in the first nine months of fiscal 2015 compared to an increase of $1,276,000 in the first nine months of fiscal 2014. The decrease in the first nine months of fiscal 2015 was due primarily to a reclassification of prepaid rents and royalties to other long-term assets and a decrease in prepaid income taxes. These decreases were partially offset by increases in both prepaid insurance and prepaid advertising. The increase in prepaid expenses in the first nine months of fiscal 2014 was due primarily to increases in prepaid expenses for income taxes, advertising and insurance.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Other assets increased $1,438,000 in the first nine months of fiscal 2015 compared to an increase of $444,000 in the first nine months of fiscal 2014. The increase in the first nine months of fiscal 2015 was due primarily to the reclassification of prepaid rents and royalties from current prepaid expenses, which was partially offset by a decrease in the cash surrender value of life insurance on key employees due to the closing of two policies. The increase in the first nine months of fiscal 2014 was due to an increase in the cash surrender value of life insurance.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decreased $691,000 in the first nine months of fiscal 2015 compared to an increase of $415,000 in the first nine months of fiscal 2014. Trade and freight payables varied in both periods due to timing of payments, fluctuations in the cost of goods and services we purchased, production volume levels and vendor payment terms.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Accrued expenses increased $348,000 in the first nine months of fiscal 2015 compared to a decrease of $1,981,000 in the first nine months of fiscal 2014. Accrued salaries included the discretionary incentive bonus accrual, which in the first nine months of both fiscal 2015 and 2014 decreased by the payout of the prior fiscal year's bonus and increased by the amount of the fiscal year's first nine months' accrual. The payout in the first nine months of fiscal 2014 was substantially higher than the payout in the first nine months of fiscal 2015. Accrued trade promotions and advertising in the first nine months of both fiscal 2015 and 2014 varied due to the timing of marketing programs. Similar to accounts payable, accrued plant expenses fluctuated due to timing of payments, changes in the cost of goods and services we purchased, production volume levels and vendor payment terms. In addition, the purchase of plant equipment previously under a capital lease reduced accrued expense in the first nine months of fiscal 2015.</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compensation increased $478,000 in the first nine months of fiscal 2015 compared to an increase of $568,000 in the first nine months of fiscal 2014. Deferred compensation balances in both periods were reduced by scheduled payouts and were increased by employee deferrals and interest earned on accumulated balances.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Pension and other postretirement liabilities increased $144,000 in the first nine months of fiscal 2015 compared to an increase of $638,000 in the first nine months of fiscal 2014. The liability for both periods was determined based on annual actuarial valuations using various assumptions. See Note 6 of the notes to condensed Consolidated Financial Statements for further discussion of our postretirement benefit obligations.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liabilities increased $167,000 in the first nine months of fiscal 2015 compared to an increase of $196,000 in the first nine months of fiscal 2014. Our mine site reclamation liability increased in the first nine months of both fiscal 2014 and 2015. A reclassification of the uncertain tax positions accrual to long-term also contributed to the increase for the first nine months of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used in investing activities was $10,622,000 in the first nine months of fiscal 2015 compared to cash used in investing activities of $10,984,000 in the first nine months of fiscal 2014. In the first nine months of fiscal 2015, cash proceeds of $903,000 were received from the closing of two life insurance policies on former key employees. In the first nine months of fiscal 2014, $12,814,000 of cash was used in the acquisition of MFM, plus an additional $191,000 was classified as restricted cash held in escrow at April 30, 2014. The final restricted cash disbursement was made and the remaining balance was returned to operating cash in the first nine months of fiscal 2015. Cash used for capital expenditures of $13,945,000 and $13,291,000 in the first nine months of fiscal 2015 and 2014, respectively, was primarily for new processing and packaging equipment as well as equipment replacement at our manufacturing facilities. Disposition of investment securities exceeded purchases by $2,161,000 and $15,221,000 in the first nine months of fiscal 2015 and 2014, respectively. Purchases and dispositions of investment securities in both periods are subject to variations in the timing of investment maturities and the operating cash needs of the Company. In the first nine months of fiscal 2014, some of the proceeds from disposition of investment securities were used for the MFM acquisition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used in financing activities was $7,476,000 in the first nine months of fiscal 2015 compared to cash used in financing activities of $7,166,000 in the first nine months of fiscal 2014. Scheduled payments on long-term debt in the first nine months of fiscal 2015 and 2014 were both $3,500,000. Dividend payments in the first nine months of fiscal 2015 were $3,937,000 compared to $3,719,000 paid during the same period of fiscal 2014 due to a dividend increase.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$1,103,000 as of April 30, 2015 were lower than the April 30, 2014 balances of $1,387,000. See further discussion in “Foreign Operations” above.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4, 2014, we signed a fourth amendment to our credit agreement with BMO Harris, to extend the term to December 4, 2019. The new agreement provides for a $25,000,0000 unsecured revolving credit agreement, including a maximum of $5,000,000 for foreign letters of credit. The remaining terms are substantially unchanged from our previous agreement with BMO Harris, including the provision that we may select a variable rate based on either the BMO Harris prime rate or a LIBOR-based rate, plus a margin which varies depending on our debt to earnings ratio, or a fixed rate as agreed between us and BMO Harris. At April 30, 2015, the variable rates would have been 3.25% for the BMO Harris prime-based rate or 1.70%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nine months ended April 30, 2015 and 2014, and we were in compliance with its covenants.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30, 2015, we had remaining authority to repurchase 305,968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Our cash requirements are subject to change as business conditions warrant and opportunities arise.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(in thousands) as of April 30, 2015 for the time-frames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4,964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26,084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3,328</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$1,506,000 during the first nine months of fiscal 2015. We estimate contributions of approximately $284,000 will be made during the remainder of fiscal 2015.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obligations is estimated based on current information. Timing of payments and actual amounts paid may be different depending on the time of receipt of goods or services, or changes to agreed-upon amounts for some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tangible property regulations ("repair regulations") released by the Internal Revenue Service in September 2013 under Sections 162(a) and 263(a)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Internal Revenue Code were effective for our tax year beginning August 1, 2014. The repair regulations provide guidance regarding the timing of deductions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capitalization of amounts paid to acquire, produce or improve tangible property. We believe our accounting policies comply with the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repair regulations and there is no material impact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Regulations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guidance under ASC 250, </w:t>
      </w:r>
      <w:r>
        <w:rPr>
          <w:rFonts w:ascii="Arial" w:cs="Arial" w:eastAsia="Arial" w:hAnsi="Arial"/>
          <w:sz w:val="18"/>
          <w:szCs w:val="18"/>
          <w:i w:val="1"/>
          <w:iCs w:val="1"/>
          <w:color w:val="auto"/>
        </w:rPr>
        <w:t>Revenue from Contract with Customers</w:t>
      </w:r>
      <w:r>
        <w:rPr>
          <w:rFonts w:ascii="Arial" w:cs="Arial" w:eastAsia="Arial" w:hAnsi="Arial"/>
          <w:sz w:val="18"/>
          <w:szCs w:val="18"/>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not permitted. This guidance will be effective at the beginning of our first quarter of fiscal 2018. We are currently evaluating the impact of the adoption of this requirement on our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ended July 31, 2017. We are currently evaluating the impact of the adoption of this requirement on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2016 and early adoption is permitted. The guidance must be applied on a retrospective basis. We are currently evaluating the impact of the adoption of this requirement on our Consolidated Financial Statements.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also issued guidance under ASC 350, </w:t>
      </w:r>
      <w:r>
        <w:rPr>
          <w:rFonts w:ascii="Arial" w:cs="Arial" w:eastAsia="Arial" w:hAnsi="Arial"/>
          <w:sz w:val="16"/>
          <w:szCs w:val="16"/>
          <w:i w:val="1"/>
          <w:iCs w:val="1"/>
          <w:color w:val="auto"/>
        </w:rPr>
        <w:t>Customer's Accounting for Fees Paid in a Cloud Computing Arrangement</w:t>
      </w:r>
      <w:r>
        <w:rPr>
          <w:rFonts w:ascii="Arial" w:cs="Arial" w:eastAsia="Arial" w:hAnsi="Arial"/>
          <w:sz w:val="16"/>
          <w:szCs w:val="16"/>
          <w:color w:val="auto"/>
        </w:rPr>
        <w:t>. The new guidance provides that if a cloud computing arrangement includes a software license, then the software license element should be accounted for consistent with the acquisition of other software licenses. If the arrangement does not include a software license, the arrangement should be accounted for as a service contract. This new guidance is effective for our first quarter of fiscal year 2016 and early adoption is permitted. Transition options include either a retrospective or prospective approach. We are currently evaluating the impact of the adoption of this requirement on our Consolidated Financial Statements.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2015, the FASB issued guidance under ASC 820, </w:t>
      </w:r>
      <w:r>
        <w:rPr>
          <w:rFonts w:ascii="Arial" w:cs="Arial" w:eastAsia="Arial" w:hAnsi="Arial"/>
          <w:sz w:val="16"/>
          <w:szCs w:val="16"/>
          <w:i w:val="1"/>
          <w:iCs w:val="1"/>
          <w:color w:val="auto"/>
        </w:rPr>
        <w:t>Disclosure for Investments in Certain Entities that Calculate Net Asset Value per Share (or Its</w:t>
      </w:r>
      <w:r>
        <w:rPr>
          <w:rFonts w:ascii="Arial" w:cs="Arial" w:eastAsia="Arial" w:hAnsi="Arial"/>
          <w:sz w:val="16"/>
          <w:szCs w:val="16"/>
          <w:color w:val="auto"/>
        </w:rPr>
        <w:t xml:space="preserve"> </w:t>
      </w:r>
      <w:r>
        <w:rPr>
          <w:rFonts w:ascii="Arial" w:cs="Arial" w:eastAsia="Arial" w:hAnsi="Arial"/>
          <w:sz w:val="16"/>
          <w:szCs w:val="16"/>
          <w:i w:val="1"/>
          <w:iCs w:val="1"/>
          <w:color w:val="auto"/>
        </w:rPr>
        <w:t>Equivalent)</w:t>
      </w:r>
      <w:r>
        <w:rPr>
          <w:rFonts w:ascii="Arial" w:cs="Arial" w:eastAsia="Arial" w:hAnsi="Arial"/>
          <w:sz w:val="16"/>
          <w:szCs w:val="16"/>
          <w:color w:val="auto"/>
        </w:rPr>
        <w:t>. The new guidance provides that investments for which fair value is measured at net asset value per share (or its equivalent) using the practical</w:t>
      </w:r>
      <w:r>
        <w:rPr>
          <w:rFonts w:ascii="Arial" w:cs="Arial" w:eastAsia="Arial" w:hAnsi="Arial"/>
          <w:sz w:val="16"/>
          <w:szCs w:val="16"/>
          <w:i w:val="1"/>
          <w:iCs w:val="1"/>
          <w:color w:val="auto"/>
        </w:rPr>
        <w:t xml:space="preserve"> </w:t>
      </w:r>
      <w:r>
        <w:rPr>
          <w:rFonts w:ascii="Arial" w:cs="Arial" w:eastAsia="Arial" w:hAnsi="Arial"/>
          <w:sz w:val="16"/>
          <w:szCs w:val="16"/>
          <w:color w:val="auto"/>
        </w:rPr>
        <w:t>expedient should not be categorized in the fair value hierarchy; however, information on such investments should continue to be disclosed to help users understand the nature and risks of the investments and whether the investments, if sold, are probable of being sold at amounts different from net asset value. This new guidance is effective for our first quarter of fiscal year 2016 and early adoption is permitted. The guidance must be applied retrospectively to all periods presented. We are currently evaluating the impact of the adoption of this requirement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foreign currency fluctuation risk, primarily the U.S. Dollar relative to the British Pound, Euro, Canadian Dollar, Chinese Yuan Renminbi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sales or net income. In addition, the portion of our consolidated accounts receivable denominated in foreign currencies is not significant. Finally, foreign sales of our products may be influenced by the relative strength of the U.S. Dollar compared to various other currencies, which makes our products relatively more or less expensive than our foreign competitors' products in local marketplaces. Foreign currency fluctuations had some bearing on our operating results in the first nine months of fiscal 2015; however, historically the overall foreign currency fluctuation risk has not been material to our Consolidated Financial Statements and we did not enter into any hedge contracts in an attempt to offset any adverse effect of changes in currency exchange rates.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2015. We continue to purchase natural gas at spot rates on a month to month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fiscal quarter ended April 30, 2015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April 30, 2015,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1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Ended April 30, 2015</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2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 2015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28, 2015</w:t>
            </w:r>
          </w:p>
        </w:tc>
        <w:tc>
          <w:tcPr>
            <w:tcW w:w="24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309,613</w:t>
            </w:r>
          </w:p>
        </w:tc>
      </w:tr>
      <w:tr>
        <w:trPr>
          <w:trHeight w:val="22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March 1, 2015 to March</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31, 2015</w:t>
            </w:r>
          </w:p>
        </w:tc>
        <w:tc>
          <w:tcPr>
            <w:tcW w:w="120" w:type="dxa"/>
            <w:vAlign w:val="bottom"/>
          </w:tcPr>
          <w:p>
            <w:pPr>
              <w:spacing w:after="0"/>
              <w:rPr>
                <w:sz w:val="20"/>
                <w:szCs w:val="20"/>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309,613</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2015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2015</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3,645</w:t>
            </w: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$33.60</w:t>
            </w:r>
          </w:p>
        </w:tc>
        <w:tc>
          <w:tcPr>
            <w:tcW w:w="20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3,645</w:t>
            </w: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305,968</w:t>
            </w: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2" w:lineRule="auto"/>
        <w:tabs>
          <w:tab w:leader="none" w:pos="108"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8 of the notes to the Consolidated Financial Statements included in our Annual Report on Form 10-K for the fiscal year ended July 31, 2014 filed with the SEC.</w:t>
      </w:r>
    </w:p>
    <w:p>
      <w:pPr>
        <w:spacing w:after="0" w:line="202" w:lineRule="exact"/>
        <w:rPr>
          <w:sz w:val="20"/>
          <w:szCs w:val="20"/>
          <w:color w:val="auto"/>
        </w:rPr>
      </w:pPr>
    </w:p>
    <w:p>
      <w:pPr>
        <w:jc w:val="both"/>
        <w:ind w:firstLine="8"/>
        <w:spacing w:after="0" w:line="232" w:lineRule="auto"/>
        <w:tabs>
          <w:tab w:leader="none" w:pos="112"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repurchases of 250,000 shares on March 11, 2011 and authorized the repurchase of an additional 250,000 shares on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spacing w:after="0" w:line="185" w:lineRule="auto"/>
        <w:framePr w:w="1700" w:h="160" w:wrap="auto" w:vAnchor="page" w:hAnchor="page" w:x="200" w:y="601"/>
        <w:rPr>
          <w:rFonts w:ascii="Arial" w:cs="Arial" w:eastAsia="Arial" w:hAnsi="Arial"/>
          <w:sz w:val="18"/>
          <w:szCs w:val="18"/>
          <w:b w:val="1"/>
          <w:bCs w:val="1"/>
          <w:color w:val="auto"/>
        </w:rPr>
      </w:pPr>
      <w:r>
        <w:rPr>
          <w:rFonts w:ascii="Arial" w:cs="Arial" w:eastAsia="Arial" w:hAnsi="Arial"/>
          <w:sz w:val="18"/>
          <w:szCs w:val="18"/>
          <w:b w:val="1"/>
          <w:bCs w:val="1"/>
          <w:color w:val="auto"/>
        </w:rPr>
        <w:t>ITEM 6. EXHIBITS</w:t>
      </w:r>
    </w:p>
    <w:p>
      <w:pPr>
        <w:spacing w:after="0" w:line="196" w:lineRule="auto"/>
        <w:framePr w:w="620" w:h="160" w:wrap="auto" w:vAnchor="page" w:hAnchor="page" w:x="460" w:y="1195"/>
        <w:rPr>
          <w:rFonts w:ascii="Arial" w:cs="Arial" w:eastAsia="Arial" w:hAnsi="Arial"/>
          <w:sz w:val="17"/>
          <w:szCs w:val="17"/>
          <w:b w:val="1"/>
          <w:bCs w:val="1"/>
          <w:color w:val="auto"/>
        </w:rPr>
      </w:pPr>
      <w:r>
        <w:rPr>
          <w:rFonts w:ascii="Arial" w:cs="Arial" w:eastAsia="Arial" w:hAnsi="Arial"/>
          <w:sz w:val="17"/>
          <w:szCs w:val="17"/>
          <w:b w:val="1"/>
          <w:bCs w:val="1"/>
          <w:color w:val="auto"/>
        </w:rPr>
        <w:t>Exhibit</w:t>
      </w:r>
    </w:p>
    <w:p>
      <w:pPr>
        <w:spacing w:after="0" w:line="209" w:lineRule="auto"/>
        <w:framePr w:w="340" w:h="160" w:wrap="auto" w:vAnchor="page" w:hAnchor="page" w:x="600" w:y="1411"/>
        <w:rPr>
          <w:rFonts w:ascii="Arial" w:cs="Arial" w:eastAsia="Arial" w:hAnsi="Arial"/>
          <w:sz w:val="18"/>
          <w:szCs w:val="18"/>
          <w:b w:val="1"/>
          <w:bCs w:val="1"/>
          <w:color w:val="auto"/>
        </w:rPr>
      </w:pPr>
      <w:r>
        <w:rPr>
          <w:rFonts w:ascii="Arial" w:cs="Arial" w:eastAsia="Arial" w:hAnsi="Arial"/>
          <w:sz w:val="18"/>
          <w:szCs w:val="18"/>
          <w:b w:val="1"/>
          <w:bCs w:val="1"/>
          <w:color w:val="auto"/>
        </w:rPr>
        <w:t>No.</w:t>
      </w:r>
    </w:p>
    <w:p>
      <w:pPr>
        <w:spacing w:after="0" w:line="209" w:lineRule="auto"/>
        <w:framePr w:w="920" w:h="160" w:wrap="auto" w:vAnchor="page" w:hAnchor="page" w:x="3740" w:y="1411"/>
        <w:rPr>
          <w:rFonts w:ascii="Arial" w:cs="Arial" w:eastAsia="Arial" w:hAnsi="Arial"/>
          <w:sz w:val="16"/>
          <w:szCs w:val="16"/>
          <w:b w:val="1"/>
          <w:bCs w:val="1"/>
          <w:color w:val="auto"/>
        </w:rPr>
      </w:pPr>
      <w:r>
        <w:rPr>
          <w:rFonts w:ascii="Arial" w:cs="Arial" w:eastAsia="Arial" w:hAnsi="Arial"/>
          <w:sz w:val="16"/>
          <w:szCs w:val="16"/>
          <w:b w:val="1"/>
          <w:bCs w:val="1"/>
          <w:color w:val="auto"/>
        </w:rPr>
        <w:t>Description</w:t>
      </w:r>
    </w:p>
    <w:p>
      <w:pPr>
        <w:spacing w:after="0" w:line="218" w:lineRule="auto"/>
        <w:framePr w:w="6100" w:h="376" w:wrap="auto" w:vAnchor="page" w:hAnchor="page" w:x="900" w:y="1965"/>
        <w:rPr>
          <w:rFonts w:ascii="Arial" w:cs="Arial" w:eastAsia="Arial" w:hAnsi="Arial"/>
          <w:sz w:val="18"/>
          <w:szCs w:val="18"/>
          <w:b w:val="1"/>
          <w:bCs w:val="1"/>
          <w:color w:val="auto"/>
        </w:rPr>
      </w:pPr>
      <w:r>
        <w:rPr>
          <w:rFonts w:ascii="Arial" w:cs="Arial" w:eastAsia="Arial" w:hAnsi="Arial"/>
          <w:sz w:val="18"/>
          <w:szCs w:val="18"/>
          <w:b w:val="1"/>
          <w:bCs w:val="1"/>
          <w:color w:val="auto"/>
        </w:rPr>
        <w:t>10.1 Letter Agreement, dated as of April 23, 2015, between Oil-Dri Corporation of America and Paul D. Ziemnisky, Jr.*</w:t>
      </w:r>
    </w:p>
    <w:p>
      <w:pPr>
        <w:spacing w:after="0" w:line="209" w:lineRule="auto"/>
        <w:framePr w:w="4020" w:h="160" w:wrap="auto" w:vAnchor="page" w:hAnchor="page" w:x="1040" w:y="2573"/>
        <w:rPr>
          <w:rFonts w:ascii="Arial" w:cs="Arial" w:eastAsia="Arial" w:hAnsi="Arial"/>
          <w:sz w:val="16"/>
          <w:szCs w:val="16"/>
          <w:b w:val="1"/>
          <w:bCs w:val="1"/>
          <w:color w:val="auto"/>
        </w:rPr>
      </w:pPr>
      <w:r>
        <w:rPr>
          <w:rFonts w:ascii="Arial" w:cs="Arial" w:eastAsia="Arial" w:hAnsi="Arial"/>
          <w:sz w:val="16"/>
          <w:szCs w:val="16"/>
          <w:b w:val="1"/>
          <w:bCs w:val="1"/>
          <w:color w:val="auto"/>
        </w:rPr>
        <w:t>11  Statement re: Computation of Earnings per Share.</w:t>
      </w:r>
    </w:p>
    <w:p>
      <w:pPr>
        <w:spacing w:after="0" w:line="209" w:lineRule="auto"/>
        <w:framePr w:w="3460" w:h="160" w:wrap="auto" w:vAnchor="page" w:hAnchor="page" w:x="1040" w:y="3113"/>
        <w:rPr>
          <w:rFonts w:ascii="Arial" w:cs="Arial" w:eastAsia="Arial" w:hAnsi="Arial"/>
          <w:sz w:val="16"/>
          <w:szCs w:val="16"/>
          <w:b w:val="1"/>
          <w:bCs w:val="1"/>
          <w:color w:val="auto"/>
        </w:rPr>
      </w:pPr>
      <w:r>
        <w:rPr>
          <w:rFonts w:ascii="Arial" w:cs="Arial" w:eastAsia="Arial" w:hAnsi="Arial"/>
          <w:sz w:val="16"/>
          <w:szCs w:val="16"/>
          <w:b w:val="1"/>
          <w:bCs w:val="1"/>
          <w:color w:val="auto"/>
        </w:rPr>
        <w:t>31  Certifications pursuant to Rule 13a–14(a).</w:t>
      </w:r>
    </w:p>
    <w:p>
      <w:pPr>
        <w:spacing w:after="0" w:line="209" w:lineRule="auto"/>
        <w:framePr w:w="5840" w:h="160" w:wrap="auto" w:vAnchor="page" w:hAnchor="page" w:x="1040" w:y="3653"/>
        <w:rPr>
          <w:rFonts w:ascii="Arial" w:cs="Arial" w:eastAsia="Arial" w:hAnsi="Arial"/>
          <w:sz w:val="16"/>
          <w:szCs w:val="16"/>
          <w:b w:val="1"/>
          <w:bCs w:val="1"/>
          <w:color w:val="auto"/>
        </w:rPr>
      </w:pPr>
      <w:r>
        <w:rPr>
          <w:rFonts w:ascii="Arial" w:cs="Arial" w:eastAsia="Arial" w:hAnsi="Arial"/>
          <w:sz w:val="16"/>
          <w:szCs w:val="16"/>
          <w:b w:val="1"/>
          <w:bCs w:val="1"/>
          <w:color w:val="auto"/>
        </w:rPr>
        <w:t>32  Certifications pursuant to Section 1350 of the Sarbanes-Oxley Act of 2002.</w:t>
      </w:r>
    </w:p>
    <w:p>
      <w:pPr>
        <w:spacing w:after="0" w:line="209" w:lineRule="auto"/>
        <w:framePr w:w="2180" w:h="160" w:wrap="auto" w:vAnchor="page" w:hAnchor="page" w:x="1060" w:y="4193"/>
        <w:rPr>
          <w:rFonts w:ascii="Arial" w:cs="Arial" w:eastAsia="Arial" w:hAnsi="Arial"/>
          <w:sz w:val="16"/>
          <w:szCs w:val="16"/>
          <w:b w:val="1"/>
          <w:bCs w:val="1"/>
          <w:color w:val="auto"/>
        </w:rPr>
      </w:pPr>
      <w:r>
        <w:rPr>
          <w:rFonts w:ascii="Arial" w:cs="Arial" w:eastAsia="Arial" w:hAnsi="Arial"/>
          <w:sz w:val="16"/>
          <w:szCs w:val="16"/>
          <w:b w:val="1"/>
          <w:bCs w:val="1"/>
          <w:color w:val="auto"/>
        </w:rPr>
        <w:t>95  Mine Safety Disclosures</w:t>
      </w:r>
    </w:p>
    <w:p>
      <w:pPr>
        <w:spacing w:after="0" w:line="209" w:lineRule="auto"/>
        <w:framePr w:w="3560" w:h="160" w:wrap="auto" w:vAnchor="page" w:hAnchor="page" w:x="640" w:y="4585"/>
        <w:rPr>
          <w:rFonts w:ascii="Arial" w:cs="Arial" w:eastAsia="Arial" w:hAnsi="Arial"/>
          <w:sz w:val="16"/>
          <w:szCs w:val="16"/>
          <w:b w:val="1"/>
          <w:bCs w:val="1"/>
          <w:color w:val="auto"/>
        </w:rPr>
      </w:pPr>
      <w:r>
        <w:rPr>
          <w:rFonts w:ascii="Arial" w:cs="Arial" w:eastAsia="Arial" w:hAnsi="Arial"/>
          <w:sz w:val="16"/>
          <w:szCs w:val="16"/>
          <w:b w:val="1"/>
          <w:bCs w:val="1"/>
          <w:color w:val="auto"/>
        </w:rPr>
        <w:t>101.INS  XBRL Taxonomy Instance Document</w:t>
      </w:r>
    </w:p>
    <w:p>
      <w:pPr>
        <w:spacing w:after="0" w:line="209" w:lineRule="auto"/>
        <w:framePr w:w="4360" w:h="160" w:wrap="auto" w:vAnchor="page" w:hAnchor="page" w:x="560" w:y="4977"/>
        <w:rPr>
          <w:rFonts w:ascii="Arial" w:cs="Arial" w:eastAsia="Arial" w:hAnsi="Arial"/>
          <w:sz w:val="16"/>
          <w:szCs w:val="16"/>
          <w:b w:val="1"/>
          <w:bCs w:val="1"/>
          <w:color w:val="auto"/>
        </w:rPr>
      </w:pPr>
      <w:r>
        <w:rPr>
          <w:rFonts w:ascii="Arial" w:cs="Arial" w:eastAsia="Arial" w:hAnsi="Arial"/>
          <w:sz w:val="16"/>
          <w:szCs w:val="16"/>
          <w:b w:val="1"/>
          <w:bCs w:val="1"/>
          <w:color w:val="auto"/>
        </w:rPr>
        <w:t>101.SCH  XBRL Taxonomy Extension Schema Document</w:t>
      </w:r>
    </w:p>
    <w:p>
      <w:pPr>
        <w:spacing w:after="0" w:line="196" w:lineRule="auto"/>
        <w:framePr w:w="5360" w:h="160" w:wrap="auto" w:vAnchor="page" w:hAnchor="page" w:x="540" w:y="5368"/>
        <w:rPr>
          <w:rFonts w:ascii="Arial" w:cs="Arial" w:eastAsia="Arial" w:hAnsi="Arial"/>
          <w:sz w:val="17"/>
          <w:szCs w:val="17"/>
          <w:b w:val="1"/>
          <w:bCs w:val="1"/>
          <w:color w:val="auto"/>
        </w:rPr>
      </w:pPr>
      <w:r>
        <w:rPr>
          <w:rFonts w:ascii="Arial" w:cs="Arial" w:eastAsia="Arial" w:hAnsi="Arial"/>
          <w:sz w:val="17"/>
          <w:szCs w:val="17"/>
          <w:b w:val="1"/>
          <w:bCs w:val="1"/>
          <w:color w:val="auto"/>
        </w:rPr>
        <w:t>101.CAL  XBRL Taxonomy Extension Calculation Linkbase Document</w:t>
      </w:r>
    </w:p>
    <w:p>
      <w:pPr>
        <w:spacing w:after="0" w:line="196" w:lineRule="auto"/>
        <w:framePr w:w="5240" w:h="160" w:wrap="auto" w:vAnchor="page" w:hAnchor="page" w:x="560" w:y="5760"/>
        <w:rPr>
          <w:rFonts w:ascii="Arial" w:cs="Arial" w:eastAsia="Arial" w:hAnsi="Arial"/>
          <w:sz w:val="17"/>
          <w:szCs w:val="17"/>
          <w:b w:val="1"/>
          <w:bCs w:val="1"/>
          <w:color w:val="auto"/>
        </w:rPr>
      </w:pPr>
      <w:r>
        <w:rPr>
          <w:rFonts w:ascii="Arial" w:cs="Arial" w:eastAsia="Arial" w:hAnsi="Arial"/>
          <w:sz w:val="17"/>
          <w:szCs w:val="17"/>
          <w:b w:val="1"/>
          <w:bCs w:val="1"/>
          <w:color w:val="auto"/>
        </w:rPr>
        <w:t>101.DEF  XBRL Taxonomy Extension Definition Linkbase Document</w:t>
      </w:r>
    </w:p>
    <w:p>
      <w:pPr>
        <w:spacing w:after="0" w:line="209" w:lineRule="auto"/>
        <w:framePr w:w="5000" w:h="160" w:wrap="auto" w:vAnchor="page" w:hAnchor="page" w:x="540" w:y="6151"/>
        <w:rPr>
          <w:rFonts w:ascii="Arial" w:cs="Arial" w:eastAsia="Arial" w:hAnsi="Arial"/>
          <w:sz w:val="16"/>
          <w:szCs w:val="16"/>
          <w:b w:val="1"/>
          <w:bCs w:val="1"/>
          <w:color w:val="auto"/>
        </w:rPr>
      </w:pPr>
      <w:r>
        <w:rPr>
          <w:rFonts w:ascii="Arial" w:cs="Arial" w:eastAsia="Arial" w:hAnsi="Arial"/>
          <w:sz w:val="16"/>
          <w:szCs w:val="16"/>
          <w:b w:val="1"/>
          <w:bCs w:val="1"/>
          <w:color w:val="auto"/>
        </w:rPr>
        <w:t>101.LAB  XBRL Taxonomy Extension Labels Linkbase Document</w:t>
      </w:r>
    </w:p>
    <w:p>
      <w:pPr>
        <w:ind w:firstLine="395"/>
        <w:spacing w:after="0" w:line="404" w:lineRule="auto"/>
        <w:framePr w:w="4960" w:h="620" w:wrap="auto" w:vAnchor="page" w:hAnchor="page" w:x="200" w:y="6543"/>
        <w:rPr>
          <w:rFonts w:ascii="Arial" w:cs="Arial" w:eastAsia="Arial" w:hAnsi="Arial"/>
          <w:sz w:val="16"/>
          <w:szCs w:val="16"/>
          <w:b w:val="1"/>
          <w:bCs w:val="1"/>
          <w:color w:val="auto"/>
        </w:rPr>
      </w:pPr>
      <w:r>
        <w:rPr>
          <w:rFonts w:ascii="Arial" w:cs="Arial" w:eastAsia="Arial" w:hAnsi="Arial"/>
          <w:sz w:val="16"/>
          <w:szCs w:val="16"/>
          <w:b w:val="1"/>
          <w:bCs w:val="1"/>
          <w:color w:val="auto"/>
        </w:rPr>
        <w:t>101.PRE XBRL Taxonomy Extension Presentation Linkbase * Management contract or compensatory plan or arrangement.</w:t>
      </w:r>
    </w:p>
    <w:p>
      <w:pPr>
        <w:ind w:firstLine="395"/>
        <w:spacing w:after="0" w:line="209" w:lineRule="auto"/>
        <w:framePr w:w="260" w:h="160" w:wrap="auto" w:vAnchor="page" w:hAnchor="page" w:x="5820" w:y="7461"/>
        <w:rPr>
          <w:rFonts w:ascii="Arial" w:cs="Arial" w:eastAsia="Arial" w:hAnsi="Arial"/>
          <w:sz w:val="16"/>
          <w:szCs w:val="16"/>
          <w:b w:val="1"/>
          <w:bCs w:val="1"/>
          <w:color w:val="auto"/>
        </w:rPr>
      </w:pPr>
      <w:r>
        <w:rPr>
          <w:rFonts w:ascii="Arial" w:cs="Arial" w:eastAsia="Arial" w:hAnsi="Arial"/>
          <w:sz w:val="16"/>
          <w:szCs w:val="16"/>
          <w:b w:val="1"/>
          <w:bCs w:val="1"/>
          <w:color w:val="auto"/>
        </w:rPr>
        <w:t>30</w:t>
      </w:r>
    </w:p>
    <w:p>
      <w:pPr>
        <w:jc w:val="right"/>
        <w:ind w:right="139"/>
        <w:spacing w:after="0"/>
        <w:rPr>
          <w:sz w:val="20"/>
          <w:szCs w:val="20"/>
          <w:color w:val="auto"/>
        </w:rPr>
      </w:pPr>
      <w:r>
        <w:rPr>
          <w:rFonts w:ascii="Arial" w:cs="Arial" w:eastAsia="Arial" w:hAnsi="Arial"/>
          <w:sz w:val="18"/>
          <w:szCs w:val="18"/>
          <w:color w:val="auto"/>
        </w:rPr>
        <w:t>SEC Document Reference</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4"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pacing w:after="0" w:line="333"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pacing w:after="0" w:line="333"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Furnished herewith.</w:t>
      </w:r>
    </w:p>
    <w:p>
      <w:pPr>
        <w:spacing w:after="0" w:line="333"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6"/>
          <w:szCs w:val="16"/>
          <w:b w:val="1"/>
          <w:bCs w:val="1"/>
          <w:color w:val="auto"/>
        </w:rPr>
      </w:pPr>
    </w:p>
    <w:p>
      <w:pPr>
        <w:ind w:left="568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9019"/>
          </w:cols>
          <w:pgMar w:left="1440" w:top="1395"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2015</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20"/>
          </w:cols>
          <w:pgMar w:left="580" w:top="584" w:right="999" w:bottom="1440" w:gutter="0" w:footer="0" w:header="0"/>
        </w:sectPr>
      </w:pPr>
    </w:p>
    <w:bookmarkStart w:id="31" w:name="page32"/>
    <w:bookmarkEnd w:id="31"/>
    <w:tbl>
      <w:tblPr>
        <w:tblLayout w:type="fixed"/>
        <w:tblInd w:w="30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680" w:type="dxa"/>
            <w:vAlign w:val="bottom"/>
          </w:tcPr>
          <w:p>
            <w:pPr>
              <w:ind w:left="382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160" w:type="dxa"/>
            <w:vAlign w:val="bottom"/>
          </w:tcPr>
          <w:p>
            <w:pPr>
              <w:jc w:val="right"/>
              <w:ind w:right="110"/>
              <w:spacing w:after="0"/>
              <w:rPr>
                <w:sz w:val="20"/>
                <w:szCs w:val="20"/>
                <w:color w:val="auto"/>
              </w:rPr>
            </w:pPr>
            <w:r>
              <w:rPr>
                <w:rFonts w:ascii="Arial" w:cs="Arial" w:eastAsia="Arial" w:hAnsi="Arial"/>
                <w:sz w:val="18"/>
                <w:szCs w:val="18"/>
                <w:color w:val="auto"/>
              </w:rPr>
              <w:t>Exhibit No.</w:t>
            </w:r>
          </w:p>
        </w:tc>
        <w:tc>
          <w:tcPr>
            <w:tcW w:w="9680" w:type="dxa"/>
            <w:vAlign w:val="bottom"/>
          </w:tcPr>
          <w:p>
            <w:pPr>
              <w:ind w:left="4480"/>
              <w:spacing w:after="0"/>
              <w:rPr>
                <w:sz w:val="20"/>
                <w:szCs w:val="20"/>
                <w:color w:val="auto"/>
              </w:rPr>
            </w:pPr>
            <w:r>
              <w:rPr>
                <w:rFonts w:ascii="Arial" w:cs="Arial" w:eastAsia="Arial" w:hAnsi="Arial"/>
                <w:sz w:val="18"/>
                <w:szCs w:val="18"/>
                <w:color w:val="auto"/>
              </w:rPr>
              <w:t>Description</w:t>
            </w:r>
          </w:p>
        </w:tc>
      </w:tr>
      <w:tr>
        <w:trPr>
          <w:trHeight w:val="34"/>
        </w:trPr>
        <w:tc>
          <w:tcPr>
            <w:tcW w:w="1160" w:type="dxa"/>
            <w:vAlign w:val="bottom"/>
            <w:tcBorders>
              <w:bottom w:val="single" w:sz="8" w:color="auto"/>
            </w:tcBorders>
          </w:tcPr>
          <w:p>
            <w:pPr>
              <w:spacing w:after="0"/>
              <w:rPr>
                <w:sz w:val="2"/>
                <w:szCs w:val="2"/>
                <w:color w:val="auto"/>
              </w:rPr>
            </w:pPr>
          </w:p>
        </w:tc>
        <w:tc>
          <w:tcPr>
            <w:tcW w:w="9680" w:type="dxa"/>
            <w:vAlign w:val="bottom"/>
            <w:tcBorders>
              <w:bottom w:val="single" w:sz="8" w:color="auto"/>
            </w:tcBorders>
          </w:tcPr>
          <w:p>
            <w:pPr>
              <w:spacing w:after="0"/>
              <w:rPr>
                <w:sz w:val="2"/>
                <w:szCs w:val="2"/>
                <w:color w:val="auto"/>
              </w:rPr>
            </w:pPr>
          </w:p>
        </w:tc>
      </w:tr>
      <w:tr>
        <w:trPr>
          <w:trHeight w:val="513"/>
        </w:trPr>
        <w:tc>
          <w:tcPr>
            <w:tcW w:w="11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9680" w:type="dxa"/>
            <w:vAlign w:val="bottom"/>
          </w:tcPr>
          <w:p>
            <w:pPr>
              <w:ind w:left="160"/>
              <w:spacing w:after="0"/>
              <w:rPr>
                <w:sz w:val="20"/>
                <w:szCs w:val="20"/>
                <w:color w:val="auto"/>
              </w:rPr>
            </w:pPr>
            <w:r>
              <w:rPr>
                <w:rFonts w:ascii="Arial" w:cs="Arial" w:eastAsia="Arial" w:hAnsi="Arial"/>
                <w:sz w:val="18"/>
                <w:szCs w:val="18"/>
                <w:color w:val="auto"/>
              </w:rPr>
              <w:t>Letter Agreement, dated as of April 23, 2015, between Oil-Dri Corporation of America and Paul D. Ziemnisky, Jr.*</w:t>
            </w:r>
          </w:p>
        </w:tc>
      </w:tr>
    </w:tbl>
    <w:p>
      <w:pPr>
        <w:spacing w:after="0" w:line="377" w:lineRule="exact"/>
        <w:rPr>
          <w:sz w:val="20"/>
          <w:szCs w:val="20"/>
          <w:color w:val="auto"/>
        </w:rPr>
      </w:pPr>
    </w:p>
    <w:p>
      <w:pPr>
        <w:ind w:left="1620" w:hanging="5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13, 2015</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Paul D. Ziemnisky,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Dear Paul: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is an agreement (“Agreement”) between Paul D. Ziemnisky, Jr. (hereinafter referred to as “You”) and Oil-Dri Corporation of America (hereinafter referred to as “Oil-Dri” or “the Company”) regarding your separation of employment from Oil-Dri. The purpose of this Agreement is to provide for an orderly departure under terms which are mutually acceptable to both parties and protection for the Company from any and all claims by You against the Company other than those based on this Agreement. Therefore, in consideration of the mutual promises set forth in this Agreement, You and Oil-Dri agree to the following terms and conditions:</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Your employment with Oil-Dri will terminate on April 13, 2015.</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You are not otherwise entitled to receive any severance pay from Oil-Dri, in exchange for your promises contained in this Agreement, Oil-Dri agrees to give You severance compensation as stated below.</w:t>
      </w:r>
    </w:p>
    <w:p>
      <w:pPr>
        <w:spacing w:after="0" w:line="62" w:lineRule="exact"/>
        <w:rPr>
          <w:rFonts w:ascii="Arial" w:cs="Arial" w:eastAsia="Arial" w:hAnsi="Arial"/>
          <w:sz w:val="18"/>
          <w:szCs w:val="18"/>
          <w:color w:val="auto"/>
        </w:rPr>
      </w:pPr>
    </w:p>
    <w:p>
      <w:pPr>
        <w:ind w:left="660" w:right="440"/>
        <w:spacing w:after="0" w:line="264" w:lineRule="auto"/>
        <w:rPr>
          <w:rFonts w:ascii="Arial" w:cs="Arial" w:eastAsia="Arial" w:hAnsi="Arial"/>
          <w:sz w:val="18"/>
          <w:szCs w:val="18"/>
          <w:color w:val="auto"/>
        </w:rPr>
      </w:pPr>
      <w:r>
        <w:rPr>
          <w:rFonts w:ascii="Arial" w:cs="Arial" w:eastAsia="Arial" w:hAnsi="Arial"/>
          <w:sz w:val="18"/>
          <w:szCs w:val="18"/>
          <w:color w:val="auto"/>
        </w:rPr>
        <w:t>In exchange for your signature on this Agreement and your acceptance of a new Non-Competition Agreement and a new Non-Disclosure Agreement, Oil-Dri will pay You severance equal to three (3) months of your base salary for a total gross payment of $53,750.04, less required withholding. These payments will run through July 15, 2015.</w:t>
      </w:r>
    </w:p>
    <w:p>
      <w:pPr>
        <w:spacing w:after="0" w:line="73"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If you still remain unemployed after July 15, 2015, you will receive up to a maximum of an additional three (3) months of severance. However, these severance payments will cease immediately at any time during these additional three (3) months if you become employed.</w:t>
      </w:r>
    </w:p>
    <w:p>
      <w:pPr>
        <w:spacing w:after="0" w:line="38" w:lineRule="exact"/>
        <w:rPr>
          <w:rFonts w:ascii="Arial" w:cs="Arial" w:eastAsia="Arial" w:hAnsi="Arial"/>
          <w:sz w:val="18"/>
          <w:szCs w:val="18"/>
          <w:color w:val="auto"/>
        </w:rPr>
      </w:pPr>
    </w:p>
    <w:p>
      <w:pPr>
        <w:ind w:left="660" w:right="120"/>
        <w:spacing w:after="0" w:line="264" w:lineRule="auto"/>
        <w:rPr>
          <w:rFonts w:ascii="Arial" w:cs="Arial" w:eastAsia="Arial" w:hAnsi="Arial"/>
          <w:sz w:val="18"/>
          <w:szCs w:val="18"/>
          <w:color w:val="auto"/>
        </w:rPr>
      </w:pPr>
      <w:r>
        <w:rPr>
          <w:rFonts w:ascii="Arial" w:cs="Arial" w:eastAsia="Arial" w:hAnsi="Arial"/>
          <w:sz w:val="18"/>
          <w:szCs w:val="18"/>
          <w:color w:val="auto"/>
        </w:rPr>
        <w:t>All payments will be made semi-monthly on the Company’s normal payroll dates. Such payments will not commence until the eighth day after You sign this Agreement. The last paydate of severance compensation will be July 15, 2015, unless payments end earlier as provided in paragraph number fifteen (15) of this Agreement, or unless payments end later as outlined in the previous paragraph.</w:t>
      </w:r>
    </w:p>
    <w:p>
      <w:pPr>
        <w:spacing w:after="0" w:line="73" w:lineRule="exact"/>
        <w:rPr>
          <w:rFonts w:ascii="Arial" w:cs="Arial" w:eastAsia="Arial" w:hAnsi="Arial"/>
          <w:sz w:val="18"/>
          <w:szCs w:val="18"/>
          <w:color w:val="auto"/>
        </w:rPr>
      </w:pPr>
    </w:p>
    <w:p>
      <w:pPr>
        <w:ind w:left="660" w:right="140"/>
        <w:spacing w:after="0" w:line="264" w:lineRule="auto"/>
        <w:rPr>
          <w:rFonts w:ascii="Arial" w:cs="Arial" w:eastAsia="Arial" w:hAnsi="Arial"/>
          <w:sz w:val="18"/>
          <w:szCs w:val="18"/>
          <w:color w:val="auto"/>
        </w:rPr>
      </w:pPr>
      <w:r>
        <w:rPr>
          <w:rFonts w:ascii="Arial" w:cs="Arial" w:eastAsia="Arial" w:hAnsi="Arial"/>
          <w:sz w:val="18"/>
          <w:szCs w:val="18"/>
          <w:color w:val="auto"/>
        </w:rPr>
        <w:t>Oil-Dri will you pay for your counsel and reasonable defense costs in any pending third party litigation naming You, to the extent that You agree to be represented by counsel of Oil-Dri’s choosing, including counsel also representing Oil-Dri, and cooperate in the defense of Oil-Dri, including appearing at deposition and trial if that is necessary.</w:t>
      </w:r>
    </w:p>
    <w:p>
      <w:pPr>
        <w:spacing w:after="0" w:line="181" w:lineRule="exact"/>
        <w:rPr>
          <w:rFonts w:ascii="Arial" w:cs="Arial" w:eastAsia="Arial" w:hAnsi="Arial"/>
          <w:sz w:val="18"/>
          <w:szCs w:val="18"/>
          <w:color w:val="auto"/>
        </w:rPr>
      </w:pPr>
    </w:p>
    <w:p>
      <w:pPr>
        <w:ind w:left="660" w:hanging="328"/>
        <w:spacing w:after="0" w:line="26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wages, vacation pay and other benefits due to You as of your separation date according to the established policies, plans, and procedures of the Company will be paid to You in accordance with the terms of those established policies, plans, and procedures. In addition, any benefit continuation rights or benefit conversion rights existing under the established plans of the Company will be made available to You in accordance with the terms of such established plans. You will receive a separate letter with details concerning your benefits upon separation.</w:t>
      </w:r>
    </w:p>
    <w:p>
      <w:pPr>
        <w:spacing w:after="0" w:line="2" w:lineRule="exact"/>
        <w:rPr>
          <w:rFonts w:ascii="Arial" w:cs="Arial" w:eastAsia="Arial" w:hAnsi="Arial"/>
          <w:sz w:val="17"/>
          <w:szCs w:val="17"/>
          <w:color w:val="auto"/>
        </w:rPr>
      </w:pPr>
    </w:p>
    <w:p>
      <w:pPr>
        <w:ind w:left="660" w:right="16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You understand and agree that severance compensation under paragraph number two (2) above will end upon your application for unemployment compensation benefits. If Oil-Dri stops paying severance compensation because of your application for unemployment compensation benefits, that will have no effect upon the release provided in paragraph number five (5) below and the release shall remain in full force and effect.</w:t>
      </w:r>
    </w:p>
    <w:p>
      <w:pPr>
        <w:spacing w:after="0" w:line="155" w:lineRule="exact"/>
        <w:rPr>
          <w:rFonts w:ascii="Arial" w:cs="Arial" w:eastAsia="Arial" w:hAnsi="Arial"/>
          <w:sz w:val="16"/>
          <w:szCs w:val="16"/>
          <w:color w:val="auto"/>
        </w:rPr>
      </w:pPr>
    </w:p>
    <w:p>
      <w:pPr>
        <w:ind w:left="660" w:right="2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consideration for receiving the severance compensation described in paragraph number two (2) above, You waive and release and promise never to assert any claims or causes of action, whether or not now known, against the Company or its acquisitions, predecessors, successors, or past or present subsidiaries, officers, directors, agents, employees, assigns and employee benefit plans, with respect to any matter, including but not limited to, any matter related to your employment with the Company or the termination of that employment. This means, among other things, that You waive any right to assert any claim or complaint against the Company, including, but not limited to, tort claims; claims of wrongful discharge, emotional distress, defamation, fraud, or breach of contract; claims for attorney’s fees; any claims of discrimination or harassment based on sex, age, race, color, national origin, ancestry, religious creed, disability, sexual orientation, marital status, present or past history of physical or mental disability 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33" w:name="page34"/>
    <w:bookmarkEnd w:id="33"/>
    <w:p>
      <w:pPr>
        <w:ind w:left="328"/>
        <w:spacing w:after="0" w:line="322" w:lineRule="auto"/>
        <w:rPr>
          <w:sz w:val="20"/>
          <w:szCs w:val="20"/>
          <w:color w:val="auto"/>
        </w:rPr>
      </w:pPr>
      <w:r>
        <w:rPr>
          <w:rFonts w:ascii="Arial" w:cs="Arial" w:eastAsia="Arial" w:hAnsi="Arial"/>
          <w:sz w:val="17"/>
          <w:szCs w:val="17"/>
          <w:color w:val="auto"/>
        </w:rPr>
        <w:t xml:space="preserve">handicap, veteran status or on any other basis, under Title VII of the Civil Rights Act of 1964, the Age Discrimination in Employment Act of 1967, the Older Workers Benefit Protection Act, the Family and Medical Leave Act, the Employee Retirement Income Security Act, the Illinois Human Rights Act, and/or all other local state or federal laws, ordinances and regulations relating to employment. </w:t>
      </w:r>
      <w:r>
        <w:rPr>
          <w:rFonts w:ascii="Arial" w:cs="Arial" w:eastAsia="Arial" w:hAnsi="Arial"/>
          <w:sz w:val="17"/>
          <w:szCs w:val="17"/>
          <w:b w:val="1"/>
          <w:bCs w:val="1"/>
          <w:color w:val="auto"/>
        </w:rPr>
        <w:t>This is a general release.</w:t>
      </w:r>
      <w:r>
        <w:rPr>
          <w:rFonts w:ascii="Arial" w:cs="Arial" w:eastAsia="Arial" w:hAnsi="Arial"/>
          <w:sz w:val="17"/>
          <w:szCs w:val="17"/>
          <w:color w:val="auto"/>
        </w:rPr>
        <w:t xml:space="preserve"> You understand and agree that this general release includes, but is not limited to, any claims arising out of or related to your employment with Oil-Dri and your separation from that employment. However, nothing in this Agreement shall constitute a release by You of any claims that cannot by law be waived. This Agreement does not waive rights or claims that may arise after You sign this Agreement, nor does it prohibit You or the Company from seeking enforcement of the terms contained in this Agreement.</w:t>
      </w:r>
    </w:p>
    <w:p>
      <w:pPr>
        <w:spacing w:after="0" w:line="149" w:lineRule="exact"/>
        <w:rPr>
          <w:sz w:val="20"/>
          <w:szCs w:val="20"/>
          <w:color w:val="auto"/>
        </w:rPr>
      </w:pPr>
    </w:p>
    <w:p>
      <w:pPr>
        <w:ind w:left="328" w:right="20" w:hanging="328"/>
        <w:spacing w:after="0" w:line="276" w:lineRule="auto"/>
        <w:tabs>
          <w:tab w:leader="none" w:pos="328" w:val="left"/>
        </w:tabs>
        <w:numPr>
          <w:ilvl w:val="0"/>
          <w:numId w:val="9"/>
        </w:numPr>
        <w:rPr>
          <w:rFonts w:ascii="Arial" w:cs="Arial" w:eastAsia="Arial" w:hAnsi="Arial"/>
          <w:sz w:val="17"/>
          <w:szCs w:val="17"/>
          <w:color w:val="auto"/>
        </w:rPr>
      </w:pPr>
      <w:r>
        <w:rPr>
          <w:rFonts w:ascii="Arial" w:cs="Arial" w:eastAsia="Arial" w:hAnsi="Arial"/>
          <w:sz w:val="17"/>
          <w:szCs w:val="17"/>
          <w:color w:val="auto"/>
        </w:rPr>
        <w:t>You understand and agree that, while this Agreement does not affect your rights to file a charge with or to participate as a witness in an investigation or proceeding conducted by the Equal Employment Opportunity Commission (the “EEOC”) or any similar state agency, by accepting the terms of this Agreement and the compensation provided as a result, You give up your right to receive any relief whatsoever, including but not limited to financial benefit or monetary recovery, from any lawsuit or settlement related to such rights and claims as You waived in paragraph number five (5) above, whether the lawsuit is filed or the settlement reached by the EEOC or anyone else.</w:t>
      </w:r>
    </w:p>
    <w:p>
      <w:pPr>
        <w:spacing w:after="0" w:line="172" w:lineRule="exact"/>
        <w:rPr>
          <w:rFonts w:ascii="Arial" w:cs="Arial" w:eastAsia="Arial" w:hAnsi="Arial"/>
          <w:sz w:val="17"/>
          <w:szCs w:val="17"/>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signing this Agreement You are verifying to the Company that You:</w:t>
      </w:r>
    </w:p>
    <w:p>
      <w:pPr>
        <w:spacing w:after="0" w:line="23" w:lineRule="exact"/>
        <w:rPr>
          <w:rFonts w:ascii="Arial" w:cs="Arial" w:eastAsia="Arial" w:hAnsi="Arial"/>
          <w:sz w:val="18"/>
          <w:szCs w:val="18"/>
          <w:color w:val="auto"/>
        </w:rPr>
      </w:pPr>
    </w:p>
    <w:p>
      <w:pPr>
        <w:ind w:left="968" w:hanging="320"/>
        <w:spacing w:after="0" w:line="207" w:lineRule="exact"/>
        <w:tabs>
          <w:tab w:leader="none" w:pos="968" w:val="left"/>
        </w:tabs>
        <w:numPr>
          <w:ilvl w:val="1"/>
          <w:numId w:val="9"/>
        </w:numPr>
        <w:rPr>
          <w:rFonts w:ascii="Arial" w:cs="Arial" w:eastAsia="Arial" w:hAnsi="Arial"/>
          <w:sz w:val="18"/>
          <w:szCs w:val="18"/>
          <w:color w:val="auto"/>
        </w:rPr>
      </w:pPr>
      <w:r>
        <w:rPr>
          <w:rFonts w:ascii="Arial" w:cs="Arial" w:eastAsia="Arial" w:hAnsi="Arial"/>
          <w:sz w:val="18"/>
          <w:szCs w:val="18"/>
          <w:color w:val="auto"/>
        </w:rPr>
        <w:t>have not suffered a work-related injury that you have not properly disclosed to Oil</w:t>
      </w:r>
      <w:r>
        <w:rPr>
          <w:rFonts w:ascii="MS PGothic" w:cs="MS PGothic" w:eastAsia="MS PGothic" w:hAnsi="MS PGothic"/>
          <w:sz w:val="18"/>
          <w:szCs w:val="18"/>
          <w:color w:val="auto"/>
        </w:rPr>
        <w:t>‑</w:t>
      </w:r>
      <w:r>
        <w:rPr>
          <w:rFonts w:ascii="Arial" w:cs="Arial" w:eastAsia="Arial" w:hAnsi="Arial"/>
          <w:sz w:val="18"/>
          <w:szCs w:val="18"/>
          <w:color w:val="auto"/>
        </w:rPr>
        <w:t>Dri; and</w:t>
      </w:r>
    </w:p>
    <w:p>
      <w:pPr>
        <w:spacing w:after="0" w:line="9" w:lineRule="exact"/>
        <w:rPr>
          <w:rFonts w:ascii="Arial" w:cs="Arial" w:eastAsia="Arial" w:hAnsi="Arial"/>
          <w:sz w:val="18"/>
          <w:szCs w:val="18"/>
          <w:color w:val="auto"/>
        </w:rPr>
      </w:pPr>
    </w:p>
    <w:p>
      <w:pPr>
        <w:ind w:left="968" w:right="80" w:hanging="320"/>
        <w:spacing w:after="0" w:line="255" w:lineRule="auto"/>
        <w:tabs>
          <w:tab w:leader="none" w:pos="968" w:val="left"/>
        </w:tabs>
        <w:numPr>
          <w:ilvl w:val="1"/>
          <w:numId w:val="9"/>
        </w:numPr>
        <w:rPr>
          <w:rFonts w:ascii="Arial" w:cs="Arial" w:eastAsia="Arial" w:hAnsi="Arial"/>
          <w:sz w:val="18"/>
          <w:szCs w:val="18"/>
          <w:color w:val="auto"/>
        </w:rPr>
      </w:pPr>
      <w:r>
        <w:rPr>
          <w:rFonts w:ascii="Arial" w:cs="Arial" w:eastAsia="Arial" w:hAnsi="Arial"/>
          <w:sz w:val="18"/>
          <w:szCs w:val="18"/>
          <w:color w:val="auto"/>
        </w:rPr>
        <w:t>have been paid in full all wages due and owing to You for any and all work which You performed for Oil-Dri through the pay period of the paydate immediately preceding the date of your signature. Oil-Dri agrees that if you performed work for Oil-Dri after that pay period, payment will be made to you according to the Company’s established payroll practices.</w:t>
      </w:r>
    </w:p>
    <w:p>
      <w:pPr>
        <w:spacing w:after="0" w:line="190" w:lineRule="exact"/>
        <w:rPr>
          <w:rFonts w:ascii="Arial" w:cs="Arial" w:eastAsia="Arial" w:hAnsi="Arial"/>
          <w:sz w:val="18"/>
          <w:szCs w:val="18"/>
          <w:color w:val="auto"/>
        </w:rPr>
      </w:pPr>
    </w:p>
    <w:p>
      <w:pPr>
        <w:ind w:left="328" w:right="40" w:hanging="328"/>
        <w:spacing w:after="0" w:line="312" w:lineRule="auto"/>
        <w:tabs>
          <w:tab w:leader="none" w:pos="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will return to Kevin Breese all door and file keys, radio, beeper, equipment, tools, computer access codes, disks and instructional manuals, reports, files, memoranda, records, software, credit cards, and other physical or personal property which You received, prepared or helped prepare in connection with your employment with the Company. You agree that You will not keep any copies or excerpts of any of the above items.</w:t>
      </w:r>
    </w:p>
    <w:p>
      <w:pPr>
        <w:spacing w:after="0" w:line="146" w:lineRule="exact"/>
        <w:rPr>
          <w:rFonts w:ascii="Arial" w:cs="Arial" w:eastAsia="Arial" w:hAnsi="Arial"/>
          <w:sz w:val="16"/>
          <w:szCs w:val="16"/>
          <w:color w:val="auto"/>
        </w:rPr>
      </w:pPr>
    </w:p>
    <w:p>
      <w:pPr>
        <w:ind w:left="328" w:right="180" w:hanging="328"/>
        <w:spacing w:after="0" w:line="224" w:lineRule="exact"/>
        <w:tabs>
          <w:tab w:leader="none" w:pos="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will promptly respond to any questions from Daniel Jaffee, or any person designated by him, related to your work at Oil</w:t>
      </w:r>
      <w:r>
        <w:rPr>
          <w:rFonts w:ascii="MS PGothic" w:cs="MS PGothic" w:eastAsia="MS PGothic" w:hAnsi="MS PGothic"/>
          <w:sz w:val="16"/>
          <w:szCs w:val="16"/>
          <w:color w:val="auto"/>
        </w:rPr>
        <w:t>‑</w:t>
      </w:r>
      <w:r>
        <w:rPr>
          <w:rFonts w:ascii="Arial" w:cs="Arial" w:eastAsia="Arial" w:hAnsi="Arial"/>
          <w:sz w:val="16"/>
          <w:szCs w:val="16"/>
          <w:color w:val="auto"/>
        </w:rPr>
        <w:t>Dri until the date at which your severance payments end. For this purpose, You will provide Daniel Jaffee with your current phone numbers and e</w:t>
      </w:r>
      <w:r>
        <w:rPr>
          <w:rFonts w:ascii="MS PGothic" w:cs="MS PGothic" w:eastAsia="MS PGothic" w:hAnsi="MS PGothic"/>
          <w:sz w:val="16"/>
          <w:szCs w:val="16"/>
          <w:color w:val="auto"/>
        </w:rPr>
        <w:t>‑</w:t>
      </w:r>
      <w:r>
        <w:rPr>
          <w:rFonts w:ascii="Arial" w:cs="Arial" w:eastAsia="Arial" w:hAnsi="Arial"/>
          <w:sz w:val="16"/>
          <w:szCs w:val="16"/>
          <w:color w:val="auto"/>
        </w:rPr>
        <w:t>mail address, if any.</w:t>
      </w:r>
    </w:p>
    <w:p>
      <w:pPr>
        <w:spacing w:after="0" w:line="202" w:lineRule="exact"/>
        <w:rPr>
          <w:rFonts w:ascii="Arial" w:cs="Arial" w:eastAsia="Arial" w:hAnsi="Arial"/>
          <w:sz w:val="16"/>
          <w:szCs w:val="16"/>
          <w:color w:val="auto"/>
        </w:rPr>
      </w:pPr>
    </w:p>
    <w:p>
      <w:pPr>
        <w:ind w:left="328" w:right="480" w:hanging="328"/>
        <w:spacing w:after="0" w:line="223" w:lineRule="exact"/>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waive and surrender any right you may have, now or hereafter, to employment with Oil</w:t>
      </w:r>
      <w:r>
        <w:rPr>
          <w:rFonts w:ascii="MS PGothic" w:cs="MS PGothic" w:eastAsia="MS PGothic" w:hAnsi="MS PGothic"/>
          <w:sz w:val="18"/>
          <w:szCs w:val="18"/>
          <w:color w:val="auto"/>
        </w:rPr>
        <w:t>‑</w:t>
      </w:r>
      <w:r>
        <w:rPr>
          <w:rFonts w:ascii="Arial" w:cs="Arial" w:eastAsia="Arial" w:hAnsi="Arial"/>
          <w:sz w:val="18"/>
          <w:szCs w:val="18"/>
          <w:color w:val="auto"/>
        </w:rPr>
        <w:t>Dri. In reliance on this waiver, the Company may disregard any employment application submitted by You.</w:t>
      </w:r>
    </w:p>
    <w:p>
      <w:pPr>
        <w:spacing w:after="0" w:line="203" w:lineRule="exact"/>
        <w:rPr>
          <w:rFonts w:ascii="Arial" w:cs="Arial" w:eastAsia="Arial" w:hAnsi="Arial"/>
          <w:sz w:val="18"/>
          <w:szCs w:val="18"/>
          <w:color w:val="auto"/>
        </w:rPr>
      </w:pPr>
    </w:p>
    <w:p>
      <w:pPr>
        <w:ind w:left="328" w:right="100" w:hanging="328"/>
        <w:spacing w:after="0" w:line="255"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agree to refrain from using in any manner and to keep confidential any and all information and data concerning the business and affairs of Oil-Dri or its affiliates which You have received as a result of the employment relationship of the parties, except to the extent that You can demonstrate that the information or data (i) is generally available to the public through no act or failure to act of You, (ii) was already known to You on a non-confidential basis on the date of receipt, (iii) was disclosed to You on a non-confidential basis by a third party not having a confidential relationship with the Company with respect to such information, or (iv) has been independently acquired or developed without violating any of your obligations under this provision.</w:t>
      </w:r>
    </w:p>
    <w:p>
      <w:pPr>
        <w:spacing w:after="0" w:line="193"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understand that the terms of this Agreement may be required to be disclosed in SEC related filings.</w:t>
      </w:r>
    </w:p>
    <w:p>
      <w:pPr>
        <w:spacing w:after="0" w:line="225" w:lineRule="exact"/>
        <w:rPr>
          <w:rFonts w:ascii="Arial" w:cs="Arial" w:eastAsia="Arial" w:hAnsi="Arial"/>
          <w:sz w:val="18"/>
          <w:szCs w:val="18"/>
          <w:color w:val="auto"/>
        </w:rPr>
      </w:pPr>
    </w:p>
    <w:p>
      <w:pPr>
        <w:ind w:left="328" w:hanging="328"/>
        <w:spacing w:after="0" w:line="259"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will direct all reference inquiries to Kevin Lange, Benefits Manager, who will respond only with the following information: dates of employment, position(s) held, confirmation of last salary. To the extent that You direct references to other persons, the Company is not liable for any statements made by such non-designated individuals. You agree that the Company has no liability for any statements made regarding You by persons not employed by the Company at the time such statements are made.</w:t>
      </w:r>
    </w:p>
    <w:p>
      <w:pPr>
        <w:spacing w:after="0" w:line="186" w:lineRule="exact"/>
        <w:rPr>
          <w:rFonts w:ascii="Arial" w:cs="Arial" w:eastAsia="Arial" w:hAnsi="Arial"/>
          <w:sz w:val="18"/>
          <w:szCs w:val="18"/>
          <w:color w:val="auto"/>
        </w:rPr>
      </w:pPr>
    </w:p>
    <w:p>
      <w:pPr>
        <w:ind w:left="328" w:right="200" w:hanging="328"/>
        <w:spacing w:after="0" w:line="342" w:lineRule="auto"/>
        <w:tabs>
          <w:tab w:leader="none" w:pos="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will not do or say anything which criticizes or disparages the Company, its management or practices, which disrupt or impairs the Company's normal, ongoing business operations, or which harms the Company's reputation with its employees, customers, suppliers or the public.</w:t>
      </w:r>
    </w:p>
    <w:p>
      <w:pPr>
        <w:spacing w:after="0" w:line="123" w:lineRule="exact"/>
        <w:rPr>
          <w:rFonts w:ascii="Arial" w:cs="Arial" w:eastAsia="Arial" w:hAnsi="Arial"/>
          <w:sz w:val="16"/>
          <w:szCs w:val="16"/>
          <w:color w:val="auto"/>
        </w:rPr>
      </w:pPr>
    </w:p>
    <w:p>
      <w:pPr>
        <w:ind w:left="328" w:right="400" w:hanging="328"/>
        <w:spacing w:after="0" w:line="277"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understand and agree that if you breach any part of this Agreement, Oil-Dri’s obligation for severance compensation as stated in paragraph number two (2) above ceases and Oil-Dri may recoup all such payments already made.</w:t>
      </w:r>
    </w:p>
    <w:p>
      <w:pPr>
        <w:spacing w:after="0" w:line="197"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8"/>
          </w:cols>
          <w:pgMar w:left="572" w:top="611" w:right="279" w:bottom="1440" w:gutter="0" w:footer="0" w:header="0"/>
        </w:sectPr>
      </w:pPr>
    </w:p>
    <w:bookmarkStart w:id="34" w:name="page35"/>
    <w:bookmarkEnd w:id="34"/>
    <w:p>
      <w:pPr>
        <w:ind w:left="660" w:right="2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You and Oil-Dri agree that this Agreement constitutes the entire understanding of the parties concerning the cessation of the employment relationship and sets forth all compensation to be paid by the Company to You subsequent to cessation of the employment relationship. This Agreement cancels and supersedes all previous agreements and understandings, oral or written, between the parties with respect to the subject matter hereof and may be modified only in a written document signed by You and a duly authorized officer of the Company.</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Nothing in this Agreement shall be treated as an admission by You or the Company of any liability, wrongdoing or violation of any law.</w:t>
      </w:r>
    </w:p>
    <w:p>
      <w:pPr>
        <w:spacing w:after="0" w:line="225"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all respects under the laws of the State of Illinois without reference to its conflicts of laws, rules or principles. If a court finds any part of this Agreement to be invalid or unenforceable, then that provision or part shall be modified so as to render it valid and enforceable, or, if necessary, shall be deemed removed from this Agreement. In any event, the rest of the Agreement shall remain in full force and effect and shall be enforced to the maximum extent permitted by law</w:t>
      </w:r>
    </w:p>
    <w:p>
      <w:pPr>
        <w:spacing w:after="0" w:line="186" w:lineRule="exact"/>
        <w:rPr>
          <w:rFonts w:ascii="Arial" w:cs="Arial" w:eastAsia="Arial" w:hAnsi="Arial"/>
          <w:sz w:val="18"/>
          <w:szCs w:val="18"/>
          <w:color w:val="auto"/>
        </w:rPr>
      </w:pPr>
    </w:p>
    <w:p>
      <w:pPr>
        <w:ind w:left="660" w:right="180" w:hanging="328"/>
        <w:spacing w:after="0" w:line="28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You have the right to consult with an attorney of your choice before signing this Agreement and Oil-Dri encourages You to do so. You understand that you have up to twenty-one (21) days after receiving this Agreement to review it and to discuss it with an attorney, and that You have seven (7) days after you have signed this Agreement during which you may revoke it. You understand that if You do not return to the Company a signed and dated copy of this Agreement by the close of business on the 21st calendar day after your termination of employment, the provisions of this Agreement, including the severance compensation provisions, will be void and the Company will have no further obligations thereunder. </w:t>
      </w:r>
      <w:r>
        <w:rPr>
          <w:rFonts w:ascii="Arial" w:cs="Arial" w:eastAsia="Arial" w:hAnsi="Arial"/>
          <w:sz w:val="16"/>
          <w:szCs w:val="16"/>
          <w:b w:val="1"/>
          <w:bCs w:val="1"/>
          <w:color w:val="auto"/>
        </w:rPr>
        <w:t>This</w:t>
      </w:r>
    </w:p>
    <w:p>
      <w:pPr>
        <w:spacing w:after="0" w:line="2" w:lineRule="exact"/>
        <w:rPr>
          <w:rFonts w:ascii="Arial" w:cs="Arial" w:eastAsia="Arial" w:hAnsi="Arial"/>
          <w:sz w:val="16"/>
          <w:szCs w:val="16"/>
          <w:color w:val="auto"/>
        </w:rPr>
      </w:pPr>
    </w:p>
    <w:p>
      <w:pPr>
        <w:ind w:left="660" w:right="42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 xml:space="preserve">Agreement must be signed and returned to Kevin Breese, Vice President of Human Resources, at the address shown below without any alteration. </w:t>
      </w:r>
      <w:r>
        <w:rPr>
          <w:rFonts w:ascii="Arial" w:cs="Arial" w:eastAsia="Arial" w:hAnsi="Arial"/>
          <w:sz w:val="18"/>
          <w:szCs w:val="18"/>
          <w:color w:val="auto"/>
        </w:rPr>
        <w:t>Any modification or alteration of any terms of this Agreement voids the Agreement in its entirety.</w:t>
      </w:r>
    </w:p>
    <w:p>
      <w:pPr>
        <w:spacing w:after="0" w:line="18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you wish to revoke this Agreement within the seven-day period, You may do so by delivering a letter of revocation to Kevin Breese, Vice President of Human Resources, at the address shown below. Because of this revocation period, You understand that this Agreement shall not become effective or enforceable until the eighth day after the date you sign this Agreement. After that, it becomes binding and irrevocable.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indicate your agreement with the terms stated above by signing below.</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Kevin Breese</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Kevin Breese, Vice President of Human Resources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410 N. Michigan Ave. - Suite 400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Chicago, IL 60611-4213</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 agree with the terms of this Agreement and deem it to be fair and equitable, as signified by my signature below. Furthermore, I acknowledge that I have read and understand this Agreement and that I sign this release of all claims, known or unknown, voluntarily, with full appreciation that at no time in the future may I pursue any of the rights I have waived in this Agreement.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Arial" w:cs="Arial" w:eastAsia="Arial" w:hAnsi="Arial"/>
                <w:sz w:val="18"/>
                <w:szCs w:val="18"/>
                <w:color w:val="auto"/>
              </w:rPr>
              <w:t>/s/ Paul D. Ziemnisky Jr.</w:t>
            </w: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w w:val="90"/>
              </w:rPr>
              <w:t>Date: 4/23/15</w:t>
            </w:r>
          </w:p>
        </w:tc>
      </w:tr>
      <w:tr>
        <w:trPr>
          <w:trHeight w:val="237"/>
        </w:trPr>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D. Ziemnisky, Jr.</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0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For the Three Months Ended</w:t>
            </w: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available to stockholders</w:t>
            </w:r>
          </w:p>
        </w:tc>
        <w:tc>
          <w:tcPr>
            <w:tcW w:w="220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29"/>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Less: Distributed and undistributed earnings allocated</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to non-vested restricted stock</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2200" w:type="dxa"/>
            <w:vAlign w:val="bottom"/>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6,211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Shares Calculation</w:t>
            </w:r>
          </w:p>
        </w:tc>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gridSpan w:val="3"/>
            <w:vMerge w:val="continue"/>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shares outstanding - Basic Common</w:t>
            </w:r>
          </w:p>
        </w:tc>
        <w:tc>
          <w:tcPr>
            <w:tcW w:w="1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4,957</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4,953</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Average shares outstanding - Basic Class B Common</w:t>
            </w:r>
          </w:p>
        </w:tc>
        <w:tc>
          <w:tcPr>
            <w:tcW w:w="1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Potential Common Stock relating to stock options and</w:t>
            </w:r>
          </w:p>
        </w:tc>
        <w:tc>
          <w:tcPr>
            <w:tcW w:w="1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w:t>
            </w:r>
          </w:p>
        </w:tc>
        <w:tc>
          <w:tcPr>
            <w:tcW w:w="1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vMerge w:val="continue"/>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vMerge w:val="continue"/>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Average shares outstanding - Assuming dilution</w:t>
            </w:r>
          </w:p>
        </w:tc>
        <w:tc>
          <w:tcPr>
            <w:tcW w:w="19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7,046</w:t>
            </w:r>
          </w:p>
        </w:tc>
        <w:tc>
          <w:tcPr>
            <w:tcW w:w="3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7,034</w:t>
            </w:r>
          </w:p>
        </w:tc>
        <w:tc>
          <w:tcPr>
            <w:tcW w:w="3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51"/>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Basic Common</w:t>
            </w:r>
          </w:p>
        </w:tc>
        <w:tc>
          <w:tcPr>
            <w:tcW w:w="1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 Per Share: Basic Class B Common</w:t>
            </w:r>
          </w:p>
        </w:tc>
        <w:tc>
          <w:tcPr>
            <w:tcW w:w="19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0.72</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51"/>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2200" w:type="dxa"/>
            <w:vAlign w:val="bottom"/>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June 8, 2015</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June 8, 2015</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June 8,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June 8,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2015.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902</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709</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1,042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April 30, 2015.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2"/>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3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6"/>
    </w:lvl>
    <w:lvl w:ilvl="1">
      <w:lvlJc w:val="left"/>
      <w:lvlText w:val="%2."/>
      <w:numFmt w:val="lowerLetter"/>
      <w:start w:val="1"/>
    </w:lvl>
  </w:abstractNum>
  <w:abstractNum w:abstractNumId="9">
    <w:nsid w:val="1F16E9E8"/>
    <w:multiLevelType w:val="hybridMultilevel"/>
    <w:lvl w:ilvl="0">
      <w:lvlJc w:val="left"/>
      <w:lvlText w:val="%1."/>
      <w:numFmt w:val="decimal"/>
      <w:start w:val="16"/>
    </w:lvl>
  </w:abstractNum>
  <w:abstractNum w:abstractNumId="10">
    <w:nsid w:val="1190CDE7"/>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1">
    <w:nsid w:val="66EF438D"/>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2020-01-23T19:41:22Z</dcterms:created>
  <dcterms:modified xsi:type="dcterms:W3CDTF">2020-01-23T19:41:22Z</dcterms:modified>
</cp:coreProperties>
</file>