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311150</wp:posOffset>
            </wp:positionH>
            <wp:positionV relativeFrom="page">
              <wp:posOffset>706120</wp:posOffset>
            </wp:positionV>
            <wp:extent cx="69265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662940</wp:posOffset>
            </wp:positionV>
            <wp:extent cx="692658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17145"/>
                    </a:xfrm>
                    <a:prstGeom prst="rect">
                      <a:avLst/>
                    </a:prstGeom>
                    <a:noFill/>
                  </pic:spPr>
                </pic:pic>
              </a:graphicData>
            </a:graphic>
          </wp:anchor>
        </w:drawing>
        <w:t>UNITED STATES</w:t>
      </w:r>
    </w:p>
    <w:p>
      <w:pPr>
        <w:spacing w:after="0" w:line="25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6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5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FORM 10-Q</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4"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4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For the Quarterly Period Ended October 31, 2023</w:t>
      </w:r>
    </w:p>
    <w:p>
      <w:pPr>
        <w:spacing w:after="0" w:line="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or</w:t>
      </w:r>
    </w:p>
    <w:p>
      <w:pPr>
        <w:sectPr>
          <w:pgSz w:w="11900" w:h="16838" w:orient="portrait"/>
          <w:cols w:equalWidth="0" w:num="1">
            <w:col w:w="11160"/>
          </w:cols>
          <w:pgMar w:left="320" w:top="1282" w:right="419" w:bottom="1440" w:gutter="0" w:footer="0" w:header="0"/>
        </w:sectPr>
      </w:pPr>
    </w:p>
    <w:p>
      <w:pPr>
        <w:spacing w:after="0" w:line="72" w:lineRule="exact"/>
        <w:rPr>
          <w:sz w:val="24"/>
          <w:szCs w:val="24"/>
          <w:color w:val="auto"/>
        </w:rPr>
      </w:pPr>
    </w:p>
    <w:p>
      <w:pPr>
        <w:ind w:left="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7"/>
          <w:szCs w:val="17"/>
          <w:color w:val="auto"/>
        </w:rPr>
        <w:t>Transition Report Pursuant to Section 13 or 15(d) of the Securities Exchange Act of 1934</w:t>
      </w:r>
    </w:p>
    <w:p>
      <w:pPr>
        <w:spacing w:after="0" w:line="14"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8"/>
          <w:szCs w:val="18"/>
          <w:color w:val="auto"/>
        </w:rPr>
        <w:t>For the transition period from _____________ to ______________</w:t>
      </w:r>
    </w:p>
    <w:p>
      <w:pPr>
        <w:spacing w:after="0" w:line="200" w:lineRule="exact"/>
        <w:rPr>
          <w:sz w:val="24"/>
          <w:szCs w:val="24"/>
          <w:color w:val="auto"/>
        </w:rPr>
      </w:pPr>
    </w:p>
    <w:p>
      <w:pPr>
        <w:sectPr>
          <w:pgSz w:w="11900" w:h="16838" w:orient="portrait"/>
          <w:cols w:equalWidth="0" w:num="2">
            <w:col w:w="1700" w:space="720"/>
            <w:col w:w="8740"/>
          </w:cols>
          <w:pgMar w:left="320" w:top="1282" w:right="419" w:bottom="1440" w:gutter="0" w:footer="0" w:header="0"/>
          <w:type w:val="continuous"/>
        </w:sectPr>
      </w:pPr>
    </w:p>
    <w:p>
      <w:pPr>
        <w:spacing w:after="0" w:line="1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Commission File Number 001-12622</w:t>
      </w:r>
    </w:p>
    <w:p>
      <w:pPr>
        <w:spacing w:after="0" w:line="25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u w:val="single" w:color="auto"/>
          <w:color w:val="auto"/>
        </w:rPr>
        <w:t>OIL-DRI CORPORATION OF AMERICA</w:t>
      </w:r>
    </w:p>
    <w:p>
      <w:pPr>
        <w:spacing w:after="0" w:line="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(Exact name of the registrant as specified in its charter)</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Delaware 36-2048898</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(State or other jurisdiction of incorporation or organization) (I.R.S. Employer Identification No.)</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410 North Michigan Avenue, Suite 400 </w:t>
      </w:r>
      <w:r>
        <w:rPr>
          <w:rFonts w:ascii="Times New Roman" w:cs="Times New Roman" w:eastAsia="Times New Roman" w:hAnsi="Times New Roman"/>
          <w:sz w:val="18"/>
          <w:szCs w:val="18"/>
          <w:u w:val="single" w:color="auto"/>
          <w:color w:val="auto"/>
        </w:rPr>
        <w:t>60611-4213</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Chicago, Illinois</w:t>
      </w:r>
      <w:r>
        <w:rPr>
          <w:rFonts w:ascii="Times New Roman" w:cs="Times New Roman" w:eastAsia="Times New Roman" w:hAnsi="Times New Roman"/>
          <w:sz w:val="18"/>
          <w:szCs w:val="18"/>
          <w:color w:val="auto"/>
        </w:rPr>
        <w:t xml:space="preserve"> (Zip Code)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registrant's telephone number, including area code: (312) 321-1515</w:t>
      </w:r>
    </w:p>
    <w:p>
      <w:pPr>
        <w:spacing w:after="0" w:line="252" w:lineRule="exact"/>
        <w:rPr>
          <w:sz w:val="24"/>
          <w:szCs w:val="24"/>
          <w:color w:val="auto"/>
        </w:rPr>
      </w:pPr>
    </w:p>
    <w:p>
      <w:pPr>
        <w:ind w:right="2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at least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8" w:lineRule="exact"/>
        <w:rPr>
          <w:sz w:val="24"/>
          <w:szCs w:val="24"/>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60"/>
          </w:cols>
          <w:pgMar w:left="320" w:top="1282" w:right="419" w:bottom="1440" w:gutter="0" w:footer="0" w:header="0"/>
          <w:type w:val="continuous"/>
        </w:sectPr>
      </w:pPr>
    </w:p>
    <w:p>
      <w:pPr>
        <w:spacing w:after="0" w:line="95"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7"/>
          <w:szCs w:val="17"/>
          <w:color w:val="auto"/>
        </w:rPr>
        <w:t>Large Accelerated</w:t>
      </w:r>
    </w:p>
    <w:p>
      <w:pPr>
        <w:ind w:left="1300"/>
        <w:spacing w:after="0"/>
        <w:rPr>
          <w:sz w:val="20"/>
          <w:szCs w:val="20"/>
          <w:color w:val="auto"/>
        </w:rPr>
      </w:pPr>
      <w:r>
        <w:rPr>
          <w:rFonts w:ascii="Times New Roman" w:cs="Times New Roman" w:eastAsia="Times New Roman" w:hAnsi="Times New Roman"/>
          <w:sz w:val="18"/>
          <w:szCs w:val="18"/>
          <w:color w:val="auto"/>
        </w:rPr>
        <w:t xml:space="preserve">Filer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Accelerated Filer </w:t>
      </w:r>
      <w:r>
        <w:rPr>
          <w:rFonts w:ascii="Wingdings" w:cs="Wingdings" w:eastAsia="Wingdings" w:hAnsi="Wingdings"/>
          <w:sz w:val="17"/>
          <w:szCs w:val="17"/>
          <w:b w:val="1"/>
          <w:bCs w:val="1"/>
          <w:color w:val="auto"/>
        </w:rPr>
        <w:t>x</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 xml:space="preserve">Non-accelerated Filer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 xml:space="preserve">Smaller Reporting Company </w:t>
      </w:r>
      <w:r>
        <w:rPr>
          <w:rFonts w:ascii="Wingdings" w:cs="Wingdings" w:eastAsia="Wingdings" w:hAnsi="Wingdings"/>
          <w:sz w:val="17"/>
          <w:szCs w:val="17"/>
          <w:b w:val="1"/>
          <w:bCs w:val="1"/>
          <w:color w:val="auto"/>
        </w:rPr>
        <w:t>x</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Emerging Growth</w:t>
      </w:r>
    </w:p>
    <w:p>
      <w:pPr>
        <w:spacing w:after="0"/>
        <w:rPr>
          <w:sz w:val="20"/>
          <w:szCs w:val="20"/>
          <w:color w:val="auto"/>
        </w:rPr>
      </w:pPr>
      <w:r>
        <w:rPr>
          <w:rFonts w:ascii="Times New Roman" w:cs="Times New Roman" w:eastAsia="Times New Roman" w:hAnsi="Times New Roman"/>
          <w:sz w:val="18"/>
          <w:szCs w:val="18"/>
          <w:color w:val="auto"/>
        </w:rPr>
        <w:t xml:space="preserve">Company </w:t>
      </w:r>
      <w:r>
        <w:rPr>
          <w:rFonts w:ascii="Wingdings" w:cs="Wingdings" w:eastAsia="Wingdings" w:hAnsi="Wingdings"/>
          <w:sz w:val="18"/>
          <w:szCs w:val="18"/>
          <w:b w:val="1"/>
          <w:bCs w:val="1"/>
          <w:color w:val="auto"/>
        </w:rPr>
        <w:t>o</w:t>
      </w:r>
    </w:p>
    <w:p>
      <w:pPr>
        <w:spacing w:after="0" w:line="83" w:lineRule="exact"/>
        <w:rPr>
          <w:sz w:val="24"/>
          <w:szCs w:val="24"/>
          <w:color w:val="auto"/>
        </w:rPr>
      </w:pPr>
    </w:p>
    <w:p>
      <w:pPr>
        <w:sectPr>
          <w:pgSz w:w="11900" w:h="16838" w:orient="portrait"/>
          <w:cols w:equalWidth="0" w:num="5">
            <w:col w:w="2620" w:space="440"/>
            <w:col w:w="1480" w:space="100"/>
            <w:col w:w="1180" w:space="600"/>
            <w:col w:w="1320" w:space="460"/>
            <w:col w:w="2960"/>
          </w:cols>
          <w:pgMar w:left="320" w:top="1282" w:right="419" w:bottom="1440" w:gutter="0" w:footer="0" w:header="0"/>
          <w:type w:val="continuous"/>
        </w:sectPr>
      </w:pPr>
    </w:p>
    <w:p>
      <w:pPr>
        <w:ind w:right="80"/>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15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160"/>
          </w:cols>
          <w:pgMar w:left="320" w:top="1282" w:right="419" w:bottom="1440" w:gutter="0" w:footer="0" w:header="0"/>
          <w:type w:val="continuous"/>
        </w:sectPr>
      </w:pPr>
    </w:p>
    <w:p>
      <w:pPr>
        <w:spacing w:after="0" w:line="140"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sectPr>
          <w:pgSz w:w="11900" w:h="16838" w:orient="portrait"/>
          <w:cols w:equalWidth="0" w:num="3">
            <w:col w:w="3980" w:space="720"/>
            <w:col w:w="1440" w:space="660"/>
            <w:col w:w="4360"/>
          </w:cols>
          <w:pgMar w:left="320" w:top="1282" w:right="419" w:bottom="1440" w:gutter="0" w:footer="0" w:header="0"/>
          <w:type w:val="continuous"/>
        </w:sectPr>
      </w:pPr>
    </w:p>
    <w:p>
      <w:pPr>
        <w:ind w:left="680"/>
        <w:spacing w:after="0"/>
        <w:rPr>
          <w:sz w:val="20"/>
          <w:szCs w:val="20"/>
          <w:color w:val="auto"/>
        </w:rPr>
      </w:pPr>
      <w:r>
        <w:rPr>
          <w:rFonts w:ascii="Times New Roman" w:cs="Times New Roman" w:eastAsia="Times New Roman" w:hAnsi="Times New Roman"/>
          <w:sz w:val="18"/>
          <w:szCs w:val="18"/>
          <w:color w:val="auto"/>
        </w:rPr>
        <w:t>Common Stock, par value $0.10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ODC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New York Stock Exchange</w:t>
      </w:r>
    </w:p>
    <w:p>
      <w:pPr>
        <w:spacing w:after="0" w:line="211" w:lineRule="exact"/>
        <w:rPr>
          <w:sz w:val="24"/>
          <w:szCs w:val="24"/>
          <w:color w:val="auto"/>
        </w:rPr>
      </w:pPr>
    </w:p>
    <w:p>
      <w:pPr>
        <w:sectPr>
          <w:pgSz w:w="11900" w:h="16838" w:orient="portrait"/>
          <w:cols w:equalWidth="0" w:num="3">
            <w:col w:w="3780" w:space="720"/>
            <w:col w:w="1160" w:space="720"/>
            <w:col w:w="4780"/>
          </w:cols>
          <w:pgMar w:left="320" w:top="1282" w:right="419" w:bottom="1440" w:gutter="0" w:footer="0" w:header="0"/>
          <w:type w:val="continuous"/>
        </w:sectPr>
      </w:pPr>
    </w:p>
    <w:p>
      <w:pPr>
        <w:spacing w:after="0" w:line="14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October 31, 2023.</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Common Stock – 5,132,405 Shares and Class B Stock – 2,170,415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82" w:right="4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p>
        </w:tc>
        <w:tc>
          <w:tcPr>
            <w:tcW w:w="8140" w:type="dxa"/>
            <w:vAlign w:val="bottom"/>
          </w:tcPr>
          <w:p>
            <w:pPr>
              <w:ind w:left="4180"/>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97"/>
        </w:trPr>
        <w:tc>
          <w:tcPr>
            <w:tcW w:w="940" w:type="dxa"/>
            <w:vAlign w:val="bottom"/>
          </w:tcPr>
          <w:p>
            <w:pPr>
              <w:spacing w:after="0"/>
              <w:rPr>
                <w:sz w:val="24"/>
                <w:szCs w:val="24"/>
                <w:color w:val="auto"/>
              </w:rPr>
            </w:pPr>
          </w:p>
        </w:tc>
        <w:tc>
          <w:tcPr>
            <w:tcW w:w="8140" w:type="dxa"/>
            <w:vAlign w:val="bottom"/>
          </w:tcPr>
          <w:p>
            <w:pPr>
              <w:ind w:left="320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2040" w:type="dxa"/>
            <w:vAlign w:val="bottom"/>
            <w:gridSpan w:val="7"/>
            <w:vMerge w:val="restart"/>
          </w:tcPr>
          <w:p>
            <w:pPr>
              <w:ind w:left="14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89"/>
        </w:trPr>
        <w:tc>
          <w:tcPr>
            <w:tcW w:w="940" w:type="dxa"/>
            <w:vAlign w:val="bottom"/>
          </w:tcPr>
          <w:p>
            <w:pPr>
              <w:spacing w:after="0"/>
              <w:rPr>
                <w:sz w:val="16"/>
                <w:szCs w:val="16"/>
                <w:color w:val="auto"/>
              </w:rPr>
            </w:pPr>
          </w:p>
        </w:tc>
        <w:tc>
          <w:tcPr>
            <w:tcW w:w="8140" w:type="dxa"/>
            <w:vAlign w:val="bottom"/>
          </w:tcPr>
          <w:p>
            <w:pPr>
              <w:spacing w:after="0"/>
              <w:rPr>
                <w:sz w:val="16"/>
                <w:szCs w:val="16"/>
                <w:color w:val="auto"/>
              </w:rPr>
            </w:pPr>
          </w:p>
        </w:tc>
        <w:tc>
          <w:tcPr>
            <w:tcW w:w="2040" w:type="dxa"/>
            <w:vAlign w:val="bottom"/>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1:</w:t>
            </w:r>
          </w:p>
        </w:tc>
        <w:tc>
          <w:tcPr>
            <w:tcW w:w="814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FF"/>
              </w:rPr>
              <w:t>Financial Statements</w:t>
            </w:r>
          </w:p>
        </w:tc>
        <w:tc>
          <w:tcPr>
            <w:tcW w:w="1700" w:type="dxa"/>
            <w:vAlign w:val="bottom"/>
            <w:gridSpan w:val="5"/>
            <w:shd w:val="clear" w:color="auto" w:fill="CCEEFF"/>
          </w:tcPr>
          <w:p>
            <w:pPr>
              <w:jc w:val="center"/>
              <w:ind w:left="1430"/>
              <w:spacing w:after="0" w:line="189" w:lineRule="exact"/>
              <w:rPr>
                <w:sz w:val="20"/>
                <w:szCs w:val="20"/>
                <w:color w:val="auto"/>
              </w:rPr>
            </w:pPr>
            <w:r>
              <w:rPr>
                <w:rFonts w:ascii="Times New Roman" w:cs="Times New Roman" w:eastAsia="Times New Roman" w:hAnsi="Times New Roman"/>
                <w:sz w:val="18"/>
                <w:szCs w:val="18"/>
                <w:color w:val="0000FF"/>
              </w:rPr>
              <w:t>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Borders>
              <w:top w:val="single" w:sz="8" w:color="CCEEFF"/>
            </w:tcBorders>
          </w:tcPr>
          <w:p>
            <w:pPr>
              <w:spacing w:after="0"/>
              <w:rPr>
                <w:sz w:val="19"/>
                <w:szCs w:val="19"/>
                <w:color w:val="auto"/>
              </w:rPr>
            </w:pPr>
          </w:p>
        </w:tc>
        <w:tc>
          <w:tcPr>
            <w:tcW w:w="8140" w:type="dxa"/>
            <w:vAlign w:val="bottom"/>
            <w:tcBorders>
              <w:top w:val="single" w:sz="8" w:color="CCEEFF"/>
            </w:tcBorders>
          </w:tcPr>
          <w:p>
            <w:pPr>
              <w:spacing w:after="0"/>
              <w:rPr>
                <w:sz w:val="19"/>
                <w:szCs w:val="19"/>
                <w:color w:val="auto"/>
              </w:rPr>
            </w:pPr>
          </w:p>
        </w:tc>
        <w:tc>
          <w:tcPr>
            <w:tcW w:w="14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2:</w:t>
            </w:r>
          </w:p>
        </w:tc>
        <w:tc>
          <w:tcPr>
            <w:tcW w:w="814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800" w:type="dxa"/>
            <w:vAlign w:val="bottom"/>
            <w:gridSpan w:val="6"/>
            <w:shd w:val="clear" w:color="auto" w:fill="CCEEFF"/>
          </w:tcPr>
          <w:p>
            <w:pPr>
              <w:jc w:val="center"/>
              <w:ind w:left="1330"/>
              <w:spacing w:after="0" w:line="189" w:lineRule="exact"/>
              <w:rPr>
                <w:sz w:val="20"/>
                <w:szCs w:val="20"/>
                <w:color w:val="auto"/>
              </w:rPr>
            </w:pPr>
            <w:r>
              <w:rPr>
                <w:rFonts w:ascii="Times New Roman" w:cs="Times New Roman" w:eastAsia="Times New Roman" w:hAnsi="Times New Roman"/>
                <w:sz w:val="18"/>
                <w:szCs w:val="18"/>
                <w:color w:val="0000FF"/>
                <w:w w:val="99"/>
              </w:rPr>
              <w:t>21</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Borders>
              <w:top w:val="single" w:sz="8" w:color="CCEEFF"/>
            </w:tcBorders>
          </w:tcPr>
          <w:p>
            <w:pPr>
              <w:spacing w:after="0"/>
              <w:rPr>
                <w:sz w:val="19"/>
                <w:szCs w:val="19"/>
                <w:color w:val="auto"/>
              </w:rPr>
            </w:pPr>
          </w:p>
        </w:tc>
        <w:tc>
          <w:tcPr>
            <w:tcW w:w="8140" w:type="dxa"/>
            <w:vAlign w:val="bottom"/>
            <w:tcBorders>
              <w:top w:val="single" w:sz="8" w:color="CCEEFF"/>
            </w:tcBorders>
          </w:tcPr>
          <w:p>
            <w:pPr>
              <w:spacing w:after="0"/>
              <w:rPr>
                <w:sz w:val="19"/>
                <w:szCs w:val="19"/>
                <w:color w:val="auto"/>
              </w:rPr>
            </w:pPr>
          </w:p>
        </w:tc>
        <w:tc>
          <w:tcPr>
            <w:tcW w:w="14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4:</w:t>
            </w:r>
          </w:p>
        </w:tc>
        <w:tc>
          <w:tcPr>
            <w:tcW w:w="814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1800" w:type="dxa"/>
            <w:vAlign w:val="bottom"/>
            <w:gridSpan w:val="6"/>
            <w:shd w:val="clear" w:color="auto" w:fill="CCEEFF"/>
          </w:tcPr>
          <w:p>
            <w:pPr>
              <w:jc w:val="center"/>
              <w:ind w:left="1330"/>
              <w:spacing w:after="0" w:line="189" w:lineRule="exact"/>
              <w:rPr>
                <w:sz w:val="20"/>
                <w:szCs w:val="20"/>
                <w:color w:val="auto"/>
              </w:rPr>
            </w:pPr>
            <w:r>
              <w:rPr>
                <w:rFonts w:ascii="Times New Roman" w:cs="Times New Roman" w:eastAsia="Times New Roman" w:hAnsi="Times New Roman"/>
                <w:sz w:val="18"/>
                <w:szCs w:val="18"/>
                <w:color w:val="0000FF"/>
                <w:w w:val="99"/>
              </w:rPr>
              <w:t>25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40" w:type="dxa"/>
            <w:vAlign w:val="bottom"/>
            <w:tcBorders>
              <w:top w:val="single" w:sz="8" w:color="CCEEFF"/>
            </w:tcBorders>
          </w:tcPr>
          <w:p>
            <w:pPr>
              <w:spacing w:after="0"/>
              <w:rPr>
                <w:sz w:val="19"/>
                <w:szCs w:val="19"/>
                <w:color w:val="auto"/>
              </w:rPr>
            </w:pPr>
          </w:p>
        </w:tc>
        <w:tc>
          <w:tcPr>
            <w:tcW w:w="8140" w:type="dxa"/>
            <w:vAlign w:val="bottom"/>
            <w:tcBorders>
              <w:top w:val="single" w:sz="8" w:color="CCEEFF"/>
            </w:tcBorders>
          </w:tcPr>
          <w:p>
            <w:pPr>
              <w:spacing w:after="0"/>
              <w:rPr>
                <w:sz w:val="19"/>
                <w:szCs w:val="19"/>
                <w:color w:val="auto"/>
              </w:rPr>
            </w:pPr>
          </w:p>
        </w:tc>
        <w:tc>
          <w:tcPr>
            <w:tcW w:w="14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 w:type="dxa"/>
            <w:vAlign w:val="bottom"/>
            <w:shd w:val="clear" w:color="auto" w:fill="CCEEFF"/>
          </w:tcPr>
          <w:p>
            <w:pPr>
              <w:spacing w:after="0"/>
              <w:rPr>
                <w:sz w:val="19"/>
                <w:szCs w:val="19"/>
                <w:color w:val="auto"/>
              </w:rPr>
            </w:pPr>
          </w:p>
        </w:tc>
        <w:tc>
          <w:tcPr>
            <w:tcW w:w="8140" w:type="dxa"/>
            <w:vAlign w:val="bottom"/>
            <w:shd w:val="clear" w:color="auto" w:fill="CCEEFF"/>
          </w:tcPr>
          <w:p>
            <w:pPr>
              <w:ind w:left="334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86"/>
        </w:trPr>
        <w:tc>
          <w:tcPr>
            <w:tcW w:w="94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1A:</w:t>
            </w:r>
          </w:p>
        </w:tc>
        <w:tc>
          <w:tcPr>
            <w:tcW w:w="814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auto"/>
              </w:rPr>
              <w:t>Risk Factors</w:t>
            </w:r>
          </w:p>
        </w:tc>
        <w:tc>
          <w:tcPr>
            <w:tcW w:w="1800" w:type="dxa"/>
            <w:vAlign w:val="bottom"/>
            <w:gridSpan w:val="6"/>
            <w:shd w:val="clear" w:color="auto" w:fill="CCEEFF"/>
          </w:tcPr>
          <w:p>
            <w:pPr>
              <w:jc w:val="center"/>
              <w:ind w:left="1330"/>
              <w:spacing w:after="0" w:line="189" w:lineRule="exact"/>
              <w:rPr>
                <w:sz w:val="20"/>
                <w:szCs w:val="20"/>
                <w:color w:val="auto"/>
              </w:rPr>
            </w:pPr>
            <w:r>
              <w:rPr>
                <w:rFonts w:ascii="Times New Roman" w:cs="Times New Roman" w:eastAsia="Times New Roman" w:hAnsi="Times New Roman"/>
                <w:sz w:val="18"/>
                <w:szCs w:val="18"/>
                <w:color w:val="0000FF"/>
                <w:w w:val="99"/>
              </w:rPr>
              <w:t>26</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940" w:type="dxa"/>
            <w:vAlign w:val="bottom"/>
            <w:tcBorders>
              <w:top w:val="single" w:sz="8" w:color="CCEEFF"/>
            </w:tcBorders>
          </w:tcPr>
          <w:p>
            <w:pPr>
              <w:spacing w:after="0"/>
              <w:rPr>
                <w:sz w:val="22"/>
                <w:szCs w:val="22"/>
                <w:color w:val="auto"/>
              </w:rPr>
            </w:pPr>
          </w:p>
        </w:tc>
        <w:tc>
          <w:tcPr>
            <w:tcW w:w="8140" w:type="dxa"/>
            <w:vAlign w:val="bottom"/>
            <w:tcBorders>
              <w:top w:val="single" w:sz="8" w:color="CCEEFF"/>
            </w:tcBorders>
          </w:tcPr>
          <w:p>
            <w:pPr>
              <w:spacing w:after="0"/>
              <w:rPr>
                <w:sz w:val="22"/>
                <w:szCs w:val="22"/>
                <w:color w:val="auto"/>
              </w:rPr>
            </w:pPr>
          </w:p>
        </w:tc>
        <w:tc>
          <w:tcPr>
            <w:tcW w:w="14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2:</w:t>
            </w:r>
          </w:p>
        </w:tc>
        <w:tc>
          <w:tcPr>
            <w:tcW w:w="814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800" w:type="dxa"/>
            <w:vAlign w:val="bottom"/>
            <w:gridSpan w:val="6"/>
            <w:shd w:val="clear" w:color="auto" w:fill="CCEEFF"/>
          </w:tcPr>
          <w:p>
            <w:pPr>
              <w:jc w:val="center"/>
              <w:ind w:left="1330"/>
              <w:spacing w:after="0" w:line="189" w:lineRule="exact"/>
              <w:rPr>
                <w:sz w:val="20"/>
                <w:szCs w:val="20"/>
                <w:color w:val="auto"/>
              </w:rPr>
            </w:pPr>
            <w:r>
              <w:rPr>
                <w:rFonts w:ascii="Times New Roman" w:cs="Times New Roman" w:eastAsia="Times New Roman" w:hAnsi="Times New Roman"/>
                <w:sz w:val="18"/>
                <w:szCs w:val="18"/>
                <w:color w:val="0000FF"/>
                <w:w w:val="99"/>
              </w:rPr>
              <w:t>27</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940" w:type="dxa"/>
            <w:vAlign w:val="bottom"/>
            <w:tcBorders>
              <w:top w:val="single" w:sz="8" w:color="CCEEFF"/>
            </w:tcBorders>
          </w:tcPr>
          <w:p>
            <w:pPr>
              <w:spacing w:after="0"/>
              <w:rPr>
                <w:sz w:val="22"/>
                <w:szCs w:val="22"/>
                <w:color w:val="auto"/>
              </w:rPr>
            </w:pPr>
          </w:p>
        </w:tc>
        <w:tc>
          <w:tcPr>
            <w:tcW w:w="8140" w:type="dxa"/>
            <w:vAlign w:val="bottom"/>
            <w:tcBorders>
              <w:top w:val="single" w:sz="8" w:color="CCEEFF"/>
            </w:tcBorders>
          </w:tcPr>
          <w:p>
            <w:pPr>
              <w:spacing w:after="0"/>
              <w:rPr>
                <w:sz w:val="22"/>
                <w:szCs w:val="22"/>
                <w:color w:val="auto"/>
              </w:rPr>
            </w:pPr>
          </w:p>
        </w:tc>
        <w:tc>
          <w:tcPr>
            <w:tcW w:w="14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4:</w:t>
            </w:r>
          </w:p>
        </w:tc>
        <w:tc>
          <w:tcPr>
            <w:tcW w:w="814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1800" w:type="dxa"/>
            <w:vAlign w:val="bottom"/>
            <w:gridSpan w:val="6"/>
            <w:shd w:val="clear" w:color="auto" w:fill="CCEEFF"/>
          </w:tcPr>
          <w:p>
            <w:pPr>
              <w:jc w:val="center"/>
              <w:ind w:left="1330"/>
              <w:spacing w:after="0" w:line="189" w:lineRule="exact"/>
              <w:rPr>
                <w:sz w:val="20"/>
                <w:szCs w:val="20"/>
                <w:color w:val="auto"/>
              </w:rPr>
            </w:pPr>
            <w:r>
              <w:rPr>
                <w:rFonts w:ascii="Times New Roman" w:cs="Times New Roman" w:eastAsia="Times New Roman" w:hAnsi="Times New Roman"/>
                <w:sz w:val="18"/>
                <w:szCs w:val="18"/>
                <w:color w:val="0000FF"/>
                <w:w w:val="99"/>
              </w:rPr>
              <w:t>27</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940" w:type="dxa"/>
            <w:vAlign w:val="bottom"/>
            <w:tcBorders>
              <w:top w:val="single" w:sz="8" w:color="CCEEFF"/>
            </w:tcBorders>
          </w:tcPr>
          <w:p>
            <w:pPr>
              <w:spacing w:after="0"/>
              <w:rPr>
                <w:sz w:val="22"/>
                <w:szCs w:val="22"/>
                <w:color w:val="auto"/>
              </w:rPr>
            </w:pPr>
          </w:p>
        </w:tc>
        <w:tc>
          <w:tcPr>
            <w:tcW w:w="8140" w:type="dxa"/>
            <w:vAlign w:val="bottom"/>
            <w:tcBorders>
              <w:top w:val="single" w:sz="8" w:color="CCEEFF"/>
            </w:tcBorders>
          </w:tcPr>
          <w:p>
            <w:pPr>
              <w:spacing w:after="0"/>
              <w:rPr>
                <w:sz w:val="22"/>
                <w:szCs w:val="22"/>
                <w:color w:val="auto"/>
              </w:rPr>
            </w:pPr>
          </w:p>
        </w:tc>
        <w:tc>
          <w:tcPr>
            <w:tcW w:w="14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6:</w:t>
            </w:r>
          </w:p>
        </w:tc>
        <w:tc>
          <w:tcPr>
            <w:tcW w:w="814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1800" w:type="dxa"/>
            <w:vAlign w:val="bottom"/>
            <w:gridSpan w:val="6"/>
            <w:shd w:val="clear" w:color="auto" w:fill="CCEEFF"/>
          </w:tcPr>
          <w:p>
            <w:pPr>
              <w:jc w:val="center"/>
              <w:ind w:left="1330"/>
              <w:spacing w:after="0" w:line="189" w:lineRule="exact"/>
              <w:rPr>
                <w:sz w:val="20"/>
                <w:szCs w:val="20"/>
                <w:color w:val="auto"/>
              </w:rPr>
            </w:pPr>
            <w:r>
              <w:rPr>
                <w:rFonts w:ascii="Times New Roman" w:cs="Times New Roman" w:eastAsia="Times New Roman" w:hAnsi="Times New Roman"/>
                <w:sz w:val="18"/>
                <w:szCs w:val="18"/>
                <w:color w:val="0000FF"/>
                <w:w w:val="99"/>
              </w:rPr>
              <w:t>28</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40" w:type="dxa"/>
            <w:vAlign w:val="bottom"/>
            <w:tcBorders>
              <w:top w:val="single" w:sz="8" w:color="CCEEFF"/>
            </w:tcBorders>
          </w:tcPr>
          <w:p>
            <w:pPr>
              <w:spacing w:after="0"/>
              <w:rPr>
                <w:sz w:val="19"/>
                <w:szCs w:val="19"/>
                <w:color w:val="auto"/>
              </w:rPr>
            </w:pPr>
          </w:p>
        </w:tc>
        <w:tc>
          <w:tcPr>
            <w:tcW w:w="8140" w:type="dxa"/>
            <w:vAlign w:val="bottom"/>
            <w:tcBorders>
              <w:top w:val="single" w:sz="8" w:color="CCEEFF"/>
            </w:tcBorders>
          </w:tcPr>
          <w:p>
            <w:pPr>
              <w:spacing w:after="0"/>
              <w:rPr>
                <w:sz w:val="19"/>
                <w:szCs w:val="19"/>
                <w:color w:val="auto"/>
              </w:rPr>
            </w:pPr>
          </w:p>
        </w:tc>
        <w:tc>
          <w:tcPr>
            <w:tcW w:w="14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940" w:type="dxa"/>
            <w:vAlign w:val="bottom"/>
            <w:shd w:val="clear" w:color="auto" w:fill="CCEEFF"/>
          </w:tcPr>
          <w:p>
            <w:pPr>
              <w:spacing w:after="0"/>
              <w:rPr>
                <w:sz w:val="16"/>
                <w:szCs w:val="16"/>
                <w:color w:val="auto"/>
              </w:rPr>
            </w:pPr>
          </w:p>
        </w:tc>
        <w:tc>
          <w:tcPr>
            <w:tcW w:w="814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1800" w:type="dxa"/>
            <w:vAlign w:val="bottom"/>
            <w:gridSpan w:val="6"/>
            <w:shd w:val="clear" w:color="auto" w:fill="CCEEFF"/>
          </w:tcPr>
          <w:p>
            <w:pPr>
              <w:jc w:val="center"/>
              <w:ind w:left="1330"/>
              <w:spacing w:after="0" w:line="189" w:lineRule="exact"/>
              <w:rPr>
                <w:sz w:val="20"/>
                <w:szCs w:val="20"/>
                <w:color w:val="auto"/>
              </w:rPr>
            </w:pPr>
            <w:r>
              <w:rPr>
                <w:rFonts w:ascii="Times New Roman" w:cs="Times New Roman" w:eastAsia="Times New Roman" w:hAnsi="Times New Roman"/>
                <w:sz w:val="18"/>
                <w:szCs w:val="18"/>
                <w:color w:val="0000FF"/>
                <w:w w:val="99"/>
              </w:rPr>
              <w:t>29</w:t>
            </w: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40" w:type="dxa"/>
            <w:vAlign w:val="bottom"/>
            <w:tcBorders>
              <w:top w:val="single" w:sz="8" w:color="CCEEFF"/>
            </w:tcBorders>
            <w:shd w:val="clear" w:color="auto" w:fill="CCEEFF"/>
          </w:tcPr>
          <w:p>
            <w:pPr>
              <w:spacing w:after="0" w:line="20" w:lineRule="exact"/>
              <w:rPr>
                <w:sz w:val="1"/>
                <w:szCs w:val="1"/>
                <w:color w:val="auto"/>
              </w:rPr>
            </w:pPr>
          </w:p>
        </w:tc>
        <w:tc>
          <w:tcPr>
            <w:tcW w:w="814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statements in this report, including, but not limited to, those under the heading "Management’s Discussion and Analysis of Financial Condition and Results of Operations," and those statements elsewhere in this report and other documents that we file with the Securities and Exchange Commission ("SEC"), contain forward-looking statements that are based on current expectations, estimates, forecasts and projections about our future performance, our business,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"potential," "strive," and variations of such words and similar expressions are intended to identify such forward-looking statements, which are made pursuant to the safe harbor provisions of the Private Securities Litigation Reform Act of 1995.</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Such statements are subject to certain risks, uncertainties and assumptions that could cause actual results to differ materially, including, but not limited to, those described herein and in Item 1A, "Risk Factors", in our Annual Report on Form 10-K for the fiscal year ended July 31, 2023, and from time to time in our filings with the SEC. Should one or more of these or other risks or uncertainties materialize, or should underlying assumptions prove incorrect, actual results may vary materially from those anticipated, intended, expected, believed, estimated, projected or planned. Investors are cautioned not to place undue reliance on these forward-looking statements, which speak only as of the date hereof. Except to the extent required by law, we do not have any intention or obligation to update publicly any forward-looking statements after the distribution of this report, whether as a result of new information, future events, changes in assumptions or otherwise.</w:t>
      </w:r>
    </w:p>
    <w:p>
      <w:pPr>
        <w:spacing w:after="0" w:line="18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TRADEMARK NOTICE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"Oil-Dri" is a registered trademark of Oil-Dri Corporation of America.</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83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3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900" w:type="dxa"/>
            <w:vAlign w:val="bottom"/>
          </w:tcPr>
          <w:p>
            <w:pPr>
              <w:ind w:left="1820"/>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90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90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(Unaudited)</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40" w:type="dxa"/>
            <w:vAlign w:val="bottom"/>
          </w:tcPr>
          <w:p>
            <w:pPr>
              <w:spacing w:after="0"/>
              <w:rPr>
                <w:sz w:val="24"/>
                <w:szCs w:val="24"/>
                <w:color w:val="auto"/>
              </w:rPr>
            </w:pPr>
          </w:p>
        </w:tc>
        <w:tc>
          <w:tcPr>
            <w:tcW w:w="832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(in thousands, except for share and per share amounts)</w:t>
            </w: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900" w:type="dxa"/>
            <w:vAlign w:val="bottom"/>
            <w:vMerge w:val="restart"/>
          </w:tcPr>
          <w:p>
            <w:pPr>
              <w:ind w:left="14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Pr>
          <w:p>
            <w:pPr>
              <w:spacing w:after="0"/>
              <w:rPr>
                <w:sz w:val="14"/>
                <w:szCs w:val="14"/>
                <w:color w:val="auto"/>
              </w:rPr>
            </w:pPr>
          </w:p>
        </w:tc>
        <w:tc>
          <w:tcPr>
            <w:tcW w:w="1300" w:type="dxa"/>
            <w:vAlign w:val="bottom"/>
            <w:gridSpan w:val="2"/>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October 31,</w:t>
            </w:r>
          </w:p>
        </w:tc>
        <w:tc>
          <w:tcPr>
            <w:tcW w:w="260" w:type="dxa"/>
            <w:vAlign w:val="bottom"/>
          </w:tcPr>
          <w:p>
            <w:pPr>
              <w:spacing w:after="0"/>
              <w:rPr>
                <w:sz w:val="14"/>
                <w:szCs w:val="14"/>
                <w:color w:val="auto"/>
              </w:rPr>
            </w:pPr>
          </w:p>
        </w:tc>
        <w:tc>
          <w:tcPr>
            <w:tcW w:w="1120" w:type="dxa"/>
            <w:vAlign w:val="bottom"/>
          </w:tcPr>
          <w:p>
            <w:pPr>
              <w:jc w:val="right"/>
              <w:ind w:right="290"/>
              <w:spacing w:after="0" w:line="169" w:lineRule="exact"/>
              <w:rPr>
                <w:sz w:val="20"/>
                <w:szCs w:val="20"/>
                <w:color w:val="auto"/>
              </w:rPr>
            </w:pPr>
            <w:r>
              <w:rPr>
                <w:rFonts w:ascii="Times New Roman" w:cs="Times New Roman" w:eastAsia="Times New Roman" w:hAnsi="Times New Roman"/>
                <w:sz w:val="18"/>
                <w:szCs w:val="18"/>
                <w:b w:val="1"/>
                <w:bCs w:val="1"/>
                <w:color w:val="auto"/>
              </w:rPr>
              <w:t>July 31,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900" w:type="dxa"/>
            <w:vAlign w:val="bottom"/>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8320" w:type="dxa"/>
            <w:vAlign w:val="bottom"/>
            <w:gridSpan w:val="4"/>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Current Assets</w:t>
            </w: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tcPr>
          <w:p>
            <w:pPr>
              <w:spacing w:after="0"/>
              <w:rPr>
                <w:sz w:val="19"/>
                <w:szCs w:val="19"/>
                <w:color w:val="auto"/>
              </w:rPr>
            </w:pPr>
          </w:p>
        </w:tc>
        <w:tc>
          <w:tcPr>
            <w:tcW w:w="8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31,754</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32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Accounts receivable, net allowances of</w:t>
            </w:r>
          </w:p>
        </w:tc>
        <w:tc>
          <w:tcPr>
            <w:tcW w:w="18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60,663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$1,115 and $1,087 at October 31, 2023 and July 31, 2023, respectively</w:t>
            </w:r>
          </w:p>
        </w:tc>
        <w:tc>
          <w:tcPr>
            <w:tcW w:w="18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59,287</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43,832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42,612</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32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2,692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2,854</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320" w:type="dxa"/>
            <w:vAlign w:val="bottom"/>
            <w:gridSpan w:val="4"/>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136,766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136,507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832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Property, Plant and Equipment</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4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Cost</w:t>
            </w:r>
          </w:p>
        </w:tc>
        <w:tc>
          <w:tcPr>
            <w:tcW w:w="59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2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308,564</w:t>
            </w:r>
          </w:p>
        </w:tc>
        <w:tc>
          <w:tcPr>
            <w:tcW w:w="1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303,871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(185,348)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(182,999)</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320" w:type="dxa"/>
            <w:vAlign w:val="bottom"/>
            <w:tcBorders>
              <w:bottom w:val="single" w:sz="8" w:color="CCEEFF"/>
            </w:tcBorders>
            <w:gridSpan w:val="4"/>
          </w:tcPr>
          <w:p>
            <w:pPr>
              <w:ind w:left="780"/>
              <w:spacing w:after="0"/>
              <w:rPr>
                <w:sz w:val="20"/>
                <w:szCs w:val="20"/>
                <w:color w:val="auto"/>
              </w:rPr>
            </w:pPr>
            <w:r>
              <w:rPr>
                <w:rFonts w:ascii="Times New Roman" w:cs="Times New Roman" w:eastAsia="Times New Roman" w:hAnsi="Times New Roman"/>
                <w:sz w:val="18"/>
                <w:szCs w:val="18"/>
                <w:b w:val="1"/>
                <w:bCs w:val="1"/>
                <w:color w:val="auto"/>
              </w:rPr>
              <w:t>Total Property, Plant and Equipment, Net</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123,216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120,872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5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32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Other Assets</w:t>
            </w: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Pr>
          <w:p>
            <w:pPr>
              <w:spacing w:after="0"/>
              <w:rPr>
                <w:sz w:val="19"/>
                <w:szCs w:val="19"/>
                <w:color w:val="auto"/>
              </w:rPr>
            </w:pPr>
          </w:p>
        </w:tc>
        <w:tc>
          <w:tcPr>
            <w:tcW w:w="8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32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Trademarks and patents, net of accumulated amortization</w:t>
            </w:r>
          </w:p>
        </w:tc>
        <w:tc>
          <w:tcPr>
            <w:tcW w:w="18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1,427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of $581 and $578 at October 31, 2023 and July 31, 2023, respectively</w:t>
            </w:r>
          </w:p>
        </w:tc>
        <w:tc>
          <w:tcPr>
            <w:tcW w:w="18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32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Customer list, net of accumulated amortization</w:t>
            </w:r>
          </w:p>
        </w:tc>
        <w:tc>
          <w:tcPr>
            <w:tcW w:w="18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2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of $7,785 and $7,763 at October 31, 2023 and July 31, 2023, respectively</w:t>
            </w:r>
          </w:p>
        </w:tc>
        <w:tc>
          <w:tcPr>
            <w:tcW w:w="180" w:type="dxa"/>
            <w:vAlign w:val="bottom"/>
            <w:shd w:val="clear" w:color="auto" w:fill="CCEEFF"/>
          </w:tcPr>
          <w:p>
            <w:pPr>
              <w:spacing w:after="0"/>
              <w:rPr>
                <w:sz w:val="21"/>
                <w:szCs w:val="21"/>
                <w:color w:val="auto"/>
              </w:rPr>
            </w:pPr>
          </w:p>
        </w:tc>
        <w:tc>
          <w:tcPr>
            <w:tcW w:w="1300" w:type="dxa"/>
            <w:vAlign w:val="bottom"/>
            <w:gridSpan w:val="2"/>
            <w:vMerge w:val="continue"/>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2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7,769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320" w:type="dxa"/>
            <w:vAlign w:val="bottom"/>
            <w:gridSpan w:val="4"/>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Total 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28,786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40" w:type="dxa"/>
            <w:vAlign w:val="bottom"/>
          </w:tcPr>
          <w:p>
            <w:pPr>
              <w:spacing w:after="0"/>
              <w:rPr>
                <w:sz w:val="21"/>
                <w:szCs w:val="21"/>
                <w:color w:val="auto"/>
              </w:rPr>
            </w:pPr>
          </w:p>
        </w:tc>
        <w:tc>
          <w:tcPr>
            <w:tcW w:w="832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288,768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286,235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5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0" w:type="dxa"/>
            <w:vAlign w:val="bottom"/>
          </w:tcPr>
          <w:p>
            <w:pPr>
              <w:spacing w:after="0"/>
              <w:rPr>
                <w:sz w:val="20"/>
                <w:szCs w:val="20"/>
                <w:color w:val="auto"/>
              </w:rPr>
            </w:pPr>
          </w:p>
        </w:tc>
        <w:tc>
          <w:tcPr>
            <w:tcW w:w="826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(in thousands, except for share and per share amounts)</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540" w:type="dxa"/>
            <w:vAlign w:val="bottom"/>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LIABILITIES &amp; STOCKHOLDERS’ EQUITY</w:t>
            </w:r>
          </w:p>
        </w:tc>
        <w:tc>
          <w:tcPr>
            <w:tcW w:w="160" w:type="dxa"/>
            <w:vAlign w:val="bottom"/>
          </w:tcPr>
          <w:p>
            <w:pPr>
              <w:spacing w:after="0"/>
              <w:rPr>
                <w:sz w:val="14"/>
                <w:szCs w:val="14"/>
                <w:color w:val="auto"/>
              </w:rPr>
            </w:pPr>
          </w:p>
        </w:tc>
        <w:tc>
          <w:tcPr>
            <w:tcW w:w="1440" w:type="dxa"/>
            <w:vAlign w:val="bottom"/>
            <w:gridSpan w:val="2"/>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October 31,</w:t>
            </w:r>
          </w:p>
        </w:tc>
        <w:tc>
          <w:tcPr>
            <w:tcW w:w="240" w:type="dxa"/>
            <w:vAlign w:val="bottom"/>
          </w:tcPr>
          <w:p>
            <w:pPr>
              <w:spacing w:after="0"/>
              <w:rPr>
                <w:sz w:val="14"/>
                <w:szCs w:val="14"/>
                <w:color w:val="auto"/>
              </w:rPr>
            </w:pPr>
          </w:p>
        </w:tc>
        <w:tc>
          <w:tcPr>
            <w:tcW w:w="1100" w:type="dxa"/>
            <w:vAlign w:val="bottom"/>
          </w:tcPr>
          <w:p>
            <w:pPr>
              <w:jc w:val="right"/>
              <w:ind w:right="270"/>
              <w:spacing w:after="0" w:line="169" w:lineRule="exact"/>
              <w:rPr>
                <w:sz w:val="20"/>
                <w:szCs w:val="20"/>
                <w:color w:val="auto"/>
              </w:rPr>
            </w:pPr>
            <w:r>
              <w:rPr>
                <w:rFonts w:ascii="Times New Roman" w:cs="Times New Roman" w:eastAsia="Times New Roman" w:hAnsi="Times New Roman"/>
                <w:sz w:val="18"/>
                <w:szCs w:val="18"/>
                <w:b w:val="1"/>
                <w:bCs w:val="1"/>
                <w:color w:val="auto"/>
              </w:rPr>
              <w:t>July 31,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540" w:type="dxa"/>
            <w:vAlign w:val="bottom"/>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60" w:type="dxa"/>
            <w:vAlign w:val="bottom"/>
            <w:gridSpan w:val="4"/>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Current Liabilities</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maturities of notes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14,867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payable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1,953</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1,872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32,613</w:t>
            </w:r>
          </w:p>
        </w:tc>
        <w:tc>
          <w:tcPr>
            <w:tcW w:w="2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36,868</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8260" w:type="dxa"/>
            <w:vAlign w:val="bottom"/>
            <w:tcBorders>
              <w:bottom w:val="single" w:sz="8" w:color="CCEEFF"/>
            </w:tcBorders>
            <w:gridSpan w:val="4"/>
          </w:tcPr>
          <w:p>
            <w:pPr>
              <w:ind w:left="7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52,305</w:t>
            </w: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58,768</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26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826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Notes payable, net of unamortized debt issuance costs</w:t>
            </w:r>
          </w:p>
        </w:tc>
        <w:tc>
          <w:tcPr>
            <w:tcW w:w="1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30,842</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826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of $158 and $173 at October 31, 2023 and July 31, 2023, respectively</w:t>
            </w:r>
          </w:p>
        </w:tc>
        <w:tc>
          <w:tcPr>
            <w:tcW w:w="16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Deferred compensation</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5,024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8,345</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8,810</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26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6,336</w:t>
            </w: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6,242</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50,547</w:t>
            </w:r>
          </w:p>
        </w:tc>
        <w:tc>
          <w:tcPr>
            <w:tcW w:w="2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50,391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102,852</w:t>
            </w:r>
          </w:p>
        </w:tc>
        <w:tc>
          <w:tcPr>
            <w:tcW w:w="2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109,159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Stockholders’ Equity</w:t>
            </w:r>
          </w:p>
        </w:tc>
        <w:tc>
          <w:tcPr>
            <w:tcW w:w="6620" w:type="dxa"/>
            <w:vAlign w:val="bottom"/>
            <w:tcBorders>
              <w:bottom w:val="single" w:sz="8" w:color="CCEEFF"/>
            </w:tcBorders>
            <w:gridSpan w:val="2"/>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26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Common Stock, par value $.10 per share, issued 8,807,223 shares at October 31, 2023</w:t>
            </w:r>
          </w:p>
        </w:tc>
        <w:tc>
          <w:tcPr>
            <w:tcW w:w="1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881</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and 8,750,223 shares at July 31, 2023</w:t>
            </w:r>
          </w:p>
        </w:tc>
        <w:tc>
          <w:tcPr>
            <w:tcW w:w="16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826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Class B Stock, par value $.10 per share, issued 2,522,056 shares at October 31, 2023</w:t>
            </w:r>
          </w:p>
        </w:tc>
        <w:tc>
          <w:tcPr>
            <w:tcW w:w="1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826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and 2,397,056 shares at July 31, 2023</w:t>
            </w:r>
          </w:p>
        </w:tc>
        <w:tc>
          <w:tcPr>
            <w:tcW w:w="16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56,746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55,624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209,585</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826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Less Treasury Stock, at cost (3,674,818 Common and 351,641 Class B shares at</w:t>
            </w:r>
          </w:p>
        </w:tc>
        <w:tc>
          <w:tcPr>
            <w:tcW w:w="1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(82,111)</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8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31, 2023 and 3,658,989 Common and 351,641 Class B shares at July 31, 2023)</w:t>
            </w:r>
          </w:p>
        </w:tc>
        <w:tc>
          <w:tcPr>
            <w:tcW w:w="1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(81,207)</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8260" w:type="dxa"/>
            <w:vAlign w:val="bottom"/>
            <w:tcBorders>
              <w:bottom w:val="single" w:sz="8" w:color="CCEEFF"/>
            </w:tcBorders>
            <w:gridSpan w:val="4"/>
          </w:tcPr>
          <w:p>
            <w:pPr>
              <w:ind w:left="78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185,916</w:t>
            </w: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177,076</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 Liabilities &amp;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288,768</w:t>
            </w:r>
          </w:p>
        </w:tc>
        <w:tc>
          <w:tcPr>
            <w:tcW w:w="2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286,235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for per share amounts)</w:t>
            </w:r>
          </w:p>
        </w:tc>
        <w:tc>
          <w:tcPr>
            <w:tcW w:w="220" w:type="dxa"/>
            <w:vAlign w:val="bottom"/>
          </w:tcPr>
          <w:p>
            <w:pPr>
              <w:spacing w:after="0"/>
              <w:rPr>
                <w:sz w:val="17"/>
                <w:szCs w:val="17"/>
                <w:color w:val="auto"/>
              </w:rPr>
            </w:pPr>
          </w:p>
        </w:tc>
        <w:tc>
          <w:tcPr>
            <w:tcW w:w="272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0" w:type="dxa"/>
            <w:vAlign w:val="bottom"/>
          </w:tcPr>
          <w:p>
            <w:pPr>
              <w:spacing w:after="0"/>
              <w:rPr>
                <w:sz w:val="1"/>
                <w:szCs w:val="1"/>
                <w:color w:val="auto"/>
              </w:rPr>
            </w:pPr>
          </w:p>
        </w:tc>
      </w:tr>
      <w:tr>
        <w:trPr>
          <w:trHeight w:val="243"/>
        </w:trPr>
        <w:tc>
          <w:tcPr>
            <w:tcW w:w="8280" w:type="dxa"/>
            <w:vAlign w:val="bottom"/>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9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128"/>
        </w:trPr>
        <w:tc>
          <w:tcPr>
            <w:tcW w:w="8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111,438</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98,539</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(80,447)</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(76,229)</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30,991</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22,310</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(17,835)</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(15,741)</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13,156</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6,569</w:t>
            </w:r>
          </w:p>
        </w:tc>
        <w:tc>
          <w:tcPr>
            <w:tcW w:w="0" w:type="dxa"/>
            <w:vAlign w:val="bottom"/>
          </w:tcPr>
          <w:p>
            <w:pPr>
              <w:spacing w:after="0"/>
              <w:rPr>
                <w:sz w:val="1"/>
                <w:szCs w:val="1"/>
                <w:color w:val="auto"/>
              </w:rPr>
            </w:pPr>
          </w:p>
        </w:tc>
      </w:tr>
      <w:tr>
        <w:trPr>
          <w:trHeight w:val="128"/>
        </w:trPr>
        <w:tc>
          <w:tcPr>
            <w:tcW w:w="8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(361)</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9"/>
        </w:trPr>
        <w:tc>
          <w:tcPr>
            <w:tcW w:w="8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b w:val="1"/>
                <w:bCs w:val="1"/>
                <w:color w:val="auto"/>
              </w:rPr>
              <w:t>Total Other Expense, Net</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128"/>
        </w:trPr>
        <w:tc>
          <w:tcPr>
            <w:tcW w:w="8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12,830</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6,437</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(2,088)</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10,742</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5,230</w:t>
            </w:r>
          </w:p>
        </w:tc>
        <w:tc>
          <w:tcPr>
            <w:tcW w:w="0" w:type="dxa"/>
            <w:vAlign w:val="bottom"/>
          </w:tcPr>
          <w:p>
            <w:pPr>
              <w:spacing w:after="0"/>
              <w:rPr>
                <w:sz w:val="1"/>
                <w:szCs w:val="1"/>
                <w:color w:val="auto"/>
              </w:rPr>
            </w:pPr>
          </w:p>
        </w:tc>
      </w:tr>
      <w:tr>
        <w:trPr>
          <w:trHeight w:val="22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Noncontrolling Interest</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Oil-Dri</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10,742</w:t>
            </w:r>
          </w:p>
        </w:tc>
        <w:tc>
          <w:tcPr>
            <w:tcW w:w="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5,241</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8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Basic Common</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1.61</w:t>
            </w:r>
          </w:p>
        </w:tc>
        <w:tc>
          <w:tcPr>
            <w:tcW w:w="2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Basic Class B Common</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r>
        <w:trPr>
          <w:trHeight w:val="230"/>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Diluted Common</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w:t>
            </w:r>
          </w:p>
        </w:tc>
        <w:tc>
          <w:tcPr>
            <w:tcW w:w="2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Diluted Class B Common</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Average Shares Outstanding</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Basic Common</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4,827</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4,804</w:t>
            </w:r>
          </w:p>
        </w:tc>
        <w:tc>
          <w:tcPr>
            <w:tcW w:w="0" w:type="dxa"/>
            <w:vAlign w:val="bottom"/>
          </w:tcPr>
          <w:p>
            <w:pPr>
              <w:spacing w:after="0"/>
              <w:rPr>
                <w:sz w:val="1"/>
                <w:szCs w:val="1"/>
                <w:color w:val="auto"/>
              </w:rPr>
            </w:pPr>
          </w:p>
        </w:tc>
      </w:tr>
      <w:tr>
        <w:trPr>
          <w:trHeight w:val="230"/>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Basic Class B Common</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1,967</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Diluted Common</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6,794</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4,913</w:t>
            </w:r>
          </w:p>
        </w:tc>
        <w:tc>
          <w:tcPr>
            <w:tcW w:w="0" w:type="dxa"/>
            <w:vAlign w:val="bottom"/>
          </w:tcPr>
          <w:p>
            <w:pPr>
              <w:spacing w:after="0"/>
              <w:rPr>
                <w:sz w:val="1"/>
                <w:szCs w:val="1"/>
                <w:color w:val="auto"/>
              </w:rPr>
            </w:pPr>
          </w:p>
        </w:tc>
      </w:tr>
      <w:tr>
        <w:trPr>
          <w:trHeight w:val="230"/>
        </w:trPr>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Diluted Class B Common</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1,967</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Dividends Declared Per Share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Basic Common</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0.290</w:t>
            </w:r>
          </w:p>
        </w:tc>
        <w:tc>
          <w:tcPr>
            <w:tcW w:w="2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0.280</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Basic Class B Common</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0.218</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17"/>
                <w:szCs w:val="17"/>
                <w:color w:val="auto"/>
              </w:rPr>
            </w:pPr>
          </w:p>
        </w:tc>
        <w:tc>
          <w:tcPr>
            <w:tcW w:w="272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0" w:type="dxa"/>
            <w:vAlign w:val="bottom"/>
          </w:tcPr>
          <w:p>
            <w:pPr>
              <w:spacing w:after="0"/>
              <w:rPr>
                <w:sz w:val="1"/>
                <w:szCs w:val="1"/>
                <w:color w:val="auto"/>
              </w:rPr>
            </w:pPr>
          </w:p>
        </w:tc>
      </w:tr>
      <w:tr>
        <w:trPr>
          <w:trHeight w:val="234"/>
        </w:trPr>
        <w:tc>
          <w:tcPr>
            <w:tcW w:w="82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8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37"/>
        </w:trPr>
        <w:tc>
          <w:tcPr>
            <w:tcW w:w="8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Oil-Dri</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10,742</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5,241</w:t>
            </w:r>
          </w:p>
        </w:tc>
        <w:tc>
          <w:tcPr>
            <w:tcW w:w="0" w:type="dxa"/>
            <w:vAlign w:val="bottom"/>
          </w:tcPr>
          <w:p>
            <w:pPr>
              <w:spacing w:after="0"/>
              <w:rPr>
                <w:sz w:val="1"/>
                <w:szCs w:val="1"/>
                <w:color w:val="auto"/>
              </w:rPr>
            </w:pPr>
          </w:p>
        </w:tc>
      </w:tr>
      <w:tr>
        <w:trPr>
          <w:trHeight w:val="257"/>
        </w:trPr>
        <w:tc>
          <w:tcPr>
            <w:tcW w:w="8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Pension and postretirement benefits (net of tax)</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2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(185)</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10,557</w:t>
            </w:r>
          </w:p>
        </w:tc>
        <w:tc>
          <w:tcPr>
            <w:tcW w:w="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4,848</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ectPr>
          <w:pgSz w:w="11900" w:h="16838" w:orient="portrait"/>
          <w:cols w:equalWidth="0" w:num="1">
            <w:col w:w="11220"/>
          </w:cols>
          <w:pgMar w:left="320" w:top="887" w:right="359" w:bottom="99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997" w:gutter="0" w:footer="0" w:header="0"/>
          <w:type w:val="continuous"/>
        </w:sectPr>
      </w:pPr>
    </w:p>
    <w:bookmarkStart w:id="6" w:name="page7"/>
    <w:bookmarkEnd w:id="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38" w:lineRule="exact"/>
        <w:rPr>
          <w:sz w:val="20"/>
          <w:szCs w:val="20"/>
          <w:color w:val="auto"/>
        </w:rPr>
      </w:pPr>
    </w:p>
    <w:tbl>
      <w:tblPr>
        <w:tblLayout w:type="fixed"/>
        <w:tblInd w:w="2040" w:type="dxa"/>
        <w:tblCellMar>
          <w:top w:w="0" w:type="dxa"/>
          <w:left w:w="0" w:type="dxa"/>
          <w:bottom w:w="0" w:type="dxa"/>
          <w:right w:w="0" w:type="dxa"/>
        </w:tblCellMar>
      </w:tblPr>
      <w:tr>
        <w:trPr>
          <w:trHeight w:val="160"/>
        </w:trPr>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920" w:type="dxa"/>
            <w:vAlign w:val="bottom"/>
            <w:gridSpan w:val="3"/>
          </w:tcPr>
          <w:p>
            <w:pPr>
              <w:jc w:val="center"/>
              <w:ind w:left="479"/>
              <w:spacing w:after="0"/>
              <w:rPr>
                <w:sz w:val="20"/>
                <w:szCs w:val="20"/>
                <w:color w:val="auto"/>
              </w:rPr>
            </w:pPr>
            <w:r>
              <w:rPr>
                <w:rFonts w:ascii="Times New Roman" w:cs="Times New Roman" w:eastAsia="Times New Roman" w:hAnsi="Times New Roman"/>
                <w:sz w:val="12"/>
                <w:szCs w:val="12"/>
                <w:b w:val="1"/>
                <w:bCs w:val="1"/>
                <w:color w:val="auto"/>
              </w:rPr>
              <w:t>For the Three Months Ended October 31</w:t>
            </w:r>
          </w:p>
        </w:tc>
        <w:tc>
          <w:tcPr>
            <w:tcW w:w="1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9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3"/>
          </w:tcPr>
          <w:p>
            <w:pPr>
              <w:jc w:val="center"/>
              <w:ind w:left="479"/>
              <w:spacing w:after="0"/>
              <w:rPr>
                <w:sz w:val="20"/>
                <w:szCs w:val="20"/>
                <w:color w:val="auto"/>
              </w:rPr>
            </w:pPr>
            <w:r>
              <w:rPr>
                <w:rFonts w:ascii="Times New Roman" w:cs="Times New Roman" w:eastAsia="Times New Roman" w:hAnsi="Times New Roman"/>
                <w:sz w:val="12"/>
                <w:szCs w:val="12"/>
                <w:b w:val="1"/>
                <w:bCs w:val="1"/>
                <w:i w:val="1"/>
                <w:iCs w:val="1"/>
                <w:color w:val="auto"/>
              </w:rPr>
              <w:t>(in thousands, except share amounts)</w:t>
            </w:r>
          </w:p>
        </w:tc>
        <w:tc>
          <w:tcPr>
            <w:tcW w:w="1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86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12"/>
                <w:szCs w:val="12"/>
                <w:color w:val="auto"/>
              </w:rPr>
              <w:t>Number of Shares</w:t>
            </w: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980" w:type="dxa"/>
            <w:vAlign w:val="bottom"/>
          </w:tcPr>
          <w:p>
            <w:pPr>
              <w:jc w:val="center"/>
              <w:spacing w:after="0" w:line="122" w:lineRule="exact"/>
              <w:rPr>
                <w:sz w:val="20"/>
                <w:szCs w:val="20"/>
                <w:color w:val="auto"/>
              </w:rPr>
            </w:pPr>
            <w:r>
              <w:rPr>
                <w:rFonts w:ascii="Times New Roman" w:cs="Times New Roman" w:eastAsia="Times New Roman" w:hAnsi="Times New Roman"/>
                <w:sz w:val="12"/>
                <w:szCs w:val="12"/>
                <w:color w:val="auto"/>
                <w:w w:val="99"/>
              </w:rPr>
              <w:t>Common &amp; Class</w:t>
            </w:r>
          </w:p>
        </w:tc>
        <w:tc>
          <w:tcPr>
            <w:tcW w:w="88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auto"/>
              </w:rPr>
              <w:t>Treasury Stock</w:t>
            </w:r>
          </w:p>
        </w:tc>
        <w:tc>
          <w:tcPr>
            <w:tcW w:w="980" w:type="dxa"/>
            <w:vAlign w:val="bottom"/>
          </w:tcPr>
          <w:p>
            <w:pPr>
              <w:jc w:val="center"/>
              <w:spacing w:after="0" w:line="122" w:lineRule="exact"/>
              <w:rPr>
                <w:sz w:val="20"/>
                <w:szCs w:val="20"/>
                <w:color w:val="auto"/>
              </w:rPr>
            </w:pPr>
            <w:r>
              <w:rPr>
                <w:rFonts w:ascii="Times New Roman" w:cs="Times New Roman" w:eastAsia="Times New Roman" w:hAnsi="Times New Roman"/>
                <w:sz w:val="12"/>
                <w:szCs w:val="12"/>
                <w:color w:val="auto"/>
              </w:rPr>
              <w:t>Common &amp;</w:t>
            </w:r>
          </w:p>
        </w:tc>
        <w:tc>
          <w:tcPr>
            <w:tcW w:w="1120" w:type="dxa"/>
            <w:vAlign w:val="bottom"/>
          </w:tcPr>
          <w:p>
            <w:pPr>
              <w:jc w:val="center"/>
              <w:ind w:right="19"/>
              <w:spacing w:after="0" w:line="122" w:lineRule="exact"/>
              <w:rPr>
                <w:sz w:val="20"/>
                <w:szCs w:val="20"/>
                <w:color w:val="auto"/>
              </w:rPr>
            </w:pPr>
            <w:r>
              <w:rPr>
                <w:rFonts w:ascii="Times New Roman" w:cs="Times New Roman" w:eastAsia="Times New Roman" w:hAnsi="Times New Roman"/>
                <w:sz w:val="12"/>
                <w:szCs w:val="12"/>
                <w:color w:val="auto"/>
              </w:rPr>
              <w:t>Additional Paid-</w:t>
            </w:r>
          </w:p>
        </w:tc>
        <w:tc>
          <w:tcPr>
            <w:tcW w:w="800" w:type="dxa"/>
            <w:vAlign w:val="bottom"/>
          </w:tcPr>
          <w:p>
            <w:pPr>
              <w:ind w:left="220"/>
              <w:spacing w:after="0" w:line="122" w:lineRule="exact"/>
              <w:rPr>
                <w:sz w:val="20"/>
                <w:szCs w:val="20"/>
                <w:color w:val="auto"/>
              </w:rPr>
            </w:pPr>
            <w:r>
              <w:rPr>
                <w:rFonts w:ascii="Times New Roman" w:cs="Times New Roman" w:eastAsia="Times New Roman" w:hAnsi="Times New Roman"/>
                <w:sz w:val="12"/>
                <w:szCs w:val="12"/>
                <w:color w:val="auto"/>
              </w:rPr>
              <w:t>Retained</w:t>
            </w:r>
          </w:p>
        </w:tc>
        <w:tc>
          <w:tcPr>
            <w:tcW w:w="100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auto"/>
              </w:rPr>
              <w:t>Treasury Stock</w:t>
            </w:r>
          </w:p>
        </w:tc>
        <w:tc>
          <w:tcPr>
            <w:tcW w:w="1240" w:type="dxa"/>
            <w:vAlign w:val="bottom"/>
          </w:tcPr>
          <w:p>
            <w:pPr>
              <w:jc w:val="center"/>
              <w:spacing w:after="0" w:line="122" w:lineRule="exact"/>
              <w:rPr>
                <w:sz w:val="20"/>
                <w:szCs w:val="20"/>
                <w:color w:val="auto"/>
              </w:rPr>
            </w:pPr>
            <w:r>
              <w:rPr>
                <w:rFonts w:ascii="Times New Roman" w:cs="Times New Roman" w:eastAsia="Times New Roman" w:hAnsi="Times New Roman"/>
                <w:sz w:val="12"/>
                <w:szCs w:val="12"/>
                <w:color w:val="auto"/>
              </w:rPr>
              <w:t>Accumulated Other</w:t>
            </w:r>
          </w:p>
        </w:tc>
        <w:tc>
          <w:tcPr>
            <w:tcW w:w="1020" w:type="dxa"/>
            <w:vAlign w:val="bottom"/>
          </w:tcPr>
          <w:p>
            <w:pPr>
              <w:jc w:val="center"/>
              <w:spacing w:after="0" w:line="122" w:lineRule="exact"/>
              <w:rPr>
                <w:sz w:val="20"/>
                <w:szCs w:val="20"/>
                <w:color w:val="auto"/>
              </w:rPr>
            </w:pPr>
            <w:r>
              <w:rPr>
                <w:rFonts w:ascii="Times New Roman" w:cs="Times New Roman" w:eastAsia="Times New Roman" w:hAnsi="Times New Roman"/>
                <w:sz w:val="12"/>
                <w:szCs w:val="12"/>
                <w:color w:val="auto"/>
              </w:rPr>
              <w:t>Non-controlling</w:t>
            </w:r>
          </w:p>
        </w:tc>
        <w:tc>
          <w:tcPr>
            <w:tcW w:w="1120" w:type="dxa"/>
            <w:vAlign w:val="bottom"/>
          </w:tcPr>
          <w:p>
            <w:pPr>
              <w:jc w:val="center"/>
              <w:spacing w:after="0" w:line="122" w:lineRule="exact"/>
              <w:rPr>
                <w:sz w:val="20"/>
                <w:szCs w:val="20"/>
                <w:color w:val="auto"/>
              </w:rPr>
            </w:pPr>
            <w:r>
              <w:rPr>
                <w:rFonts w:ascii="Times New Roman" w:cs="Times New Roman" w:eastAsia="Times New Roman" w:hAnsi="Times New Roman"/>
                <w:sz w:val="12"/>
                <w:szCs w:val="12"/>
                <w:color w:val="auto"/>
              </w:rPr>
              <w:t>Total Stockholders'</w:t>
            </w:r>
          </w:p>
        </w:tc>
        <w:tc>
          <w:tcPr>
            <w:tcW w:w="0" w:type="dxa"/>
            <w:vAlign w:val="bottom"/>
          </w:tcPr>
          <w:p>
            <w:pPr>
              <w:spacing w:after="0"/>
              <w:rPr>
                <w:sz w:val="1"/>
                <w:szCs w:val="1"/>
                <w:color w:val="auto"/>
              </w:rPr>
            </w:pPr>
          </w:p>
        </w:tc>
      </w:tr>
      <w:tr>
        <w:trPr>
          <w:trHeight w:val="158"/>
        </w:trPr>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B Stock</w:t>
            </w:r>
          </w:p>
        </w:tc>
        <w:tc>
          <w:tcPr>
            <w:tcW w:w="880" w:type="dxa"/>
            <w:vAlign w:val="bottom"/>
            <w:vMerge w:val="continue"/>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Class B Stock</w:t>
            </w:r>
          </w:p>
        </w:tc>
        <w:tc>
          <w:tcPr>
            <w:tcW w:w="1120" w:type="dxa"/>
            <w:vAlign w:val="bottom"/>
          </w:tcPr>
          <w:p>
            <w:pPr>
              <w:jc w:val="center"/>
              <w:ind w:right="19"/>
              <w:spacing w:after="0"/>
              <w:rPr>
                <w:sz w:val="20"/>
                <w:szCs w:val="20"/>
                <w:color w:val="auto"/>
              </w:rPr>
            </w:pPr>
            <w:r>
              <w:rPr>
                <w:rFonts w:ascii="Times New Roman" w:cs="Times New Roman" w:eastAsia="Times New Roman" w:hAnsi="Times New Roman"/>
                <w:sz w:val="12"/>
                <w:szCs w:val="12"/>
                <w:color w:val="auto"/>
              </w:rPr>
              <w:t>In Capital</w:t>
            </w:r>
          </w:p>
        </w:tc>
        <w:tc>
          <w:tcPr>
            <w:tcW w:w="80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Earnings</w:t>
            </w:r>
          </w:p>
        </w:tc>
        <w:tc>
          <w:tcPr>
            <w:tcW w:w="1000" w:type="dxa"/>
            <w:vAlign w:val="bottom"/>
            <w:vMerge w:val="continue"/>
          </w:tcPr>
          <w:p>
            <w:pPr>
              <w:spacing w:after="0"/>
              <w:rPr>
                <w:sz w:val="13"/>
                <w:szCs w:val="1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Comprehensive Loss</w:t>
            </w: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Interest</w:t>
            </w:r>
          </w:p>
        </w:tc>
        <w:tc>
          <w:tcPr>
            <w:tcW w:w="1120" w:type="dxa"/>
            <w:vAlign w:val="bottom"/>
          </w:tcPr>
          <w:p>
            <w:pPr>
              <w:jc w:val="center"/>
              <w:ind w:left="19"/>
              <w:spacing w:after="0"/>
              <w:rPr>
                <w:sz w:val="20"/>
                <w:szCs w:val="20"/>
                <w:color w:val="auto"/>
              </w:rPr>
            </w:pPr>
            <w:r>
              <w:rPr>
                <w:rFonts w:ascii="Times New Roman" w:cs="Times New Roman" w:eastAsia="Times New Roman" w:hAnsi="Times New Roman"/>
                <w:sz w:val="12"/>
                <w:szCs w:val="12"/>
                <w:color w:val="auto"/>
                <w:w w:val="99"/>
              </w:rPr>
              <w:t>Equity</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July 31, 2022</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11,083,824</w:t>
            </w:r>
          </w:p>
        </w:tc>
        <w:tc>
          <w:tcPr>
            <w:tcW w:w="1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(3,961,579)</w:t>
            </w: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1,108</w:t>
            </w:r>
          </w:p>
        </w:tc>
        <w:tc>
          <w:tcPr>
            <w:tcW w:w="1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52,467</w:t>
            </w:r>
          </w:p>
        </w:tc>
        <w:tc>
          <w:tcPr>
            <w:tcW w:w="1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178,754</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(79,428)</w:t>
            </w:r>
          </w:p>
        </w:tc>
        <w:tc>
          <w:tcPr>
            <w:tcW w:w="10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(2,183)</w:t>
            </w:r>
          </w:p>
        </w:tc>
        <w:tc>
          <w:tcPr>
            <w:tcW w:w="1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(369)</w:t>
            </w:r>
          </w:p>
        </w:tc>
        <w:tc>
          <w:tcPr>
            <w:tcW w:w="1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150,349</w:t>
            </w:r>
          </w:p>
        </w:tc>
        <w:tc>
          <w:tcPr>
            <w:tcW w:w="0" w:type="dxa"/>
            <w:vAlign w:val="bottom"/>
          </w:tcPr>
          <w:p>
            <w:pPr>
              <w:spacing w:after="0"/>
              <w:rPr>
                <w:sz w:val="1"/>
                <w:szCs w:val="1"/>
                <w:color w:val="auto"/>
              </w:rPr>
            </w:pPr>
          </w:p>
        </w:tc>
      </w:tr>
      <w:tr>
        <w:trPr>
          <w:trHeight w:val="167"/>
        </w:trPr>
        <w:tc>
          <w:tcPr>
            <w:tcW w:w="20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Income (Loss)</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5,241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5,230</w:t>
            </w:r>
          </w:p>
        </w:tc>
        <w:tc>
          <w:tcPr>
            <w:tcW w:w="0" w:type="dxa"/>
            <w:vAlign w:val="bottom"/>
          </w:tcPr>
          <w:p>
            <w:pPr>
              <w:spacing w:after="0"/>
              <w:rPr>
                <w:sz w:val="1"/>
                <w:szCs w:val="1"/>
                <w:color w:val="auto"/>
              </w:rPr>
            </w:pPr>
          </w:p>
        </w:tc>
      </w:tr>
      <w:tr>
        <w:trPr>
          <w:trHeight w:val="184"/>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 Comprehensive Loss</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(393)</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(393)</w:t>
            </w:r>
          </w:p>
        </w:tc>
        <w:tc>
          <w:tcPr>
            <w:tcW w:w="0" w:type="dxa"/>
            <w:vAlign w:val="bottom"/>
          </w:tcPr>
          <w:p>
            <w:pPr>
              <w:spacing w:after="0"/>
              <w:rPr>
                <w:sz w:val="1"/>
                <w:szCs w:val="1"/>
                <w:color w:val="auto"/>
              </w:rPr>
            </w:pPr>
          </w:p>
        </w:tc>
      </w:tr>
      <w:tr>
        <w:trPr>
          <w:trHeight w:val="167"/>
        </w:trPr>
        <w:tc>
          <w:tcPr>
            <w:tcW w:w="20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Dividends Declared</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(1,860)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(1,860)</w:t>
            </w:r>
          </w:p>
        </w:tc>
        <w:tc>
          <w:tcPr>
            <w:tcW w:w="0" w:type="dxa"/>
            <w:vAlign w:val="bottom"/>
          </w:tcPr>
          <w:p>
            <w:pPr>
              <w:spacing w:after="0"/>
              <w:rPr>
                <w:sz w:val="1"/>
                <w:szCs w:val="1"/>
                <w:color w:val="auto"/>
              </w:rPr>
            </w:pPr>
          </w:p>
        </w:tc>
      </w:tr>
      <w:tr>
        <w:trPr>
          <w:trHeight w:val="184"/>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Purchases of Treasury Stock</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(3,360)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w:t>
            </w:r>
          </w:p>
        </w:tc>
        <w:tc>
          <w:tcPr>
            <w:tcW w:w="0" w:type="dxa"/>
            <w:vAlign w:val="bottom"/>
          </w:tcPr>
          <w:p>
            <w:pPr>
              <w:spacing w:after="0"/>
              <w:rPr>
                <w:sz w:val="1"/>
                <w:szCs w:val="1"/>
                <w:color w:val="auto"/>
              </w:rPr>
            </w:pPr>
          </w:p>
        </w:tc>
      </w:tr>
      <w:tr>
        <w:trPr>
          <w:trHeight w:val="122"/>
        </w:trPr>
        <w:tc>
          <w:tcPr>
            <w:tcW w:w="2040" w:type="dxa"/>
            <w:vAlign w:val="bottom"/>
          </w:tcPr>
          <w:p>
            <w:pPr>
              <w:ind w:left="20"/>
              <w:spacing w:after="0" w:line="122" w:lineRule="exact"/>
              <w:rPr>
                <w:sz w:val="20"/>
                <w:szCs w:val="20"/>
                <w:color w:val="auto"/>
              </w:rPr>
            </w:pPr>
            <w:r>
              <w:rPr>
                <w:rFonts w:ascii="Times New Roman" w:cs="Times New Roman" w:eastAsia="Times New Roman" w:hAnsi="Times New Roman"/>
                <w:sz w:val="12"/>
                <w:szCs w:val="12"/>
                <w:color w:val="auto"/>
              </w:rPr>
              <w:t>Net issuance of stock under long-term</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38,850</w:t>
            </w:r>
          </w:p>
        </w:tc>
        <w:tc>
          <w:tcPr>
            <w:tcW w:w="1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(4,000)</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124</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(128)</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0"/>
                <w:szCs w:val="10"/>
                <w:color w:val="auto"/>
              </w:rPr>
            </w:pPr>
          </w:p>
        </w:tc>
        <w:tc>
          <w:tcPr>
            <w:tcW w:w="6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7"/>
        </w:trPr>
        <w:tc>
          <w:tcPr>
            <w:tcW w:w="20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incentive plans</w:t>
            </w: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Amortization of Restricted Stock</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794</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794</w:t>
            </w:r>
          </w:p>
        </w:tc>
        <w:tc>
          <w:tcPr>
            <w:tcW w:w="0" w:type="dxa"/>
            <w:vAlign w:val="bottom"/>
          </w:tcPr>
          <w:p>
            <w:pPr>
              <w:spacing w:after="0"/>
              <w:rPr>
                <w:sz w:val="1"/>
                <w:szCs w:val="1"/>
                <w:color w:val="auto"/>
              </w:rPr>
            </w:pPr>
          </w:p>
        </w:tc>
      </w:tr>
      <w:tr>
        <w:trPr>
          <w:trHeight w:val="175"/>
        </w:trPr>
        <w:tc>
          <w:tcPr>
            <w:tcW w:w="20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Balance, October 31, 2022</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11,122,674</w:t>
            </w:r>
          </w:p>
        </w:tc>
        <w:tc>
          <w:tcPr>
            <w:tcW w:w="12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(3,968,939)</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1,112</w:t>
            </w:r>
          </w:p>
        </w:tc>
        <w:tc>
          <w:tcPr>
            <w:tcW w:w="12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53,385</w:t>
            </w:r>
          </w:p>
        </w:tc>
        <w:tc>
          <w:tcPr>
            <w:tcW w:w="16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182,135</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(79,648)</w:t>
            </w:r>
          </w:p>
        </w:tc>
        <w:tc>
          <w:tcPr>
            <w:tcW w:w="100" w:type="dxa"/>
            <w:vAlign w:val="bottom"/>
          </w:tcPr>
          <w:p>
            <w:pPr>
              <w:spacing w:after="0"/>
              <w:rPr>
                <w:sz w:val="15"/>
                <w:szCs w:val="15"/>
                <w:color w:val="auto"/>
              </w:rPr>
            </w:pPr>
          </w:p>
        </w:tc>
        <w:tc>
          <w:tcPr>
            <w:tcW w:w="4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(2,576)</w:t>
            </w:r>
          </w:p>
        </w:tc>
        <w:tc>
          <w:tcPr>
            <w:tcW w:w="12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(380)</w:t>
            </w:r>
          </w:p>
        </w:tc>
        <w:tc>
          <w:tcPr>
            <w:tcW w:w="12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154,028</w:t>
            </w:r>
          </w:p>
        </w:tc>
        <w:tc>
          <w:tcPr>
            <w:tcW w:w="0" w:type="dxa"/>
            <w:vAlign w:val="bottom"/>
          </w:tcPr>
          <w:p>
            <w:pPr>
              <w:spacing w:after="0"/>
              <w:rPr>
                <w:sz w:val="1"/>
                <w:szCs w:val="1"/>
                <w:color w:val="auto"/>
              </w:rPr>
            </w:pPr>
          </w:p>
        </w:tc>
      </w:tr>
      <w:tr>
        <w:trPr>
          <w:trHeight w:val="20"/>
        </w:trPr>
        <w:tc>
          <w:tcPr>
            <w:tcW w:w="20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20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Balance, July 31, 2023</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11,147,279</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(4,010,630)</w:t>
            </w:r>
          </w:p>
        </w:tc>
        <w:tc>
          <w:tcPr>
            <w:tcW w:w="100" w:type="dxa"/>
            <w:vAlign w:val="bottom"/>
          </w:tcPr>
          <w:p>
            <w:pPr>
              <w:spacing w:after="0"/>
              <w:rPr>
                <w:sz w:val="14"/>
                <w:szCs w:val="14"/>
                <w:color w:val="auto"/>
              </w:rPr>
            </w:pPr>
          </w:p>
        </w:tc>
        <w:tc>
          <w:tcPr>
            <w:tcW w:w="280" w:type="dxa"/>
            <w:vAlign w:val="bottom"/>
          </w:tcPr>
          <w:p>
            <w:pPr>
              <w:jc w:val="right"/>
              <w:ind w:right="13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1,115</w:t>
            </w:r>
          </w:p>
        </w:tc>
        <w:tc>
          <w:tcPr>
            <w:tcW w:w="120" w:type="dxa"/>
            <w:vAlign w:val="bottom"/>
          </w:tcPr>
          <w:p>
            <w:pPr>
              <w:spacing w:after="0"/>
              <w:rPr>
                <w:sz w:val="14"/>
                <w:szCs w:val="14"/>
                <w:color w:val="auto"/>
              </w:rPr>
            </w:pPr>
          </w:p>
        </w:tc>
        <w:tc>
          <w:tcPr>
            <w:tcW w:w="300" w:type="dxa"/>
            <w:vAlign w:val="bottom"/>
          </w:tcPr>
          <w:p>
            <w:pPr>
              <w:jc w:val="right"/>
              <w:ind w:right="15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55,624</w:t>
            </w:r>
          </w:p>
        </w:tc>
        <w:tc>
          <w:tcPr>
            <w:tcW w:w="160" w:type="dxa"/>
            <w:vAlign w:val="bottom"/>
          </w:tcPr>
          <w:p>
            <w:pPr>
              <w:spacing w:after="0"/>
              <w:rPr>
                <w:sz w:val="14"/>
                <w:szCs w:val="14"/>
                <w:color w:val="auto"/>
              </w:rPr>
            </w:pPr>
          </w:p>
        </w:tc>
        <w:tc>
          <w:tcPr>
            <w:tcW w:w="220" w:type="dxa"/>
            <w:vAlign w:val="bottom"/>
          </w:tcPr>
          <w:p>
            <w:pPr>
              <w:jc w:val="right"/>
              <w:ind w:right="7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200,796</w:t>
            </w:r>
          </w:p>
        </w:tc>
        <w:tc>
          <w:tcPr>
            <w:tcW w:w="120" w:type="dxa"/>
            <w:vAlign w:val="bottom"/>
          </w:tcPr>
          <w:p>
            <w:pPr>
              <w:spacing w:after="0"/>
              <w:rPr>
                <w:sz w:val="14"/>
                <w:szCs w:val="14"/>
                <w:color w:val="auto"/>
              </w:rPr>
            </w:pPr>
          </w:p>
        </w:tc>
        <w:tc>
          <w:tcPr>
            <w:tcW w:w="200" w:type="dxa"/>
            <w:vAlign w:val="bottom"/>
          </w:tcPr>
          <w:p>
            <w:pPr>
              <w:jc w:val="right"/>
              <w:ind w:right="5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(81,207)</w:t>
            </w:r>
          </w:p>
        </w:tc>
        <w:tc>
          <w:tcPr>
            <w:tcW w:w="100" w:type="dxa"/>
            <w:vAlign w:val="bottom"/>
          </w:tcPr>
          <w:p>
            <w:pPr>
              <w:spacing w:after="0"/>
              <w:rPr>
                <w:sz w:val="14"/>
                <w:szCs w:val="14"/>
                <w:color w:val="auto"/>
              </w:rPr>
            </w:pPr>
          </w:p>
        </w:tc>
        <w:tc>
          <w:tcPr>
            <w:tcW w:w="440" w:type="dxa"/>
            <w:vAlign w:val="bottom"/>
          </w:tcPr>
          <w:p>
            <w:pPr>
              <w:jc w:val="right"/>
              <w:ind w:right="29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748</w:t>
            </w:r>
          </w:p>
        </w:tc>
        <w:tc>
          <w:tcPr>
            <w:tcW w:w="120" w:type="dxa"/>
            <w:vAlign w:val="bottom"/>
          </w:tcPr>
          <w:p>
            <w:pPr>
              <w:spacing w:after="0"/>
              <w:rPr>
                <w:sz w:val="14"/>
                <w:szCs w:val="14"/>
                <w:color w:val="auto"/>
              </w:rPr>
            </w:pPr>
          </w:p>
        </w:tc>
        <w:tc>
          <w:tcPr>
            <w:tcW w:w="360" w:type="dxa"/>
            <w:vAlign w:val="bottom"/>
          </w:tcPr>
          <w:p>
            <w:pPr>
              <w:jc w:val="right"/>
              <w:ind w:right="21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2"/>
                <w:szCs w:val="12"/>
                <w:b w:val="1"/>
                <w:bCs w:val="1"/>
                <w:color w:val="auto"/>
              </w:rPr>
              <w:t>—</w:t>
            </w:r>
          </w:p>
        </w:tc>
        <w:tc>
          <w:tcPr>
            <w:tcW w:w="320" w:type="dxa"/>
            <w:vAlign w:val="bottom"/>
          </w:tcPr>
          <w:p>
            <w:pPr>
              <w:jc w:val="right"/>
              <w:ind w:right="17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177,076</w:t>
            </w:r>
          </w:p>
        </w:tc>
        <w:tc>
          <w:tcPr>
            <w:tcW w:w="0" w:type="dxa"/>
            <w:vAlign w:val="bottom"/>
          </w:tcPr>
          <w:p>
            <w:pPr>
              <w:spacing w:after="0"/>
              <w:rPr>
                <w:sz w:val="1"/>
                <w:szCs w:val="1"/>
                <w:color w:val="auto"/>
              </w:rPr>
            </w:pPr>
          </w:p>
        </w:tc>
      </w:tr>
      <w:tr>
        <w:trPr>
          <w:trHeight w:val="183"/>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Income (Loss)</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10,742</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10,742</w:t>
            </w:r>
          </w:p>
        </w:tc>
        <w:tc>
          <w:tcPr>
            <w:tcW w:w="0" w:type="dxa"/>
            <w:vAlign w:val="bottom"/>
          </w:tcPr>
          <w:p>
            <w:pPr>
              <w:spacing w:after="0"/>
              <w:rPr>
                <w:sz w:val="1"/>
                <w:szCs w:val="1"/>
                <w:color w:val="auto"/>
              </w:rPr>
            </w:pPr>
          </w:p>
        </w:tc>
      </w:tr>
      <w:tr>
        <w:trPr>
          <w:trHeight w:val="167"/>
        </w:trPr>
        <w:tc>
          <w:tcPr>
            <w:tcW w:w="20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Other Comprehensive Loss</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(185)</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(185)</w:t>
            </w:r>
          </w:p>
        </w:tc>
        <w:tc>
          <w:tcPr>
            <w:tcW w:w="0" w:type="dxa"/>
            <w:vAlign w:val="bottom"/>
          </w:tcPr>
          <w:p>
            <w:pPr>
              <w:spacing w:after="0"/>
              <w:rPr>
                <w:sz w:val="1"/>
                <w:szCs w:val="1"/>
                <w:color w:val="auto"/>
              </w:rPr>
            </w:pPr>
          </w:p>
        </w:tc>
      </w:tr>
      <w:tr>
        <w:trPr>
          <w:trHeight w:val="184"/>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Dividends Declared</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(1,953)</w:t>
            </w:r>
          </w:p>
        </w:tc>
        <w:tc>
          <w:tcPr>
            <w:tcW w:w="0" w:type="dxa"/>
            <w:vAlign w:val="bottom"/>
          </w:tcPr>
          <w:p>
            <w:pPr>
              <w:spacing w:after="0"/>
              <w:rPr>
                <w:sz w:val="1"/>
                <w:szCs w:val="1"/>
                <w:color w:val="auto"/>
              </w:rPr>
            </w:pPr>
          </w:p>
        </w:tc>
      </w:tr>
      <w:tr>
        <w:trPr>
          <w:trHeight w:val="167"/>
        </w:trPr>
        <w:tc>
          <w:tcPr>
            <w:tcW w:w="20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Purchases of Treasury Stock</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(15,329)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(872)</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(872)</w:t>
            </w:r>
          </w:p>
        </w:tc>
        <w:tc>
          <w:tcPr>
            <w:tcW w:w="0" w:type="dxa"/>
            <w:vAlign w:val="bottom"/>
          </w:tcPr>
          <w:p>
            <w:pPr>
              <w:spacing w:after="0"/>
              <w:rPr>
                <w:sz w:val="1"/>
                <w:szCs w:val="1"/>
                <w:color w:val="auto"/>
              </w:rPr>
            </w:pPr>
          </w:p>
        </w:tc>
      </w:tr>
      <w:tr>
        <w:trPr>
          <w:trHeight w:val="130"/>
        </w:trPr>
        <w:tc>
          <w:tcPr>
            <w:tcW w:w="2040" w:type="dxa"/>
            <w:vAlign w:val="bottom"/>
            <w:shd w:val="clear" w:color="auto" w:fill="CCEEFF"/>
          </w:tcPr>
          <w:p>
            <w:pPr>
              <w:ind w:left="20"/>
              <w:spacing w:after="0" w:line="130" w:lineRule="exact"/>
              <w:rPr>
                <w:sz w:val="20"/>
                <w:szCs w:val="20"/>
                <w:color w:val="auto"/>
              </w:rPr>
            </w:pPr>
            <w:r>
              <w:rPr>
                <w:rFonts w:ascii="Times New Roman" w:cs="Times New Roman" w:eastAsia="Times New Roman" w:hAnsi="Times New Roman"/>
                <w:sz w:val="12"/>
                <w:szCs w:val="12"/>
                <w:color w:val="auto"/>
              </w:rPr>
              <w:t>Net issuance of stock under long-term</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182,000</w:t>
            </w:r>
          </w:p>
        </w:tc>
        <w:tc>
          <w:tcPr>
            <w:tcW w:w="1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6"/>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incentive plans</w:t>
            </w:r>
          </w:p>
        </w:tc>
        <w:tc>
          <w:tcPr>
            <w:tcW w:w="9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Amortization of Restricted Stock</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1,108</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1,108</w:t>
            </w:r>
          </w:p>
        </w:tc>
        <w:tc>
          <w:tcPr>
            <w:tcW w:w="0" w:type="dxa"/>
            <w:vAlign w:val="bottom"/>
          </w:tcPr>
          <w:p>
            <w:pPr>
              <w:spacing w:after="0"/>
              <w:rPr>
                <w:sz w:val="1"/>
                <w:szCs w:val="1"/>
                <w:color w:val="auto"/>
              </w:rPr>
            </w:pPr>
          </w:p>
        </w:tc>
      </w:tr>
      <w:tr>
        <w:trPr>
          <w:trHeight w:val="200"/>
        </w:trPr>
        <w:tc>
          <w:tcPr>
            <w:tcW w:w="2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October 31, 2023</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11,329,279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(4,026,459)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1,133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56,746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209,585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(82,111)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563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6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185,916</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7" w:right="39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34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280" w:type="dxa"/>
            <w:vAlign w:val="bottom"/>
            <w:gridSpan w:val="5"/>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17"/>
                <w:szCs w:val="17"/>
                <w:color w:val="auto"/>
              </w:rPr>
            </w:pPr>
          </w:p>
        </w:tc>
        <w:tc>
          <w:tcPr>
            <w:tcW w:w="270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34"/>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920" w:type="dxa"/>
            <w:vAlign w:val="bottom"/>
          </w:tcPr>
          <w:p>
            <w:pPr>
              <w:spacing w:after="0"/>
              <w:rPr>
                <w:sz w:val="20"/>
                <w:szCs w:val="20"/>
                <w:color w:val="auto"/>
              </w:rPr>
            </w:pPr>
          </w:p>
        </w:tc>
      </w:tr>
      <w:tr>
        <w:trPr>
          <w:trHeight w:val="198"/>
        </w:trPr>
        <w:tc>
          <w:tcPr>
            <w:tcW w:w="8280" w:type="dxa"/>
            <w:vAlign w:val="bottom"/>
            <w:gridSpan w:val="5"/>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tcPr>
          <w:p>
            <w:pPr>
              <w:spacing w:after="0"/>
              <w:rPr>
                <w:sz w:val="17"/>
                <w:szCs w:val="17"/>
                <w:color w:val="auto"/>
              </w:rPr>
            </w:pPr>
          </w:p>
        </w:tc>
        <w:tc>
          <w:tcPr>
            <w:tcW w:w="1100" w:type="dxa"/>
            <w:vAlign w:val="bottom"/>
          </w:tcPr>
          <w:p>
            <w:pPr>
              <w:jc w:val="right"/>
              <w:ind w:right="390"/>
              <w:spacing w:after="0" w:line="198" w:lineRule="exact"/>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right"/>
              <w:ind w:right="390"/>
              <w:spacing w:after="0" w:line="198" w:lineRule="exact"/>
              <w:rPr>
                <w:sz w:val="20"/>
                <w:szCs w:val="20"/>
                <w:color w:val="auto"/>
              </w:rPr>
            </w:pPr>
            <w:r>
              <w:rPr>
                <w:rFonts w:ascii="Times New Roman" w:cs="Times New Roman" w:eastAsia="Times New Roman" w:hAnsi="Times New Roman"/>
                <w:sz w:val="18"/>
                <w:szCs w:val="18"/>
                <w:b w:val="1"/>
                <w:bCs w:val="1"/>
                <w:color w:val="auto"/>
              </w:rPr>
              <w:t>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94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3"/>
        </w:trPr>
        <w:tc>
          <w:tcPr>
            <w:tcW w:w="828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10,742</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5,230</w:t>
            </w:r>
          </w:p>
        </w:tc>
      </w:tr>
      <w:tr>
        <w:trPr>
          <w:trHeight w:val="229"/>
        </w:trPr>
        <w:tc>
          <w:tcPr>
            <w:tcW w:w="82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4,368</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3,523</w:t>
            </w:r>
          </w:p>
        </w:tc>
      </w:tr>
      <w:tr>
        <w:trPr>
          <w:trHeight w:val="229"/>
        </w:trPr>
        <w:tc>
          <w:tcPr>
            <w:tcW w:w="20" w:type="dxa"/>
            <w:vAlign w:val="bottom"/>
          </w:tcPr>
          <w:p>
            <w:pPr>
              <w:spacing w:after="0"/>
              <w:rPr>
                <w:sz w:val="19"/>
                <w:szCs w:val="19"/>
                <w:color w:val="auto"/>
              </w:rPr>
            </w:pPr>
          </w:p>
        </w:tc>
        <w:tc>
          <w:tcPr>
            <w:tcW w:w="82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1,108</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r>
      <w:tr>
        <w:trPr>
          <w:trHeight w:val="229"/>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30"/>
        </w:trPr>
        <w:tc>
          <w:tcPr>
            <w:tcW w:w="20" w:type="dxa"/>
            <w:vAlign w:val="bottom"/>
          </w:tcPr>
          <w:p>
            <w:pPr>
              <w:spacing w:after="0"/>
              <w:rPr>
                <w:sz w:val="19"/>
                <w:szCs w:val="19"/>
                <w:color w:val="auto"/>
              </w:rPr>
            </w:pPr>
          </w:p>
        </w:tc>
        <w:tc>
          <w:tcPr>
            <w:tcW w:w="82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Provision for bad debts and cash discounts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9"/>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Accretion of Asset Retirement Obligation</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20" w:type="dxa"/>
            <w:vAlign w:val="bottom"/>
          </w:tcPr>
          <w:p>
            <w:pPr>
              <w:spacing w:after="0"/>
              <w:rPr>
                <w:sz w:val="19"/>
                <w:szCs w:val="19"/>
                <w:color w:val="auto"/>
              </w:rPr>
            </w:pPr>
          </w:p>
        </w:tc>
        <w:tc>
          <w:tcPr>
            <w:tcW w:w="82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Loss on the disposals of property, plant and equipment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9"/>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(Increase) Decrease in assets: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26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(1,487)</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w:t>
            </w: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(1,374)</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(5,202)</w:t>
            </w:r>
          </w:p>
        </w:tc>
      </w:tr>
      <w:tr>
        <w:trPr>
          <w:trHeight w:val="229"/>
        </w:trPr>
        <w:tc>
          <w:tcPr>
            <w:tcW w:w="20" w:type="dxa"/>
            <w:vAlign w:val="bottom"/>
          </w:tcPr>
          <w:p>
            <w:pPr>
              <w:spacing w:after="0"/>
              <w:rPr>
                <w:sz w:val="19"/>
                <w:szCs w:val="19"/>
                <w:color w:val="auto"/>
              </w:rPr>
            </w:pPr>
          </w:p>
        </w:tc>
        <w:tc>
          <w:tcPr>
            <w:tcW w:w="826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Prepaid expenses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154</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9"/>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341</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r>
      <w:tr>
        <w:trPr>
          <w:trHeight w:val="230"/>
        </w:trPr>
        <w:tc>
          <w:tcPr>
            <w:tcW w:w="20" w:type="dxa"/>
            <w:vAlign w:val="bottom"/>
          </w:tcPr>
          <w:p>
            <w:pPr>
              <w:spacing w:after="0"/>
              <w:rPr>
                <w:sz w:val="19"/>
                <w:szCs w:val="19"/>
                <w:color w:val="auto"/>
              </w:rPr>
            </w:pPr>
          </w:p>
        </w:tc>
        <w:tc>
          <w:tcPr>
            <w:tcW w:w="82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Increase (Decrease) in liabilities: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(1,289)</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w:t>
            </w:r>
          </w:p>
        </w:tc>
      </w:tr>
      <w:tr>
        <w:trPr>
          <w:trHeight w:val="230"/>
        </w:trPr>
        <w:tc>
          <w:tcPr>
            <w:tcW w:w="20" w:type="dxa"/>
            <w:vAlign w:val="bottom"/>
          </w:tcPr>
          <w:p>
            <w:pPr>
              <w:spacing w:after="0"/>
              <w:rPr>
                <w:sz w:val="19"/>
                <w:szCs w:val="19"/>
                <w:color w:val="auto"/>
              </w:rPr>
            </w:pPr>
          </w:p>
        </w:tc>
        <w:tc>
          <w:tcPr>
            <w:tcW w:w="826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(4,365)</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w:t>
            </w:r>
          </w:p>
        </w:tc>
      </w:tr>
      <w:tr>
        <w:trPr>
          <w:trHeight w:val="229"/>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Deferred compensation</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512</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30"/>
        </w:trPr>
        <w:tc>
          <w:tcPr>
            <w:tcW w:w="20" w:type="dxa"/>
            <w:vAlign w:val="bottom"/>
            <w:tcBorders>
              <w:bottom w:val="single" w:sz="8" w:color="CCEEFF"/>
            </w:tcBorders>
          </w:tcPr>
          <w:p>
            <w:pPr>
              <w:spacing w:after="0"/>
              <w:rPr>
                <w:sz w:val="19"/>
                <w:szCs w:val="19"/>
                <w:color w:val="auto"/>
              </w:rPr>
            </w:pPr>
          </w:p>
        </w:tc>
        <w:tc>
          <w:tcPr>
            <w:tcW w:w="8260" w:type="dxa"/>
            <w:vAlign w:val="bottom"/>
            <w:tcBorders>
              <w:bottom w:val="single" w:sz="8" w:color="CCEEFF"/>
            </w:tcBorders>
            <w:gridSpan w:val="4"/>
          </w:tcPr>
          <w:p>
            <w:pPr>
              <w:ind w:left="44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(427)</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w:t>
            </w:r>
          </w:p>
        </w:tc>
      </w:tr>
      <w:tr>
        <w:trPr>
          <w:trHeight w:val="223"/>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Total Adjustments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(2,178)</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w:t>
            </w:r>
          </w:p>
        </w:tc>
      </w:tr>
      <w:tr>
        <w:trPr>
          <w:trHeight w:val="223"/>
        </w:trPr>
        <w:tc>
          <w:tcPr>
            <w:tcW w:w="20" w:type="dxa"/>
            <w:vAlign w:val="bottom"/>
            <w:tcBorders>
              <w:bottom w:val="single" w:sz="8" w:color="CCEEFF"/>
            </w:tcBorders>
          </w:tcPr>
          <w:p>
            <w:pPr>
              <w:spacing w:after="0"/>
              <w:rPr>
                <w:sz w:val="19"/>
                <w:szCs w:val="19"/>
                <w:color w:val="auto"/>
              </w:rPr>
            </w:pPr>
          </w:p>
        </w:tc>
        <w:tc>
          <w:tcPr>
            <w:tcW w:w="8260" w:type="dxa"/>
            <w:vAlign w:val="bottom"/>
            <w:tcBorders>
              <w:bottom w:val="single" w:sz="8" w:color="CCEEFF"/>
            </w:tcBorders>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8,564</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2,814</w:t>
            </w:r>
          </w:p>
        </w:tc>
      </w:tr>
      <w:tr>
        <w:trPr>
          <w:trHeight w:val="236"/>
        </w:trPr>
        <w:tc>
          <w:tcPr>
            <w:tcW w:w="20" w:type="dxa"/>
            <w:vAlign w:val="bottom"/>
            <w:shd w:val="clear" w:color="auto" w:fill="CCEEFF"/>
          </w:tcPr>
          <w:p>
            <w:pPr>
              <w:spacing w:after="0"/>
              <w:rPr>
                <w:sz w:val="20"/>
                <w:szCs w:val="20"/>
                <w:color w:val="auto"/>
              </w:rPr>
            </w:pPr>
          </w:p>
        </w:tc>
        <w:tc>
          <w:tcPr>
            <w:tcW w:w="39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189"/>
        </w:trPr>
        <w:tc>
          <w:tcPr>
            <w:tcW w:w="8280" w:type="dxa"/>
            <w:vAlign w:val="bottom"/>
            <w:gridSpan w:val="5"/>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(8,064)</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(6,737)</w:t>
            </w:r>
          </w:p>
        </w:tc>
      </w:tr>
      <w:tr>
        <w:trPr>
          <w:trHeight w:val="223"/>
        </w:trPr>
        <w:tc>
          <w:tcPr>
            <w:tcW w:w="20" w:type="dxa"/>
            <w:vAlign w:val="bottom"/>
            <w:tcBorders>
              <w:bottom w:val="single" w:sz="8" w:color="CCEEFF"/>
            </w:tcBorders>
          </w:tcPr>
          <w:p>
            <w:pPr>
              <w:spacing w:after="0"/>
              <w:rPr>
                <w:sz w:val="19"/>
                <w:szCs w:val="19"/>
                <w:color w:val="auto"/>
              </w:rPr>
            </w:pPr>
          </w:p>
        </w:tc>
        <w:tc>
          <w:tcPr>
            <w:tcW w:w="8260" w:type="dxa"/>
            <w:vAlign w:val="bottom"/>
            <w:tcBorders>
              <w:bottom w:val="single" w:sz="8" w:color="CCEEFF"/>
            </w:tcBorders>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(8,064)</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(6,737)</w:t>
            </w:r>
          </w:p>
        </w:tc>
      </w:tr>
      <w:tr>
        <w:trPr>
          <w:trHeight w:val="237"/>
        </w:trPr>
        <w:tc>
          <w:tcPr>
            <w:tcW w:w="20" w:type="dxa"/>
            <w:vAlign w:val="bottom"/>
            <w:shd w:val="clear" w:color="auto" w:fill="CCEEFF"/>
          </w:tcPr>
          <w:p>
            <w:pPr>
              <w:spacing w:after="0"/>
              <w:rPr>
                <w:sz w:val="20"/>
                <w:szCs w:val="20"/>
                <w:color w:val="auto"/>
              </w:rPr>
            </w:pPr>
          </w:p>
        </w:tc>
        <w:tc>
          <w:tcPr>
            <w:tcW w:w="39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189"/>
        </w:trPr>
        <w:tc>
          <w:tcPr>
            <w:tcW w:w="8280" w:type="dxa"/>
            <w:vAlign w:val="bottom"/>
            <w:gridSpan w:val="5"/>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Dividends paid</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(1,927)</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w:t>
            </w:r>
          </w:p>
        </w:tc>
      </w:tr>
      <w:tr>
        <w:trPr>
          <w:trHeight w:val="230"/>
        </w:trPr>
        <w:tc>
          <w:tcPr>
            <w:tcW w:w="20" w:type="dxa"/>
            <w:vAlign w:val="bottom"/>
            <w:tcBorders>
              <w:bottom w:val="single" w:sz="8" w:color="CCEEFF"/>
            </w:tcBorders>
          </w:tcPr>
          <w:p>
            <w:pPr>
              <w:spacing w:after="0"/>
              <w:rPr>
                <w:sz w:val="19"/>
                <w:szCs w:val="19"/>
                <w:color w:val="auto"/>
              </w:rPr>
            </w:pPr>
          </w:p>
        </w:tc>
        <w:tc>
          <w:tcPr>
            <w:tcW w:w="8260" w:type="dxa"/>
            <w:vAlign w:val="bottom"/>
            <w:tcBorders>
              <w:bottom w:val="single" w:sz="8" w:color="CCEEFF"/>
            </w:tcBorders>
            <w:gridSpan w:val="4"/>
          </w:tcPr>
          <w:p>
            <w:pPr>
              <w:ind w:left="200"/>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(872)</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23"/>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(2,799)</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w:t>
            </w:r>
          </w:p>
        </w:tc>
      </w:tr>
      <w:tr>
        <w:trPr>
          <w:trHeight w:val="223"/>
        </w:trPr>
        <w:tc>
          <w:tcPr>
            <w:tcW w:w="828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828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(2,175)</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(5,828)</w:t>
            </w:r>
          </w:p>
        </w:tc>
      </w:tr>
      <w:tr>
        <w:trPr>
          <w:trHeight w:val="230"/>
        </w:trPr>
        <w:tc>
          <w:tcPr>
            <w:tcW w:w="828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31,754</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16,298</w:t>
            </w:r>
          </w:p>
        </w:tc>
      </w:tr>
      <w:tr>
        <w:trPr>
          <w:trHeight w:val="248"/>
        </w:trPr>
        <w:tc>
          <w:tcPr>
            <w:tcW w:w="828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29,579</w:t>
            </w:r>
          </w:p>
        </w:tc>
        <w:tc>
          <w:tcPr>
            <w:tcW w:w="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17"/>
                <w:szCs w:val="17"/>
                <w:color w:val="auto"/>
              </w:rPr>
            </w:pPr>
          </w:p>
        </w:tc>
        <w:tc>
          <w:tcPr>
            <w:tcW w:w="272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0" w:type="dxa"/>
            <w:vAlign w:val="bottom"/>
          </w:tcPr>
          <w:p>
            <w:pPr>
              <w:spacing w:after="0"/>
              <w:rPr>
                <w:sz w:val="1"/>
                <w:szCs w:val="1"/>
                <w:color w:val="auto"/>
              </w:rPr>
            </w:pPr>
          </w:p>
        </w:tc>
      </w:tr>
      <w:tr>
        <w:trPr>
          <w:trHeight w:val="234"/>
        </w:trPr>
        <w:tc>
          <w:tcPr>
            <w:tcW w:w="8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8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09"/>
        </w:trPr>
        <w:tc>
          <w:tcPr>
            <w:tcW w:w="82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cash flows: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Income tax payments (refunds)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 expenditures accrued, but not paid</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3,532</w:t>
            </w:r>
          </w:p>
        </w:tc>
        <w:tc>
          <w:tcPr>
            <w:tcW w:w="2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dividends declared and accrued, but not paid</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1,953</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30" w:lineRule="exact"/>
        <w:rPr>
          <w:sz w:val="20"/>
          <w:szCs w:val="20"/>
          <w:color w:val="auto"/>
        </w:rPr>
      </w:pPr>
    </w:p>
    <w:p>
      <w:pPr>
        <w:ind w:right="4920" w:firstLine="8"/>
        <w:spacing w:after="0" w:line="534" w:lineRule="auto"/>
        <w:tabs>
          <w:tab w:leader="none" w:pos="1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SIGNIFICANT ACCOUNTING POLICIES Basis of Presentation</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of America ("U.S. GAAP") for interim financial information and in compliance with instructions to Form 10-Q and Article 10 of Regulation S-X. Accordingly, they do not include all of the information and footnotes required by U.S. GAAP for complete financial statements. The financial statements and the related notes are condensed and should be read in conjunction with the Consolidated Financial Statements and related notes for the fiscal year ended July 31, 2023 included in our Annual Report on Form 10-K filed with the SEC.</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Oil-Dri Corporation of America and its subsidiaries. All significant intercompany transactions are eliminated. Except as otherwise indicated herein or as the context otherwise requires, references to "Oil-Dri," the "Company," "we," "us" or "our" refer to Oil-Dri Corporation of America and its subsidiaries.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reflect all adjustments, consisting of normal recurring accruals and reclassifications which are, in the opinion of management, necessary for a fair presentation of the statements contained herein. Operating results for the three months ended October 31, 2023 are not necessarily an indication of the results that may be expected for the fiscal year ending July 31,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amounts in the prior period financial statements have been reclassified to conform to the presentation of the current period financial statements.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immaterial reclassifications had no effect on the previously reported net income.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Use of Estimates</w:t>
      </w:r>
    </w:p>
    <w:p>
      <w:pPr>
        <w:spacing w:after="0" w:line="25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preparation of the unaudited Condensed Consolidated Financial Statements in conformity with U.S. GAAP requires management to make estimates and assumptions that affect the reported amounts of assets, liabilities, revenues and expenses during the reporting period, as well as the related disclosures. Estimates and assumptions about future events cannot be made with certainty. All of our estimates and assumptions are revised periodically. Actual results could differ from these estimates.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significant accounting policies, which are summarized in detail in our Annual Report on Form 10-K for the fiscal year ended July 31, 2023, have not materially changed. The following is a description of certain of our significant accounting policies:</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Trade Receivables. </w:t>
      </w:r>
      <w:r>
        <w:rPr>
          <w:rFonts w:ascii="Times New Roman" w:cs="Times New Roman" w:eastAsia="Times New Roman" w:hAnsi="Times New Roman"/>
          <w:sz w:val="18"/>
          <w:szCs w:val="18"/>
          <w:color w:val="auto"/>
        </w:rPr>
        <w:t>We recognize trade receivables when control of finished products are transferred to our customers. We record an allowance for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losses based on our expectations and a periodic review of our accounts receivable, including a review of the overall aging of accounts, consideration of customer credit risk and analysis of facts and circumstances about specific accounts. A customer account is determined to be uncollectible when it is probable that a loss will be incurred after we have completed our internal collection procedures, including termination of shipments, direct customer contact and formal demand of payment. We retain outside collection agencies to facilitate our collection efforts. Past due status is determined based on contractual terms and customer payment history.</w:t>
      </w:r>
    </w:p>
    <w:p>
      <w:pPr>
        <w:spacing w:after="0" w:line="20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Property, Plant and Equipment. </w:t>
      </w:r>
      <w:r>
        <w:rPr>
          <w:rFonts w:ascii="Times New Roman" w:cs="Times New Roman" w:eastAsia="Times New Roman" w:hAnsi="Times New Roman"/>
          <w:sz w:val="18"/>
          <w:szCs w:val="18"/>
          <w:color w:val="auto"/>
        </w:rPr>
        <w:t>Property, plant and equipment includes depreciable assets such as building, machinery, equipment, furniture,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vehicles. These assets are depreciated using the straight-line method over their estimated useful lives. Major improvements are capitalized, while maintenance and repairs that do not extend the useful life of the applicable assets are expensed as incurred. Interest expense may also be capitalized for assets that require a period of time to get them ready for their intended use.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assets are carried at cost on the Consolidated Balance Sheets and are reviewed for possible impairment on an annual basis or when circumstances indicate impairment that an asset may become impaired. We take into consideration idle and underutilized equipment and review business plans for possible impairment. When impairment is indicated, an impairment charge is recorded for the difference between the carrying value of the asset and its fair market value.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0" w:name="page11"/>
    <w:bookmarkEnd w:id="1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Capital parts are long-lived spare parts that are recorded net of a valuation reserve based on aging. The capital parts reserve was $1.7 million as of October 31, 2023 and $2.0 million as of July 31, 2023.</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Land, Mining Property and Mineral Rights. </w:t>
      </w:r>
      <w:r>
        <w:rPr>
          <w:rFonts w:ascii="Times New Roman" w:cs="Times New Roman" w:eastAsia="Times New Roman" w:hAnsi="Times New Roman"/>
          <w:sz w:val="18"/>
          <w:szCs w:val="18"/>
          <w:color w:val="auto"/>
        </w:rPr>
        <w:t>We surface mine sorbent materials on property that we either own or lease as part of our overall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operations. A significant part of our overall mining cost is incurred during the process of removing the overburden (non-usable material) from the mine site, thus exposing the sorbent material used in a majority of our production processes. These stripping costs are treated as a variable inventory production cost and are included in cost of goods sold in the period they are incurred. We defer and amortize the pre-production overburden removal costs during the development phase associated with opening a new mine.</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it is our policy to capitalize the purchase cost of land and mineral rights, including associated legal fees, survey fees and real estate fees. The costs of obtaining mineral patents, including legal fees and drilling expenses, are also capitalized. Pre-production development costs on new mines and any prepaid royalties that may be offset against future royalties due upon extraction of the minerals are also capitalized. All exploration related costs are expensed as incurred.</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Reclamation. </w:t>
      </w:r>
      <w:r>
        <w:rPr>
          <w:rFonts w:ascii="Times New Roman" w:cs="Times New Roman" w:eastAsia="Times New Roman" w:hAnsi="Times New Roman"/>
          <w:sz w:val="18"/>
          <w:szCs w:val="18"/>
          <w:color w:val="auto"/>
        </w:rPr>
        <w:t>We perform ongoing reclamation activities during the normal course of our overburden removal. As overburden is removed from a mine site,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 is hauled to previously mined sites and is used to refill older sites. This process allows us to continuously reclaim older mine sites and dispose of overburden simultaneously, therefore minimizing the costs associated with the reclamation process.</w:t>
      </w:r>
    </w:p>
    <w:p>
      <w:pPr>
        <w:spacing w:after="0" w:line="2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On an annual basis we evaluate our potential reclamation liability in accordance with ASC 410, </w:t>
      </w:r>
      <w:r>
        <w:rPr>
          <w:rFonts w:ascii="Times New Roman" w:cs="Times New Roman" w:eastAsia="Times New Roman" w:hAnsi="Times New Roman"/>
          <w:sz w:val="18"/>
          <w:szCs w:val="18"/>
          <w:i w:val="1"/>
          <w:iCs w:val="1"/>
          <w:color w:val="auto"/>
        </w:rPr>
        <w:t>Asset Retirement and Environmental Obligations.</w:t>
      </w:r>
      <w:r>
        <w:rPr>
          <w:rFonts w:ascii="Times New Roman" w:cs="Times New Roman" w:eastAsia="Times New Roman" w:hAnsi="Times New Roman"/>
          <w:sz w:val="18"/>
          <w:szCs w:val="18"/>
          <w:color w:val="auto"/>
        </w:rPr>
        <w:t xml:space="preserve"> The reclamation assets are depreciated over the estimated useful lives of the various mines. The reclamation liabilities are increased based on a yearly accretion charge over the estimated useful lives of the mines.</w:t>
      </w:r>
    </w:p>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color w:val="auto"/>
        </w:rPr>
        <w:t>ASC 842,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provides that a contract is, or contains, a lease if it conveys the right to control the use of an identified asset and, accordingly,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lease liability and a related right-of-use ("ROU") asset is recognized at the commencement date on our consolidated balance sheet. As provided in ASC 842, we have elected not to apply these measurement and recognition requirements to short-term leases (i.e., leases with a term of 12 months or less). Short-term leases will not be recorded as ROU assets or lease liabilities on our consolidated balance sheet, and the related lease payments will be recognized in net earnings on a straight-line basis over the lease term. For leases other than short-term leases, the lease liability is equal to the present value of unpaid lease payments over the remaining lease term. The lease term may reflect options to extend or terminate the lease when it is reasonably certain that such options will be exercised. To determine the present value of the lease liability, we used an incremental borrowing rate, which is defined as the rate of interest we would have to pay to borrow (on a collateralized basis over a similar term) an amount equal to the lease payments in similar economic environments. The ROU asset is based on the corresponding lease liability adjusted for certain costs such as initial direct costs, prepaid lease payments and lease incentives received. Both operating and finance lease ROU assets are reviewed for impairment, consistent with other long-lived assets, whenever events or changes in circumstances indicate that the carrying amount may not be recoverable. After a ROU asset is impaired, any remaining balance of the ROU asset is amortized on a straight-line basis over the shorter of the remaining lease term or the estimated useful life. After the lease commencement date, we evaluate lease modifications, if any, that could result in a change in the accounting for leases.</w:t>
      </w:r>
    </w:p>
    <w:p>
      <w:pPr>
        <w:spacing w:after="0" w:line="2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our leases provide for variable lease payments that vary due to changes in facts and circumstances occurring after the commencement date, other than the passage of time. Variable lease payments that are dependent on an index or rate (e.g., Consumer Price Index) are included in the initial measurement of the lease liability and the ROU asset. Variable lease payments that are not known at the commencement date and are determinable based on the performance or use of the underlying asset, are expensed as incurred. Our variable lease payments primarily include common area maintenance charges based on the percentage of the total square footage leased and the usage of assets, such as photocopiers.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of our contracts may contain lease components as well as non-lease components, such as an agreement to purchase services. As allowed under ASC 842, we have elected not to separate the lease components from non-lease components for all asset classes and we will not allocate the contract consideration to these components. This policy was applied to all existing leases upon adoption of ASC 842 and will be applied to new leases on an ongoing basis.</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We recognize revenue when performance obligations under the terms of the contracts with customers are satisfied. Our performance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 generally consists of the promise to sell finished products to wholesalers, distributors and retailers or consumers and our obligations have an original duration of one year or less. Control of the finished products are transferred upon shipment to, or receipt at, customers' locations, as determined by the specific terms of the contract. We have completed our performance obligation when control is transferred and we recognize revenue accordingly. Taxes collected from</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1" w:name="page12"/>
    <w:bookmarkEnd w:id="11"/>
    <w:p>
      <w:pPr>
        <w:jc w:val="both"/>
        <w:spacing w:after="0" w:line="282" w:lineRule="auto"/>
        <w:rPr>
          <w:sz w:val="20"/>
          <w:szCs w:val="20"/>
          <w:color w:val="auto"/>
        </w:rPr>
      </w:pPr>
      <w:r>
        <w:rPr>
          <w:rFonts w:ascii="Times New Roman" w:cs="Times New Roman" w:eastAsia="Times New Roman" w:hAnsi="Times New Roman"/>
          <w:sz w:val="18"/>
          <w:szCs w:val="18"/>
          <w:color w:val="auto"/>
        </w:rPr>
        <w:t>customers and remitted to governmental authorities are excluded from net sales. Sales returns are not material nor are warranties and any related obligations.</w:t>
      </w:r>
    </w:p>
    <w:p>
      <w:pPr>
        <w:spacing w:after="0" w:line="189" w:lineRule="exact"/>
        <w:rPr>
          <w:sz w:val="20"/>
          <w:szCs w:val="20"/>
          <w:color w:val="auto"/>
        </w:rPr>
      </w:pPr>
    </w:p>
    <w:p>
      <w:pPr>
        <w:ind w:right="2120"/>
        <w:spacing w:after="0" w:line="276" w:lineRule="auto"/>
        <w:rPr>
          <w:sz w:val="20"/>
          <w:szCs w:val="20"/>
          <w:color w:val="auto"/>
        </w:rPr>
      </w:pPr>
      <w:r>
        <w:rPr>
          <w:rFonts w:ascii="Times New Roman" w:cs="Times New Roman" w:eastAsia="Times New Roman" w:hAnsi="Times New Roman"/>
          <w:sz w:val="17"/>
          <w:szCs w:val="17"/>
          <w:color w:val="auto"/>
        </w:rPr>
        <w:t>We have an unconditional right to consideration under the payment terms specified in the contract upon completion of the performance obligation. We may require certain customers to provide payment in advance of product shipment. We recorded a</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liability for these advance payments of $0.1 million as of October 31, 2023, and no liability as of July 31, 2023. This liability is reported in Other within Accrued Expenses on the unaudited Condensed Consolidated Balance Sheet. There was no revenue recognized during the three months ended October 31, 2023, that was included in the liability for advance payments at the beginning of the period.</w:t>
      </w:r>
    </w:p>
    <w:p>
      <w:pPr>
        <w:spacing w:after="0" w:line="2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routinely commit to one-time or ongoing trade promotion programs directly with consumers, such as coupon programs, and with customers, such as volume discounts, cooperative marketing and other arrangements. We estimate and accrue the expected costs of these programs. These costs are considered variable consideration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and are netted against sales when revenue is recorded. The accruals are based on our best estimate of the amounts necessary to settle future and existing obligations on products sold as of the balance sheet date. To estimate these accruals, we rely on our historical experience of trade spending patterns and that of the industry, current trends and forecasted data.</w:t>
      </w:r>
    </w:p>
    <w:p>
      <w:pPr>
        <w:spacing w:after="0" w:line="20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("SG&amp;A") include salaries, wages and benefits associated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staff outside the manufacturing and distribution functions, all marketing related costs, any miscellaneous trade spending expenses not required to be included in net sales, research and development costs, depreciation and amortization related to assets outside the manufacturing and distribution process and all other non-manufacturing and non-distribution expenses.</w:t>
      </w:r>
    </w:p>
    <w:p>
      <w:pPr>
        <w:spacing w:after="0" w:line="203"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Other Current and Noncurrent Liabilities. </w:t>
      </w:r>
      <w:r>
        <w:rPr>
          <w:rFonts w:ascii="Times New Roman" w:cs="Times New Roman" w:eastAsia="Times New Roman" w:hAnsi="Times New Roman"/>
          <w:sz w:val="18"/>
          <w:szCs w:val="18"/>
          <w:color w:val="auto"/>
        </w:rPr>
        <w:t>Other liabilities include the accruals for general expenses not yet paid, cash collected not yet vouchered, legal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reserves, postretirement health benefit obligations, and reclamation liability accrual. Current liabilities are due to be paid within the next 12 months. Included in Other noncurrent liabilities on the unaudited Condensed Consolidated Balance Sheet is $4.5 million for the reclamation liability and $1.8 million for postretirement health benefits as of October 31, 2023.</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Earnings Per Share. </w:t>
      </w:r>
      <w:r>
        <w:rPr>
          <w:rFonts w:ascii="Times New Roman" w:cs="Times New Roman" w:eastAsia="Times New Roman" w:hAnsi="Times New Roman"/>
          <w:sz w:val="18"/>
          <w:szCs w:val="18"/>
          <w:color w:val="auto"/>
        </w:rPr>
        <w:t>We utilize the two-class method to report our earnings per share ("EPS"). The two-class method is an earnings allocation formula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determines earnings per share for each class of common stock according to dividends declared and participation rights in undistributed earnings. Common Stock is entitled to cash dividends equal to at least 133.33% on a per share basis of the cash dividend paid on Class B Stock. In computing earnings per share, the Company has allocated dividends declared to Common and Class B shares based on amounts actually declared for each class of stock and 33.33% more of the undistributed earnings have been allocated to Common Stock than to the Class B shares on a per share basis. Common Stock is entitled to one vote per share and Class B Stock is entitled to ten votes per share. Common Stock have no conversion rights. Class B Stock is convertible on a share-by-share basis into Common Stock at any time and is subject to mandatory conversion under certain circumstances. Basic EPS is computed by dividing net earnings, reduced for any distributed and undistributed earnings allocated to unvested restricted shares, by the weighted-average number of shares outstanding during the period for each class of share. Diluted EPS, for each class of common stock, is computed by dividing net earnings by the weighted-average number of common shares and potential common shares outstanding during the period. Dilution for common stock takes into consideration the effect of both unvested restricted shares and convertible Class B shares, if the effect is dilutive. Dilution for Class B takes into consideration the effect of unvested restricted shares, if the effect is dilutive. Below is a reconciliation of the calculation of basic and diluted EPS.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 w:name="page13"/>
    <w:bookmarkEnd w:id="12"/>
    <w:tbl>
      <w:tblPr>
        <w:tblLayout w:type="fixed"/>
        <w:tblInd w:w="66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520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October 31, 2023</w:t>
            </w:r>
          </w:p>
        </w:tc>
      </w:tr>
      <w:tr>
        <w:trPr>
          <w:trHeight w:val="214"/>
        </w:trPr>
        <w:tc>
          <w:tcPr>
            <w:tcW w:w="5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60" w:type="dxa"/>
            <w:vAlign w:val="bottom"/>
            <w:gridSpan w:val="6"/>
          </w:tcPr>
          <w:p>
            <w:pPr>
              <w:jc w:val="center"/>
              <w:ind w:left="10"/>
              <w:spacing w:after="0"/>
              <w:rPr>
                <w:sz w:val="20"/>
                <w:szCs w:val="20"/>
                <w:color w:val="auto"/>
              </w:rPr>
            </w:pPr>
            <w:r>
              <w:rPr>
                <w:rFonts w:ascii="Times New Roman" w:cs="Times New Roman" w:eastAsia="Times New Roman" w:hAnsi="Times New Roman"/>
                <w:sz w:val="18"/>
                <w:szCs w:val="18"/>
                <w:color w:val="auto"/>
                <w:w w:val="99"/>
              </w:rPr>
              <w:t>(in thousands, except for per share data)</w:t>
            </w:r>
          </w:p>
        </w:tc>
        <w:tc>
          <w:tcPr>
            <w:tcW w:w="1120" w:type="dxa"/>
            <w:vAlign w:val="bottom"/>
          </w:tcPr>
          <w:p>
            <w:pPr>
              <w:spacing w:after="0"/>
              <w:rPr>
                <w:sz w:val="18"/>
                <w:szCs w:val="18"/>
                <w:color w:val="auto"/>
              </w:rPr>
            </w:pPr>
          </w:p>
        </w:tc>
      </w:tr>
      <w:tr>
        <w:trPr>
          <w:trHeight w:val="238"/>
        </w:trPr>
        <w:tc>
          <w:tcPr>
            <w:tcW w:w="516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4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Class B</w:t>
            </w: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10,742</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8,236</w:t>
            </w: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w:t>
            </w:r>
          </w:p>
        </w:tc>
      </w:tr>
      <w:tr>
        <w:trPr>
          <w:trHeight w:val="229"/>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Distributed and undistributed earnings on restricted shares</w:t>
            </w:r>
          </w:p>
        </w:tc>
        <w:tc>
          <w:tcPr>
            <w:tcW w:w="10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available to stockholders</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10,172</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7,783</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(Numerator)</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7,783</w:t>
            </w: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w:t>
            </w:r>
          </w:p>
        </w:tc>
      </w:tr>
      <w:tr>
        <w:trPr>
          <w:trHeight w:val="229"/>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(Denominator)</w:t>
            </w:r>
          </w:p>
        </w:tc>
        <w:tc>
          <w:tcPr>
            <w:tcW w:w="102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4,827</w:t>
            </w:r>
          </w:p>
        </w:tc>
        <w:tc>
          <w:tcPr>
            <w:tcW w:w="2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1,967</w:t>
            </w: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EPS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9"/>
        </w:trPr>
        <w:tc>
          <w:tcPr>
            <w:tcW w:w="51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Effect of dilution - Net Income </w:t>
            </w:r>
            <w:r>
              <w:rPr>
                <w:rFonts w:ascii="Times New Roman" w:cs="Times New Roman" w:eastAsia="Times New Roman" w:hAnsi="Times New Roman"/>
                <w:sz w:val="23"/>
                <w:szCs w:val="23"/>
                <w:color w:val="auto"/>
                <w:vertAlign w:val="superscript"/>
              </w:rPr>
              <w:t>(1)</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assuming dilution (Numerator)</w:t>
            </w: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10,172</w:t>
            </w:r>
          </w:p>
        </w:tc>
        <w:tc>
          <w:tcPr>
            <w:tcW w:w="2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2,389</w:t>
            </w:r>
          </w:p>
        </w:tc>
      </w:tr>
      <w:tr>
        <w:trPr>
          <w:trHeight w:val="257"/>
        </w:trPr>
        <w:tc>
          <w:tcPr>
            <w:tcW w:w="51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30"/>
        </w:trPr>
        <w:tc>
          <w:tcPr>
            <w:tcW w:w="51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Effect of dilution - Shares </w:t>
            </w:r>
            <w:r>
              <w:rPr>
                <w:rFonts w:ascii="Times New Roman" w:cs="Times New Roman" w:eastAsia="Times New Roman" w:hAnsi="Times New Roman"/>
                <w:sz w:val="23"/>
                <w:szCs w:val="23"/>
                <w:color w:val="auto"/>
                <w:vertAlign w:val="superscript"/>
              </w:rPr>
              <w:t>(1)</w:t>
            </w: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2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assuming dilution (Denominator)</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6,794</w:t>
            </w:r>
          </w:p>
        </w:tc>
        <w:tc>
          <w:tcPr>
            <w:tcW w:w="2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w:t>
            </w: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EPS</w:t>
            </w: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w:t>
            </w:r>
          </w:p>
        </w:tc>
        <w:tc>
          <w:tcPr>
            <w:tcW w:w="2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w:t>
            </w:r>
          </w:p>
        </w:tc>
      </w:tr>
    </w:tbl>
    <w:p>
      <w:pPr>
        <w:ind w:left="840" w:hanging="166"/>
        <w:spacing w:after="0" w:line="222" w:lineRule="auto"/>
        <w:tabs>
          <w:tab w:leader="none" w:pos="840" w:val="left"/>
        </w:tabs>
        <w:numPr>
          <w:ilvl w:val="1"/>
          <w:numId w:val="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impact of unvested restricted stock was anti-dilutive therefore not included in the calculation of diluted EPS</w:t>
      </w:r>
    </w:p>
    <w:p>
      <w:pPr>
        <w:spacing w:after="0" w:line="200" w:lineRule="exact"/>
        <w:rPr>
          <w:rFonts w:ascii="Times New Roman" w:cs="Times New Roman" w:eastAsia="Times New Roman" w:hAnsi="Times New Roman"/>
          <w:sz w:val="21"/>
          <w:szCs w:val="21"/>
          <w:color w:val="auto"/>
          <w:vertAlign w:val="superscript"/>
        </w:rPr>
      </w:pPr>
    </w:p>
    <w:p>
      <w:pPr>
        <w:spacing w:after="0" w:line="364" w:lineRule="exact"/>
        <w:rPr>
          <w:rFonts w:ascii="Times New Roman" w:cs="Times New Roman" w:eastAsia="Times New Roman" w:hAnsi="Times New Roman"/>
          <w:sz w:val="21"/>
          <w:szCs w:val="21"/>
          <w:color w:val="auto"/>
          <w:vertAlign w:val="superscript"/>
        </w:rPr>
      </w:pPr>
    </w:p>
    <w:p>
      <w:pPr>
        <w:ind w:left="180" w:hanging="172"/>
        <w:spacing w:after="0"/>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ACCOUNTING PRONOUNCEMENTS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-614045</wp:posOffset>
            </wp:positionV>
            <wp:extent cx="21602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9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new accounting pronouncements adopted in the period or issued but not yet adopted by us which are expected to have a material impact on our Consolidated Financial Statements.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 INVENTORIES</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59"/>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The composition of inventories is as follows (in thousands):</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45"/>
        </w:trPr>
        <w:tc>
          <w:tcPr>
            <w:tcW w:w="4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240" w:type="dxa"/>
            <w:vAlign w:val="bottom"/>
          </w:tcPr>
          <w:p>
            <w:pPr>
              <w:spacing w:after="0"/>
              <w:rPr>
                <w:sz w:val="24"/>
                <w:szCs w:val="24"/>
                <w:color w:val="auto"/>
              </w:rPr>
            </w:pPr>
          </w:p>
        </w:tc>
        <w:tc>
          <w:tcPr>
            <w:tcW w:w="10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July 31,</w:t>
            </w:r>
          </w:p>
        </w:tc>
      </w:tr>
      <w:tr>
        <w:trPr>
          <w:trHeight w:val="241"/>
        </w:trPr>
        <w:tc>
          <w:tcPr>
            <w:tcW w:w="46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5"/>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23,734</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21,943</w:t>
            </w: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7,434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8,007</w:t>
            </w:r>
          </w:p>
        </w:tc>
      </w:tr>
      <w:tr>
        <w:trPr>
          <w:trHeight w:val="23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Spare parts, net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6,379</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5,981</w:t>
            </w:r>
          </w:p>
        </w:tc>
      </w:tr>
      <w:tr>
        <w:trPr>
          <w:trHeight w:val="229"/>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6,285</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6,681</w:t>
            </w:r>
          </w:p>
        </w:tc>
      </w:tr>
      <w:tr>
        <w:trPr>
          <w:trHeight w:val="248"/>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43,832</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42,612</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Inventories are valued at the lower of cost (first-in, first-out) or net realizable value. Inventory costs include the cost of raw materials, packaging supplies, labor, and other overhead costs. Included in Other is the inventory obsolescence reserve of $0.7 million as of October 31, 2023, and $0.8 million as of July 31, 2023. Spare parts in inventory are recorded net of a valuation reserve based on aging. The spare parts reserve was $3.0 million as of October 31, 2023, and $2.9 million as of July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The inputs used to measure fair value are prioritized into categories based on the lowest level of input that is significant to the fair value measurement. The categories in the fair value hierarchy are as follows: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Quoted market prices in active markets for identical assets or liabilities.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2: Observable market-based inputs for similar assets or liabilities or valuation models whose inputs are observable, directly or indirectly.</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3: Unobservable inputs.</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equivalents are primarily money market mutual funds classified as Level 1. We had $15.4 million cash equivalents as of October 31, 2023 and July 31, 2023.</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Balances of accounts receivable and accounts payable approximated their fair values at October 31, 2023 and July 31, 2023 due to the short maturity and nature of those balances.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Notes payable are reported at the face amount of future maturities. The estimated fair value of notes payable, including current maturities, was $29.0 million and $29.7 million as of October 31, 2023 and July 31, 2023, respectively, and are classified as Level 2. The fair value was estimated using the exit price notion by discounting future cash flows based on an observable market rate.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apply fair value techniques on at least an annual basis associated with: (1) valuing potential impairment loss related to goodwill, trademarks and other indefinite-lived intangible assets and (2) valuing potential impairment loss related to long-lived assets. See Note 5 of the Notes to the unaudited Condensed Consolidated Financial Statements for further information about goodwill and other intangible assets.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AND OTHER INTANGIBLE ASSETS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Intangible assets, other than goodwill, include trademarks, patents, and customer lists. Estimated intangible amortization for fiscal year 2024 is $0.1 million. Estimated intangible amortization for each of the next five fiscal years is $0.1 million. We have one acquired trademark recorded at a cost of $0.4 million that was determined to have an indefinite life and is not amortized.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triggering events in fiscal years 2024 or 2023 that would indicate a new impairment analysis is needed.</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6. ACCRUED EXPENSES</w:t>
            </w: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59"/>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 is as follows (in thousands):</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45"/>
        </w:trPr>
        <w:tc>
          <w:tcPr>
            <w:tcW w:w="17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240" w:type="dxa"/>
            <w:vAlign w:val="bottom"/>
          </w:tcPr>
          <w:p>
            <w:pPr>
              <w:spacing w:after="0"/>
              <w:rPr>
                <w:sz w:val="24"/>
                <w:szCs w:val="24"/>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July 31,</w:t>
            </w:r>
          </w:p>
        </w:tc>
      </w:tr>
      <w:tr>
        <w:trPr>
          <w:trHeight w:val="241"/>
        </w:trPr>
        <w:tc>
          <w:tcPr>
            <w:tcW w:w="1720" w:type="dxa"/>
            <w:vAlign w:val="bottom"/>
          </w:tcPr>
          <w:p>
            <w:pPr>
              <w:spacing w:after="0"/>
              <w:rPr>
                <w:sz w:val="20"/>
                <w:szCs w:val="20"/>
                <w:color w:val="auto"/>
              </w:rPr>
            </w:pPr>
          </w:p>
        </w:tc>
        <w:tc>
          <w:tcPr>
            <w:tcW w:w="49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5"/>
        </w:trPr>
        <w:tc>
          <w:tcPr>
            <w:tcW w:w="1720" w:type="dxa"/>
            <w:vAlign w:val="bottom"/>
          </w:tcPr>
          <w:p>
            <w:pPr>
              <w:spacing w:after="0"/>
              <w:rPr>
                <w:sz w:val="19"/>
                <w:szCs w:val="19"/>
                <w:color w:val="auto"/>
              </w:rPr>
            </w:pPr>
          </w:p>
        </w:tc>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 Wages, Commissions and Employee Benefits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9,556</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19,054</w:t>
            </w:r>
          </w:p>
        </w:tc>
      </w:tr>
      <w:tr>
        <w:trPr>
          <w:trHeight w:val="229"/>
        </w:trPr>
        <w:tc>
          <w:tcPr>
            <w:tcW w:w="172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Freight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3,016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3,078</w:t>
            </w:r>
          </w:p>
        </w:tc>
      </w:tr>
      <w:tr>
        <w:trPr>
          <w:trHeight w:val="230"/>
        </w:trPr>
        <w:tc>
          <w:tcPr>
            <w:tcW w:w="1720" w:type="dxa"/>
            <w:vAlign w:val="bottom"/>
          </w:tcPr>
          <w:p>
            <w:pPr>
              <w:spacing w:after="0"/>
              <w:rPr>
                <w:sz w:val="19"/>
                <w:szCs w:val="19"/>
                <w:color w:val="auto"/>
              </w:rPr>
            </w:pPr>
          </w:p>
        </w:tc>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Georgia Landfill Modification Reserve</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2,469</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w:t>
            </w:r>
          </w:p>
        </w:tc>
      </w:tr>
      <w:tr>
        <w:trPr>
          <w:trHeight w:val="230"/>
        </w:trPr>
        <w:tc>
          <w:tcPr>
            <w:tcW w:w="172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2,359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r>
      <w:tr>
        <w:trPr>
          <w:trHeight w:val="230"/>
        </w:trPr>
        <w:tc>
          <w:tcPr>
            <w:tcW w:w="1720" w:type="dxa"/>
            <w:vAlign w:val="bottom"/>
          </w:tcPr>
          <w:p>
            <w:pPr>
              <w:spacing w:after="0"/>
              <w:rPr>
                <w:sz w:val="19"/>
                <w:szCs w:val="19"/>
                <w:color w:val="auto"/>
              </w:rPr>
            </w:pPr>
          </w:p>
        </w:tc>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Promotions and Advertising</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2,352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w:t>
            </w:r>
          </w:p>
        </w:tc>
      </w:tr>
      <w:tr>
        <w:trPr>
          <w:trHeight w:val="229"/>
        </w:trPr>
        <w:tc>
          <w:tcPr>
            <w:tcW w:w="172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Tax</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r>
      <w:tr>
        <w:trPr>
          <w:trHeight w:val="230"/>
        </w:trPr>
        <w:tc>
          <w:tcPr>
            <w:tcW w:w="1720" w:type="dxa"/>
            <w:vAlign w:val="bottom"/>
          </w:tcPr>
          <w:p>
            <w:pPr>
              <w:spacing w:after="0"/>
              <w:rPr>
                <w:sz w:val="19"/>
                <w:szCs w:val="19"/>
                <w:color w:val="auto"/>
              </w:rPr>
            </w:pPr>
          </w:p>
        </w:tc>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11,353</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8,416</w:t>
            </w:r>
          </w:p>
        </w:tc>
      </w:tr>
      <w:tr>
        <w:trPr>
          <w:trHeight w:val="223"/>
        </w:trPr>
        <w:tc>
          <w:tcPr>
            <w:tcW w:w="17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32,613</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36,868</w:t>
            </w:r>
          </w:p>
        </w:tc>
      </w:tr>
      <w:tr>
        <w:trPr>
          <w:trHeight w:val="20"/>
        </w:trPr>
        <w:tc>
          <w:tcPr>
            <w:tcW w:w="17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7. OTHER CONTINGENCIES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party to various legal actions from time to time that are ordinary in nature and incidental to the operation of our business, including ongoing litigation. While it is not possible at this time to determine with certainty the ultimate outcome of these or other lawsuits, we believe that none of the pending proceedings will have a material adverse effect on our business, financial condition, results of operations or cash flows.</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second quarter of fiscal year 2023, we recorded a reserve of $2.5 million for anticipated modification costs that we expect to incur to address capacity issues at our sole landfill located in Ochlocknee, Georgia. Reserves are recorded when it is probable that a liability has been incurred and the amount of the liability can be reasonably estimated. The amount of the reserve represents management’s best estimate of the costs for the modification with respect to this matter. There have been no changes to the reserve estimate in the first quarter of fiscal year 2024. Inherent uncertainties exist in these estimates primarily due to unknown conditions, changing governmental regulations and legal standards, and emerging technologies for handling site modification. Consequently, it is reasonably possible that modification costs in excess of amounts accrued could have a material impact on the Company’s results of operations, financial condition and cash flows.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party to an Amended and Restated Note Purchase and Private Shelf Agreement (as amended, the "Note Agreement") with PGIM, Inc. ("Prudential") and certain existing noteholders and purchasers affiliated with Prudential named therein. Pursuant to the Note Agreement on May 15, 2021 we issued $10 million in aggregate principal amount of our 3.95% Series B Senior Notes due May 15, 2030, of which $7 million aggregate principal amount remained outstanding as of October 31, 2023. On December 16, 2021, under the Note Agreement we issued an additional $25 million in aggregate principal amount of our 3.25% Series C Senior Notes due December 16, 2031, all of which remained outstanding as of October 31, 2023. The Amended Note Agreement also provides us with the ability to request, from time to time, that Prudential affiliate(s) purchase, at Prudential’s discretion and on an uncommitted basis, additional senior unsecured notes of Oil-Dri (the “Shelf Notes,” and collectively with the Series A Notes, Series B Notes, and Series C Notes, the “Notes”) in an aggregate principal amount of up to $75 million minus the aggregate principal amount of Notes then outstanding and Shelf Notes that have been accepted for purchase. Interest payable on any Shelf Note agreed to be purchased under the Note Agreement will be at a rate determined by Prudential and will mature no more than fifteen years after the date of original issue of such Shelf Note.</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30, 2022, we entered into Amendment No. 3 (the "Third Amendment") to the Note Agreement. The Third Amendment modified the existing fixed charge coverage financial covenant and replaced the existing consolidated debt financial covenant with a maximum debt to earnings ratio and effected certain changes consistent with the Sixth Amendment to the Credit Agreement (defined below), including modifying the method for calculating consolidated EBITDA and the excess leverage fee.</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21, 2023, the Company entered into Amendment No. 4 (the “Fourth Amendment”) to the Note Agreement. The Fourth Amendment extended the time frame for issuing and selling Shelf Notes to September 21, 2026.</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party to the Credit Agreement, dated as of January 27, 2006 (as previously amended, the "Credit Agreement"), among us, BMO Harris Bank N.A (“BMO”), and certain of our domestic subsidiaries. The agreement provides for a $45 million unsecured revolving credit facility, including a maximum of $10 million for letters of credit.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Credit Agreement contains restrictive covenants that, among other things and under various conditions, limit our ability to incur additional</w:t>
      </w:r>
    </w:p>
    <w:p>
      <w:pPr>
        <w:spacing w:after="0" w:line="5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indebtedness or to dispose of assets. On August 30, 2022, we entered into the Sixth Amendment to the Credit Agreement (the "Sixth Amendment"). The Sixth Amendment extended the facility termination date to August 30, 2027; replaced the LIBOR-based reference rate with an adjusted term Secured Overnight Financing Rate ("SOFR"); revised the method for calculating consolidated EBITDA and consolidated debt for purposes of the Credit Agreement; modified certain restrictive covenants, including increasing the unsecured indebtedness basket from $50 million to $75 million; and revised the existing financial covenants by replacing the consolidated debt covenant with a covenant to maintain a maximum debt to earnings ratio, lowering the minimum fixed charge coverage ratio level and revising the method for calculating the fixed charge coverage ratio. As of October 31, 2023, and July 31, 2023, we were in compliance with the covenants. There were no borrowings during the first quarter of fiscal year 2024. However, we had $1.0 million of letters of credit outstanding as of October 31, 2023 and July 31, 2023 under this agreement.</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5" w:name="page16"/>
    <w:bookmarkEnd w:id="15"/>
    <w:p>
      <w:pPr>
        <w:jc w:val="both"/>
        <w:spacing w:after="0" w:line="266" w:lineRule="auto"/>
        <w:rPr>
          <w:sz w:val="20"/>
          <w:szCs w:val="20"/>
          <w:color w:val="auto"/>
        </w:rPr>
      </w:pPr>
      <w:r>
        <w:rPr>
          <w:rFonts w:ascii="Times New Roman" w:cs="Times New Roman" w:eastAsia="Times New Roman" w:hAnsi="Times New Roman"/>
          <w:sz w:val="18"/>
          <w:szCs w:val="18"/>
          <w:color w:val="auto"/>
        </w:rPr>
        <w:t>The Credit Agreement states that we may select a variable interest rate based on either the BMO Harris prime rate or an adjusted SOFR-based rate, plus a margin that varies depending on our debt to earnings ratio, or a fixed rate as agreed between us and BMO Harris. As of October 31, 2023, the variable rates would have been 8.50% for the BMO Harris prime-based rate or 5.38% for the adjusted SOFR-based rate.</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operating leases primarily for real estate properties, including corporate headquarters, customer service and sales offices, manufacturing and packaging facilities, warehouses, and research and development facilities, as well as for rail tracks, railcars and office equipment. Certain of our leases for a shared warehouse and office facility, rail track and railcars have options to extend which we are reasonably certain we will exercise and, accordingly, have been considered in the lease term used to recognize our ROU assets and lease liabilities. To determine the present value of the lease liability, we use an incremental borrowing rate, which is defined as the rate of interest that the Company would have to pay to borrow (on a collateralized basis over a similar term) an amount equal to the lease payments in similar economic environments. Further information about our accounting policy for leases is included in Note 1 of the Notes to the unaudited Condensed Consolidated Financial Statements.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no material finance leases, and variable costs for operating leases are immaterial for the three months ended October 31, 2023. Operating lease costs are included in Cost of Goods Sold or SG&amp;A expenses based on the nature of the lease. The following table summarizes total lease costs for our operating leases (in thousands):</w:t>
      </w:r>
    </w:p>
    <w:p>
      <w:pPr>
        <w:spacing w:after="0" w:line="83" w:lineRule="exact"/>
        <w:rPr>
          <w:sz w:val="20"/>
          <w:szCs w:val="20"/>
          <w:color w:val="auto"/>
        </w:rPr>
      </w:pPr>
    </w:p>
    <w:p>
      <w:pPr>
        <w:jc w:val="center"/>
        <w:ind w:left="22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p>
      <w:pPr>
        <w:jc w:val="center"/>
        <w:ind w:left="2260"/>
        <w:spacing w:after="0"/>
        <w:rPr>
          <w:sz w:val="20"/>
          <w:szCs w:val="20"/>
          <w:color w:val="auto"/>
        </w:rPr>
      </w:pPr>
      <w:r>
        <w:rPr>
          <w:rFonts w:ascii="Times New Roman" w:cs="Times New Roman" w:eastAsia="Times New Roman" w:hAnsi="Times New Roman"/>
          <w:sz w:val="18"/>
          <w:szCs w:val="18"/>
          <w:b w:val="1"/>
          <w:bCs w:val="1"/>
          <w:color w:val="auto"/>
        </w:rPr>
        <w:t>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13335</wp:posOffset>
            </wp:positionV>
            <wp:extent cx="16973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Lease Cost</w:t>
            </w:r>
          </w:p>
        </w:tc>
        <w:tc>
          <w:tcPr>
            <w:tcW w:w="8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546</w:t>
            </w:r>
          </w:p>
        </w:tc>
        <w:tc>
          <w:tcPr>
            <w:tcW w:w="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Short-term operating lease cost</w:t>
            </w:r>
          </w:p>
        </w:tc>
        <w:tc>
          <w:tcPr>
            <w:tcW w:w="820" w:type="dxa"/>
            <w:vAlign w:val="bottom"/>
          </w:tcPr>
          <w:p>
            <w:pPr>
              <w:spacing w:after="0"/>
              <w:rPr>
                <w:sz w:val="23"/>
                <w:szCs w:val="23"/>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w:t>
            </w: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53"/>
        </w:trPr>
        <w:tc>
          <w:tcPr>
            <w:tcW w:w="626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color w:val="auto"/>
                <w:w w:val="99"/>
              </w:rPr>
              <w:t>Supplemental cash flow information related to leases was as follows (in thousands):</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20" w:type="dxa"/>
            <w:vAlign w:val="bottom"/>
            <w:gridSpan w:val="6"/>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0" w:type="dxa"/>
            <w:vAlign w:val="bottom"/>
          </w:tcPr>
          <w:p>
            <w:pPr>
              <w:spacing w:after="0"/>
              <w:rPr>
                <w:sz w:val="1"/>
                <w:szCs w:val="1"/>
                <w:color w:val="auto"/>
              </w:rPr>
            </w:pPr>
          </w:p>
        </w:tc>
      </w:tr>
      <w:tr>
        <w:trPr>
          <w:trHeight w:val="241"/>
        </w:trPr>
        <w:tc>
          <w:tcPr>
            <w:tcW w:w="20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080" w:type="dxa"/>
            <w:vAlign w:val="bottom"/>
          </w:tcPr>
          <w:p>
            <w:pPr>
              <w:spacing w:after="0"/>
              <w:rPr>
                <w:sz w:val="20"/>
                <w:szCs w:val="20"/>
                <w:color w:val="auto"/>
              </w:rPr>
            </w:pPr>
          </w:p>
        </w:tc>
        <w:tc>
          <w:tcPr>
            <w:tcW w:w="1080" w:type="dxa"/>
            <w:vAlign w:val="bottom"/>
            <w:tcBorders>
              <w:bottom w:val="single" w:sz="8" w:color="CCEEFF"/>
            </w:tcBorders>
          </w:tcPr>
          <w:p>
            <w:pPr>
              <w:spacing w:after="0"/>
              <w:rPr>
                <w:sz w:val="20"/>
                <w:szCs w:val="20"/>
                <w:color w:val="auto"/>
              </w:rPr>
            </w:pPr>
          </w:p>
        </w:tc>
        <w:tc>
          <w:tcPr>
            <w:tcW w:w="2280" w:type="dxa"/>
            <w:vAlign w:val="bottom"/>
            <w:tcBorders>
              <w:bottom w:val="single" w:sz="8" w:color="CCEEFF"/>
            </w:tcBorders>
          </w:tcPr>
          <w:p>
            <w:pPr>
              <w:spacing w:after="0"/>
              <w:rPr>
                <w:sz w:val="20"/>
                <w:szCs w:val="20"/>
                <w:color w:val="auto"/>
              </w:rPr>
            </w:pPr>
          </w:p>
        </w:tc>
        <w:tc>
          <w:tcPr>
            <w:tcW w:w="8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50"/>
        </w:trPr>
        <w:tc>
          <w:tcPr>
            <w:tcW w:w="2080" w:type="dxa"/>
            <w:vAlign w:val="bottom"/>
          </w:tcPr>
          <w:p>
            <w:pPr>
              <w:spacing w:after="0"/>
              <w:rPr>
                <w:sz w:val="21"/>
                <w:szCs w:val="21"/>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8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80" w:type="dxa"/>
            <w:vAlign w:val="bottom"/>
          </w:tcPr>
          <w:p>
            <w:pPr>
              <w:spacing w:after="0"/>
              <w:rPr>
                <w:sz w:val="15"/>
                <w:szCs w:val="15"/>
                <w:color w:val="auto"/>
              </w:rPr>
            </w:pPr>
          </w:p>
        </w:tc>
        <w:tc>
          <w:tcPr>
            <w:tcW w:w="4180" w:type="dxa"/>
            <w:vAlign w:val="bottom"/>
            <w:gridSpan w:val="3"/>
          </w:tcPr>
          <w:p>
            <w:pPr>
              <w:ind w:left="40"/>
              <w:spacing w:after="0" w:line="176" w:lineRule="exact"/>
              <w:rPr>
                <w:sz w:val="20"/>
                <w:szCs w:val="20"/>
                <w:color w:val="auto"/>
              </w:rPr>
            </w:pPr>
            <w:r>
              <w:rPr>
                <w:rFonts w:ascii="Times New Roman" w:cs="Times New Roman" w:eastAsia="Times New Roman" w:hAnsi="Times New Roman"/>
                <w:sz w:val="18"/>
                <w:szCs w:val="18"/>
                <w:color w:val="auto"/>
              </w:rPr>
              <w:t>Cash paid for amounts included in the measurement of</w:t>
            </w:r>
          </w:p>
        </w:tc>
        <w:tc>
          <w:tcPr>
            <w:tcW w:w="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461</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spacing w:after="0"/>
              <w:rPr>
                <w:sz w:val="21"/>
                <w:szCs w:val="21"/>
                <w:color w:val="auto"/>
              </w:rPr>
            </w:pPr>
          </w:p>
        </w:tc>
        <w:tc>
          <w:tcPr>
            <w:tcW w:w="3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820" w:type="dxa"/>
            <w:vAlign w:val="bottom"/>
          </w:tcPr>
          <w:p>
            <w:pPr>
              <w:spacing w:after="0"/>
              <w:rPr>
                <w:sz w:val="21"/>
                <w:szCs w:val="21"/>
                <w:color w:val="auto"/>
              </w:rPr>
            </w:pPr>
          </w:p>
        </w:tc>
        <w:tc>
          <w:tcPr>
            <w:tcW w:w="40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vMerge w:val="continue"/>
          </w:tcPr>
          <w:p>
            <w:pPr>
              <w:spacing w:after="0"/>
              <w:rPr>
                <w:sz w:val="21"/>
                <w:szCs w:val="2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29"/>
        </w:trPr>
        <w:tc>
          <w:tcPr>
            <w:tcW w:w="2080" w:type="dxa"/>
            <w:vAlign w:val="bottom"/>
          </w:tcPr>
          <w:p>
            <w:pPr>
              <w:spacing w:after="0"/>
              <w:rPr>
                <w:sz w:val="19"/>
                <w:szCs w:val="19"/>
                <w:color w:val="auto"/>
              </w:rPr>
            </w:pPr>
          </w:p>
        </w:tc>
        <w:tc>
          <w:tcPr>
            <w:tcW w:w="41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Right-of-use assets obtained in exchange for new</w:t>
            </w:r>
          </w:p>
        </w:tc>
        <w:tc>
          <w:tcPr>
            <w:tcW w:w="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80" w:type="dxa"/>
            <w:vAlign w:val="bottom"/>
          </w:tcPr>
          <w:p>
            <w:pPr>
              <w:spacing w:after="0"/>
              <w:rPr>
                <w:sz w:val="21"/>
                <w:szCs w:val="21"/>
                <w:color w:val="auto"/>
              </w:rPr>
            </w:pPr>
          </w:p>
        </w:tc>
        <w:tc>
          <w:tcPr>
            <w:tcW w:w="3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820" w:type="dxa"/>
            <w:vAlign w:val="bottom"/>
            <w:shd w:val="clear" w:color="auto" w:fill="CCEEFF"/>
          </w:tcPr>
          <w:p>
            <w:pPr>
              <w:spacing w:after="0"/>
              <w:rPr>
                <w:sz w:val="21"/>
                <w:szCs w:val="21"/>
                <w:color w:val="auto"/>
              </w:rPr>
            </w:pPr>
          </w:p>
        </w:tc>
        <w:tc>
          <w:tcPr>
            <w:tcW w:w="400" w:type="dxa"/>
            <w:vAlign w:val="bottom"/>
            <w:gridSpan w:val="2"/>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20" w:type="dxa"/>
            <w:vAlign w:val="bottom"/>
            <w:vMerge w:val="continue"/>
            <w:shd w:val="clear" w:color="auto" w:fill="CCEEFF"/>
          </w:tcPr>
          <w:p>
            <w:pPr>
              <w:spacing w:after="0"/>
              <w:rPr>
                <w:sz w:val="21"/>
                <w:szCs w:val="21"/>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bl>
    <w:p>
      <w:pPr>
        <w:spacing w:after="0" w:line="40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Operating lease ROU assets and operating lease liabilities are separately presented on the unaudited Condensed Consolidated Balance Sheet, excluding leases with an initial term of twelve months or less. Other supplemental balance sheet information related to leases was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0" w:type="dxa"/>
            <w:vAlign w:val="bottom"/>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9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Pr>
          <w:p>
            <w:pPr>
              <w:spacing w:after="0"/>
              <w:rPr>
                <w:sz w:val="20"/>
                <w:szCs w:val="20"/>
                <w:color w:val="auto"/>
              </w:rPr>
            </w:pP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July 31, 2023</w:t>
            </w:r>
          </w:p>
        </w:tc>
      </w:tr>
      <w:tr>
        <w:trPr>
          <w:trHeight w:val="223"/>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 - operating leases</w:t>
            </w:r>
          </w:p>
        </w:tc>
        <w:tc>
          <w:tcPr>
            <w:tcW w:w="238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7.1 years</w:t>
            </w:r>
          </w:p>
        </w:tc>
        <w:tc>
          <w:tcPr>
            <w:tcW w:w="80" w:type="dxa"/>
            <w:vAlign w:val="bottom"/>
          </w:tcPr>
          <w:p>
            <w:pPr>
              <w:spacing w:after="0"/>
              <w:rPr>
                <w:sz w:val="19"/>
                <w:szCs w:val="19"/>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7.7 years</w:t>
            </w:r>
          </w:p>
        </w:tc>
      </w:tr>
      <w:tr>
        <w:trPr>
          <w:trHeight w:val="230"/>
        </w:trPr>
        <w:tc>
          <w:tcPr>
            <w:tcW w:w="6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Weighted-average discount rate - operating leases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4.19%</w:t>
            </w: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4.03%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6" w:name="page17"/>
    <w:bookmarkEnd w:id="16"/>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scheduled minimum future lease payments due within twelve months for operating leases with terms longer than one year for which cash flows are fixed and determinable as of October 31, 2023, (in thousands):</w:t>
      </w:r>
    </w:p>
    <w:p>
      <w:pPr>
        <w:spacing w:after="0" w:line="85" w:lineRule="exact"/>
        <w:rPr>
          <w:sz w:val="20"/>
          <w:szCs w:val="20"/>
          <w:color w:val="auto"/>
        </w:rPr>
      </w:pPr>
    </w:p>
    <w:tbl>
      <w:tblPr>
        <w:tblLayout w:type="fixed"/>
        <w:tblInd w:w="3380" w:type="dxa"/>
        <w:tblCellMar>
          <w:top w:w="0" w:type="dxa"/>
          <w:left w:w="0" w:type="dxa"/>
          <w:bottom w:w="0" w:type="dxa"/>
          <w:right w:w="0" w:type="dxa"/>
        </w:tblCellMar>
      </w:tblPr>
      <w:tr>
        <w:trPr>
          <w:trHeight w:val="229"/>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1,686</w:t>
            </w:r>
          </w:p>
        </w:tc>
      </w:tr>
      <w:tr>
        <w:trPr>
          <w:trHeight w:val="230"/>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2,167</w:t>
            </w:r>
          </w:p>
        </w:tc>
      </w:tr>
      <w:tr>
        <w:trPr>
          <w:trHeight w:val="229"/>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1,848</w:t>
            </w:r>
          </w:p>
        </w:tc>
      </w:tr>
      <w:tr>
        <w:trPr>
          <w:trHeight w:val="230"/>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1,432</w:t>
            </w:r>
          </w:p>
        </w:tc>
      </w:tr>
      <w:tr>
        <w:trPr>
          <w:trHeight w:val="229"/>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883</w:t>
            </w:r>
          </w:p>
        </w:tc>
      </w:tr>
      <w:tr>
        <w:trPr>
          <w:trHeight w:val="229"/>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3,825</w:t>
            </w:r>
          </w:p>
        </w:tc>
      </w:tr>
      <w:tr>
        <w:trPr>
          <w:trHeight w:val="22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11,841</w:t>
            </w:r>
          </w:p>
        </w:tc>
      </w:tr>
      <w:tr>
        <w:trPr>
          <w:trHeight w:val="229"/>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(1,624)</w:t>
            </w:r>
          </w:p>
        </w:tc>
      </w:tr>
      <w:tr>
        <w:trPr>
          <w:trHeight w:val="248"/>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lease obligation</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10,217</w:t>
            </w: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PENSION AND OTHER POSTRETIREMENT BENEFITS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Oil-Dri Corporation of America Pension Plan ("Pension Plan") was a defined benefit pension plan for eligible salaried and hourly employees. Pension benefits were based on a formula of years of credited service and levels of compensation or stated amounts for each year of credited service. On January 9, 2020, Oil-Dri amended the Pension Plan to freeze participation, all future benefit accruals and accrual of benefit service, including consideration of compensation increases, effective March 1, 2020. Consequently, the Pension Plan was closed to new participants and existing participants no longer earned additional benefits on or after March 1, 2020. On September 20, 2022, the Company's Board of Directors approved a resolution to terminate the Company's defined benefit pension plan. The pension obligations were fully settled in April 2023.</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postretirement health benefits plan is also provided to domestic salaried employees who meet specific age, participation and length of service requirements at the time of retirement. Eligible employees may elect to continue their health care coverage under the Oil-Dri Corporation of America Employee Benefits Plan until the date certain criteria are met, including attaining the age of Medicare eligibility. We have the right to modify or terminate the postretirement health benefit plan at any time. The postretirement health plan is an unfunded plan. We pay insurance premiums and claims from our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The components of net periodic pension and postretirement health benefit costs were as follows:</w:t>
      </w:r>
    </w:p>
    <w:p>
      <w:pPr>
        <w:spacing w:after="0" w:line="289"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4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Pension Benefits</w:t>
            </w:r>
          </w:p>
        </w:tc>
        <w:tc>
          <w:tcPr>
            <w:tcW w:w="820" w:type="dxa"/>
            <w:vAlign w:val="bottom"/>
          </w:tcPr>
          <w:p>
            <w:pPr>
              <w:spacing w:after="0"/>
              <w:rPr>
                <w:sz w:val="19"/>
                <w:szCs w:val="19"/>
                <w:color w:val="auto"/>
              </w:rPr>
            </w:pPr>
          </w:p>
        </w:tc>
      </w:tr>
      <w:tr>
        <w:trPr>
          <w:trHeight w:val="238"/>
        </w:trPr>
        <w:tc>
          <w:tcPr>
            <w:tcW w:w="40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20" w:type="dxa"/>
            <w:vAlign w:val="bottom"/>
            <w:tcBorders>
              <w:bottom w:val="single" w:sz="8" w:color="auto"/>
            </w:tcBorders>
          </w:tcPr>
          <w:p>
            <w:pPr>
              <w:spacing w:after="0"/>
              <w:rPr>
                <w:sz w:val="20"/>
                <w:szCs w:val="20"/>
                <w:color w:val="auto"/>
              </w:rPr>
            </w:pPr>
          </w:p>
        </w:tc>
      </w:tr>
      <w:tr>
        <w:trPr>
          <w:trHeight w:val="169"/>
        </w:trPr>
        <w:tc>
          <w:tcPr>
            <w:tcW w:w="4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40" w:type="dxa"/>
            <w:vAlign w:val="bottom"/>
            <w:gridSpan w:val="4"/>
          </w:tcPr>
          <w:p>
            <w:pPr>
              <w:jc w:val="center"/>
              <w:ind w:right="90"/>
              <w:spacing w:after="0" w:line="169" w:lineRule="exact"/>
              <w:rPr>
                <w:sz w:val="20"/>
                <w:szCs w:val="20"/>
                <w:color w:val="auto"/>
              </w:rPr>
            </w:pPr>
            <w:r>
              <w:rPr>
                <w:rFonts w:ascii="Times New Roman" w:cs="Times New Roman" w:eastAsia="Times New Roman" w:hAnsi="Times New Roman"/>
                <w:sz w:val="18"/>
                <w:szCs w:val="18"/>
                <w:b w:val="1"/>
                <w:bCs w:val="1"/>
                <w:color w:val="auto"/>
                <w:w w:val="99"/>
              </w:rPr>
              <w:t>For the Three Months Ended</w:t>
            </w:r>
          </w:p>
        </w:tc>
      </w:tr>
      <w:tr>
        <w:trPr>
          <w:trHeight w:val="241"/>
        </w:trPr>
        <w:tc>
          <w:tcPr>
            <w:tcW w:w="4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820" w:type="dxa"/>
            <w:vAlign w:val="bottom"/>
            <w:tcBorders>
              <w:bottom w:val="single" w:sz="8" w:color="auto"/>
            </w:tcBorders>
          </w:tcPr>
          <w:p>
            <w:pPr>
              <w:spacing w:after="0"/>
              <w:rPr>
                <w:sz w:val="20"/>
                <w:szCs w:val="20"/>
                <w:color w:val="auto"/>
              </w:rPr>
            </w:pPr>
          </w:p>
        </w:tc>
      </w:tr>
      <w:tr>
        <w:trPr>
          <w:trHeight w:val="225"/>
        </w:trPr>
        <w:tc>
          <w:tcPr>
            <w:tcW w:w="40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4"/>
              </w:rPr>
              <w:t>2022</w:t>
            </w:r>
          </w:p>
        </w:tc>
      </w:tr>
      <w:tr>
        <w:trPr>
          <w:trHeight w:val="223"/>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3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8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r>
      <w:tr>
        <w:trPr>
          <w:trHeight w:val="229"/>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4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actuarial loss</w:t>
            </w:r>
          </w:p>
        </w:tc>
        <w:tc>
          <w:tcPr>
            <w:tcW w:w="18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50"/>
        </w:trPr>
        <w:tc>
          <w:tcPr>
            <w:tcW w:w="4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benefit cost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0"/>
        </w:trPr>
        <w:tc>
          <w:tcPr>
            <w:tcW w:w="4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r>
      <w:tr>
        <w:trPr>
          <w:trHeight w:val="276"/>
        </w:trPr>
        <w:tc>
          <w:tcPr>
            <w:tcW w:w="4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720" w:type="dxa"/>
            <w:vAlign w:val="bottom"/>
            <w:gridSpan w:val="5"/>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Postretirement Health Benefits</w:t>
            </w:r>
          </w:p>
        </w:tc>
      </w:tr>
      <w:tr>
        <w:trPr>
          <w:trHeight w:val="238"/>
        </w:trPr>
        <w:tc>
          <w:tcPr>
            <w:tcW w:w="40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20" w:type="dxa"/>
            <w:vAlign w:val="bottom"/>
            <w:tcBorders>
              <w:bottom w:val="single" w:sz="8" w:color="auto"/>
            </w:tcBorders>
          </w:tcPr>
          <w:p>
            <w:pPr>
              <w:spacing w:after="0"/>
              <w:rPr>
                <w:sz w:val="20"/>
                <w:szCs w:val="20"/>
                <w:color w:val="auto"/>
              </w:rPr>
            </w:pPr>
          </w:p>
        </w:tc>
      </w:tr>
      <w:tr>
        <w:trPr>
          <w:trHeight w:val="169"/>
        </w:trPr>
        <w:tc>
          <w:tcPr>
            <w:tcW w:w="4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40" w:type="dxa"/>
            <w:vAlign w:val="bottom"/>
            <w:gridSpan w:val="4"/>
          </w:tcPr>
          <w:p>
            <w:pPr>
              <w:jc w:val="center"/>
              <w:ind w:right="90"/>
              <w:spacing w:after="0" w:line="169" w:lineRule="exact"/>
              <w:rPr>
                <w:sz w:val="20"/>
                <w:szCs w:val="20"/>
                <w:color w:val="auto"/>
              </w:rPr>
            </w:pPr>
            <w:r>
              <w:rPr>
                <w:rFonts w:ascii="Times New Roman" w:cs="Times New Roman" w:eastAsia="Times New Roman" w:hAnsi="Times New Roman"/>
                <w:sz w:val="18"/>
                <w:szCs w:val="18"/>
                <w:b w:val="1"/>
                <w:bCs w:val="1"/>
                <w:color w:val="auto"/>
                <w:w w:val="99"/>
              </w:rPr>
              <w:t>For the Three Months Ended</w:t>
            </w:r>
          </w:p>
        </w:tc>
      </w:tr>
      <w:tr>
        <w:trPr>
          <w:trHeight w:val="241"/>
        </w:trPr>
        <w:tc>
          <w:tcPr>
            <w:tcW w:w="4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820" w:type="dxa"/>
            <w:vAlign w:val="bottom"/>
            <w:tcBorders>
              <w:bottom w:val="single" w:sz="8" w:color="auto"/>
            </w:tcBorders>
          </w:tcPr>
          <w:p>
            <w:pPr>
              <w:spacing w:after="0"/>
              <w:rPr>
                <w:sz w:val="20"/>
                <w:szCs w:val="20"/>
                <w:color w:val="auto"/>
              </w:rPr>
            </w:pPr>
          </w:p>
        </w:tc>
      </w:tr>
      <w:tr>
        <w:trPr>
          <w:trHeight w:val="225"/>
        </w:trPr>
        <w:tc>
          <w:tcPr>
            <w:tcW w:w="40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4"/>
              </w:rPr>
              <w:t>2022</w:t>
            </w:r>
          </w:p>
        </w:tc>
      </w:tr>
      <w:tr>
        <w:trPr>
          <w:trHeight w:val="223"/>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4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actuarial loss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4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Prior service costs</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benefit cost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
        </w:trPr>
        <w:tc>
          <w:tcPr>
            <w:tcW w:w="4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non-service cost components of net periodic benefit cost are included in Other Income (Expense) in the line item Other, net on the unaudited Condensed Consolidated Statements of Income.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discount rate for the net periodic benefit cost used in the calculation of the postretirement health benefits was 4.90% and 3.82% for the three months ended October 31, 2023, and 2022, respectively. The medical cost trend assumption for postretirement health benefits was 8.20%. The graded trend rate is expected to decrease to an ultimate rate of 4.90% in fiscal year 2044.</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OPERATING SEGMENTS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two operating segments: (1) Retail and Wholesale Products Group and (2) Business to Business Products Group. These operating segments are managed separately and each segment's major customers have different characteristics. The Retail and Wholesale Products Group customers include mass merchandisers, the farm and fleet channel, drugstore chains, pet specialty retail outlets, dollar stores, retail grocery stores, distributors of industrial cleanup and automotive products, environmental service companies, sports field product users and marketers of consumer products. The Business to Business Products Group customers include: processors and refiners of edible oils, renewable diesel, petroleum-based oils and biodiesel fuel; manufacturers of animal feed and agricultural chemicals; and distributors of animal health and nutrition products. Our operating segments are also our reportable segments. The accounting policies of the segments are the same as those described in Note 1 of the Notes to the Consolidated Financial Statements included in our Annual Report on Form 10-K for the fiscal year ended July 31, 2023.</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Net sales for our principal products by segment are as follows (in thousands):</w:t>
      </w:r>
    </w:p>
    <w:p>
      <w:pPr>
        <w:spacing w:after="0" w:line="23"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3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60" w:type="dxa"/>
            <w:vAlign w:val="bottom"/>
            <w:gridSpan w:val="7"/>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Business to Business Products</w:t>
            </w:r>
          </w:p>
        </w:tc>
        <w:tc>
          <w:tcPr>
            <w:tcW w:w="258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Retail and Wholesale Products</w:t>
            </w:r>
          </w:p>
        </w:tc>
      </w:tr>
      <w:tr>
        <w:trPr>
          <w:trHeight w:val="241"/>
        </w:trPr>
        <w:tc>
          <w:tcPr>
            <w:tcW w:w="38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Group</w:t>
            </w:r>
          </w:p>
        </w:tc>
        <w:tc>
          <w:tcPr>
            <w:tcW w:w="9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Group</w:t>
            </w:r>
          </w:p>
        </w:tc>
        <w:tc>
          <w:tcPr>
            <w:tcW w:w="960" w:type="dxa"/>
            <w:vAlign w:val="bottom"/>
            <w:tcBorders>
              <w:bottom w:val="single" w:sz="8" w:color="auto"/>
            </w:tcBorders>
          </w:tcPr>
          <w:p>
            <w:pPr>
              <w:spacing w:after="0"/>
              <w:rPr>
                <w:sz w:val="20"/>
                <w:szCs w:val="20"/>
                <w:color w:val="auto"/>
              </w:rPr>
            </w:pPr>
          </w:p>
        </w:tc>
      </w:tr>
      <w:tr>
        <w:trPr>
          <w:trHeight w:val="225"/>
        </w:trPr>
        <w:tc>
          <w:tcPr>
            <w:tcW w:w="38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440" w:type="dxa"/>
            <w:vAlign w:val="bottom"/>
            <w:tcBorders>
              <w:bottom w:val="single" w:sz="8" w:color="auto"/>
            </w:tcBorders>
            <w:gridSpan w:val="9"/>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October 31,</w:t>
            </w:r>
          </w:p>
        </w:tc>
        <w:tc>
          <w:tcPr>
            <w:tcW w:w="960" w:type="dxa"/>
            <w:vAlign w:val="bottom"/>
            <w:tcBorders>
              <w:bottom w:val="single" w:sz="8" w:color="auto"/>
            </w:tcBorders>
          </w:tcPr>
          <w:p>
            <w:pPr>
              <w:spacing w:after="0"/>
              <w:rPr>
                <w:sz w:val="19"/>
                <w:szCs w:val="19"/>
                <w:color w:val="auto"/>
              </w:rPr>
            </w:pPr>
          </w:p>
        </w:tc>
      </w:tr>
      <w:tr>
        <w:trPr>
          <w:trHeight w:val="223"/>
        </w:trPr>
        <w:tc>
          <w:tcPr>
            <w:tcW w:w="3840" w:type="dxa"/>
            <w:vAlign w:val="bottom"/>
            <w:tcBorders>
              <w:bottom w:val="single" w:sz="8" w:color="CCEEFF"/>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Cat Litter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60,861</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54,198</w:t>
            </w:r>
          </w:p>
        </w:tc>
      </w:tr>
      <w:tr>
        <w:trPr>
          <w:trHeight w:val="230"/>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Industrial and Sports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11,416</w:t>
            </w:r>
          </w:p>
        </w:tc>
        <w:tc>
          <w:tcPr>
            <w:tcW w:w="1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10,654</w:t>
            </w:r>
          </w:p>
        </w:tc>
      </w:tr>
      <w:tr>
        <w:trPr>
          <w:trHeight w:val="229"/>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Agricultural and Horticultural</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10,315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10,003</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Bleaching Clay and Fluids Purification</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22,406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Animal Health and Nutrition</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6,440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5,455</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39,161</w:t>
            </w:r>
          </w:p>
        </w:tc>
        <w:tc>
          <w:tcPr>
            <w:tcW w:w="80" w:type="dxa"/>
            <w:vAlign w:val="bottom"/>
            <w:tcBorders>
              <w:top w:val="single" w:sz="8" w:color="auto"/>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33,687</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72,277</w:t>
            </w:r>
          </w:p>
        </w:tc>
        <w:tc>
          <w:tcPr>
            <w:tcW w:w="1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64,852</w:t>
            </w:r>
          </w:p>
        </w:tc>
      </w:tr>
      <w:tr>
        <w:trPr>
          <w:trHeight w:val="20"/>
        </w:trPr>
        <w:tc>
          <w:tcPr>
            <w:tcW w:w="3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do not rely on any segment asset allocations and we do not consider them meaningful because of the shared nature of our production facilities; however, we have estimated the segment asset allocations below for those assets for which we can reasonably determine. The unallocated asset category is the remainder of our total assets. The asset allocation is estimated and is not a measure used by our chief operating decision maker about allocating resources to the operating segments or in assessing their performance.</w:t>
      </w:r>
    </w:p>
    <w:p>
      <w:pPr>
        <w:spacing w:after="0" w:line="95"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8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0" w:type="dxa"/>
            <w:vAlign w:val="bottom"/>
          </w:tcPr>
          <w:p>
            <w:pPr>
              <w:spacing w:after="0"/>
              <w:rPr>
                <w:sz w:val="1"/>
                <w:szCs w:val="1"/>
                <w:color w:val="auto"/>
              </w:rPr>
            </w:pPr>
          </w:p>
        </w:tc>
      </w:tr>
      <w:tr>
        <w:trPr>
          <w:trHeight w:val="169"/>
        </w:trPr>
        <w:tc>
          <w:tcPr>
            <w:tcW w:w="8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October 31,</w:t>
            </w:r>
          </w:p>
        </w:tc>
        <w:tc>
          <w:tcPr>
            <w:tcW w:w="120" w:type="dxa"/>
            <w:vAlign w:val="bottom"/>
          </w:tcPr>
          <w:p>
            <w:pPr>
              <w:spacing w:after="0"/>
              <w:rPr>
                <w:sz w:val="14"/>
                <w:szCs w:val="14"/>
                <w:color w:val="auto"/>
              </w:rPr>
            </w:pPr>
          </w:p>
        </w:tc>
        <w:tc>
          <w:tcPr>
            <w:tcW w:w="11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July 31, 2023</w:t>
            </w:r>
          </w:p>
        </w:tc>
        <w:tc>
          <w:tcPr>
            <w:tcW w:w="0" w:type="dxa"/>
            <w:vAlign w:val="bottom"/>
          </w:tcPr>
          <w:p>
            <w:pPr>
              <w:spacing w:after="0"/>
              <w:rPr>
                <w:sz w:val="1"/>
                <w:szCs w:val="1"/>
                <w:color w:val="auto"/>
              </w:rPr>
            </w:pPr>
          </w:p>
        </w:tc>
      </w:tr>
      <w:tr>
        <w:trPr>
          <w:trHeight w:val="243"/>
        </w:trPr>
        <w:tc>
          <w:tcPr>
            <w:tcW w:w="84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6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30"/>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to Business Products Group</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86,596</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84,424</w:t>
            </w:r>
          </w:p>
        </w:tc>
        <w:tc>
          <w:tcPr>
            <w:tcW w:w="0" w:type="dxa"/>
            <w:vAlign w:val="bottom"/>
          </w:tcPr>
          <w:p>
            <w:pPr>
              <w:spacing w:after="0"/>
              <w:rPr>
                <w:sz w:val="1"/>
                <w:szCs w:val="1"/>
                <w:color w:val="auto"/>
              </w:rPr>
            </w:pPr>
          </w:p>
        </w:tc>
      </w:tr>
      <w:tr>
        <w:trPr>
          <w:trHeight w:val="229"/>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 and Wholesale Products Group</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140,819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136,262</w:t>
            </w:r>
          </w:p>
        </w:tc>
        <w:tc>
          <w:tcPr>
            <w:tcW w:w="0" w:type="dxa"/>
            <w:vAlign w:val="bottom"/>
          </w:tcPr>
          <w:p>
            <w:pPr>
              <w:spacing w:after="0"/>
              <w:rPr>
                <w:sz w:val="1"/>
                <w:szCs w:val="1"/>
                <w:color w:val="auto"/>
              </w:rPr>
            </w:pPr>
          </w:p>
        </w:tc>
      </w:tr>
      <w:tr>
        <w:trPr>
          <w:trHeight w:val="230"/>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Assets</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61,353</w:t>
            </w:r>
          </w:p>
        </w:tc>
        <w:tc>
          <w:tcPr>
            <w:tcW w:w="1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65,549</w:t>
            </w:r>
          </w:p>
        </w:tc>
        <w:tc>
          <w:tcPr>
            <w:tcW w:w="0" w:type="dxa"/>
            <w:vAlign w:val="bottom"/>
          </w:tcPr>
          <w:p>
            <w:pPr>
              <w:spacing w:after="0"/>
              <w:rPr>
                <w:sz w:val="1"/>
                <w:szCs w:val="1"/>
                <w:color w:val="auto"/>
              </w:rPr>
            </w:pPr>
          </w:p>
        </w:tc>
      </w:tr>
      <w:tr>
        <w:trPr>
          <w:trHeight w:val="223"/>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288,768</w:t>
            </w:r>
          </w:p>
        </w:tc>
        <w:tc>
          <w:tcPr>
            <w:tcW w:w="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286,235</w:t>
            </w: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and operating income for each segment are provided below. The corporate expenses line includes certain unallocated expenses, including primarily salaries, wages and benefits, purchased services, rent, utilities and depreciation and amortization associated with corporate functions such as information systems, finance, legal, human resources and customer service.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9"/>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October 31,</w:t>
            </w:r>
          </w:p>
        </w:tc>
        <w:tc>
          <w:tcPr>
            <w:tcW w:w="960" w:type="dxa"/>
            <w:vAlign w:val="bottom"/>
            <w:tcBorders>
              <w:bottom w:val="single" w:sz="8" w:color="auto"/>
            </w:tcBorders>
          </w:tcPr>
          <w:p>
            <w:pPr>
              <w:spacing w:after="0"/>
              <w:rPr>
                <w:sz w:val="20"/>
                <w:szCs w:val="20"/>
                <w:color w:val="auto"/>
              </w:rPr>
            </w:pPr>
          </w:p>
        </w:tc>
      </w:tr>
      <w:tr>
        <w:trPr>
          <w:trHeight w:val="223"/>
        </w:trPr>
        <w:tc>
          <w:tcPr>
            <w:tcW w:w="55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9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960" w:type="dxa"/>
            <w:vAlign w:val="bottom"/>
            <w:tcBorders>
              <w:bottom w:val="single" w:sz="8" w:color="auto"/>
            </w:tcBorders>
          </w:tcPr>
          <w:p>
            <w:pPr>
              <w:spacing w:after="0"/>
              <w:rPr>
                <w:sz w:val="19"/>
                <w:szCs w:val="19"/>
                <w:color w:val="auto"/>
              </w:rPr>
            </w:pPr>
          </w:p>
        </w:tc>
      </w:tr>
      <w:tr>
        <w:trPr>
          <w:trHeight w:val="223"/>
        </w:trPr>
        <w:tc>
          <w:tcPr>
            <w:tcW w:w="55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5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520" w:type="dxa"/>
            <w:vAlign w:val="bottom"/>
            <w:gridSpan w:val="5"/>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to Business Products Group</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39,161</w:t>
            </w:r>
          </w:p>
        </w:tc>
        <w:tc>
          <w:tcPr>
            <w:tcW w:w="600" w:type="dxa"/>
            <w:vAlign w:val="bottom"/>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33,687</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11,123</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7,257</w:t>
            </w:r>
          </w:p>
        </w:tc>
      </w:tr>
      <w:tr>
        <w:trPr>
          <w:trHeight w:val="229"/>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Retail and Wholesale Products Group</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72,277</w:t>
            </w: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64,852</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11,331</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7,574</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111,438</w:t>
            </w:r>
          </w:p>
        </w:tc>
        <w:tc>
          <w:tcPr>
            <w:tcW w:w="6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98,539</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0"/>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Expenses</w:t>
            </w:r>
          </w:p>
        </w:tc>
        <w:tc>
          <w:tcPr>
            <w:tcW w:w="3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(9,298)</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(8,262)</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13,156</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6,569</w:t>
            </w:r>
          </w:p>
        </w:tc>
      </w:tr>
      <w:tr>
        <w:trPr>
          <w:trHeight w:val="230"/>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Expenses, Net</w:t>
            </w:r>
          </w:p>
        </w:tc>
        <w:tc>
          <w:tcPr>
            <w:tcW w:w="3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(326)</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12,830</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6,437</w:t>
            </w:r>
          </w:p>
        </w:tc>
      </w:tr>
      <w:tr>
        <w:trPr>
          <w:trHeight w:val="230"/>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3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(2,088)</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10,742</w:t>
            </w:r>
          </w:p>
        </w:tc>
        <w:tc>
          <w:tcPr>
            <w:tcW w:w="1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5,230</w:t>
            </w:r>
          </w:p>
        </w:tc>
      </w:tr>
      <w:tr>
        <w:trPr>
          <w:trHeight w:val="223"/>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Noncontrolling Interest</w:t>
            </w:r>
          </w:p>
        </w:tc>
        <w:tc>
          <w:tcPr>
            <w:tcW w:w="3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Oil-Dri</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10,742</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5,241</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12. STOCK-BASED COMPENSATION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Oil-Dri Corporation of America 2006 Long Term Incentive Plan, as amended (the "2006 Plan"), permits the grant of stock options, stock appreciation rights, restricted stock, restricted stock units, performance awards and other stock-based and cash-based awards. Our employees and outside directors are eligible to receive grants under the 2006 Plan. The total number of shares of stock subject to grants under the 2006 Plan may not exceed 1,219,500. As of October 31, 2023, there were 120,805 Common Stock or Class B shares available for future grants under this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of our non-vested restricted stock as of October 31, 2023 was issued under the 2006 Plan with vesting periods generally between one and five years. We determined the fair value of restricted stock as of the grant date. We recognize the related compensation expense over the period from the date of grant to the date the shares vest.</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57 thousand and 40 thousand restricted shares of Common Stock granted during the first quarter of fiscal years 2024 and 2023, respectively. There were 125 thousand restricted shares of Class B shares granted during the first quarter of fiscal year 2024 and none in fiscal year 2023. Stock-based compensation was $0.8 million for the first quarter of fiscal years 2024 and 2023, respectively.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restricted stock transactions is shown below:</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66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Restricted Shares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1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0" w:type="dxa"/>
            <w:vAlign w:val="bottom"/>
          </w:tcPr>
          <w:p>
            <w:pPr>
              <w:spacing w:after="0"/>
              <w:rPr>
                <w:sz w:val="1"/>
                <w:szCs w:val="1"/>
                <w:color w:val="auto"/>
              </w:rPr>
            </w:pPr>
          </w:p>
        </w:tc>
      </w:tr>
      <w:tr>
        <w:trPr>
          <w:trHeight w:val="241"/>
        </w:trPr>
        <w:tc>
          <w:tcPr>
            <w:tcW w:w="660" w:type="dxa"/>
            <w:vAlign w:val="bottom"/>
          </w:tcPr>
          <w:p>
            <w:pPr>
              <w:spacing w:after="0"/>
              <w:rPr>
                <w:sz w:val="20"/>
                <w:szCs w:val="20"/>
                <w:color w:val="auto"/>
              </w:rPr>
            </w:pPr>
          </w:p>
        </w:tc>
        <w:tc>
          <w:tcPr>
            <w:tcW w:w="6100" w:type="dxa"/>
            <w:vAlign w:val="bottom"/>
            <w:tcBorders>
              <w:bottom w:val="single" w:sz="8" w:color="CCEEFF"/>
            </w:tcBorders>
          </w:tcPr>
          <w:p>
            <w:pPr>
              <w:spacing w:after="0"/>
              <w:rPr>
                <w:sz w:val="20"/>
                <w:szCs w:val="20"/>
                <w:color w:val="auto"/>
              </w:rPr>
            </w:pPr>
          </w:p>
        </w:tc>
        <w:tc>
          <w:tcPr>
            <w:tcW w:w="17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25"/>
        </w:trPr>
        <w:tc>
          <w:tcPr>
            <w:tcW w:w="660" w:type="dxa"/>
            <w:vAlign w:val="bottom"/>
          </w:tcPr>
          <w:p>
            <w:pPr>
              <w:spacing w:after="0"/>
              <w:rPr>
                <w:sz w:val="19"/>
                <w:szCs w:val="19"/>
                <w:color w:val="auto"/>
              </w:rPr>
            </w:pPr>
          </w:p>
        </w:tc>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restricted stock outstanding at July 31, 2023</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62.29</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0" w:type="dxa"/>
            <w:vAlign w:val="bottom"/>
          </w:tcPr>
          <w:p>
            <w:pPr>
              <w:spacing w:after="0"/>
              <w:rPr>
                <w:sz w:val="1"/>
                <w:szCs w:val="1"/>
                <w:color w:val="auto"/>
              </w:rPr>
            </w:pPr>
          </w:p>
        </w:tc>
      </w:tr>
      <w:tr>
        <w:trPr>
          <w:trHeight w:val="248"/>
        </w:trPr>
        <w:tc>
          <w:tcPr>
            <w:tcW w:w="660" w:type="dxa"/>
            <w:vAlign w:val="bottom"/>
          </w:tcPr>
          <w:p>
            <w:pPr>
              <w:spacing w:after="0"/>
              <w:rPr>
                <w:sz w:val="21"/>
                <w:szCs w:val="21"/>
                <w:color w:val="auto"/>
              </w:rPr>
            </w:pPr>
          </w:p>
        </w:tc>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restricted stock outstanding at October 31, 2023</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ACCUMULATED OTHER COMPREHENSIVE (LOSS) INCOME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accumulated other comprehensive (loss) income by component as of October 31, 2023 (in thousands):</w:t>
      </w:r>
    </w:p>
    <w:p>
      <w:pPr>
        <w:spacing w:after="0" w:line="23" w:lineRule="exact"/>
        <w:rPr>
          <w:sz w:val="20"/>
          <w:szCs w:val="20"/>
          <w:color w:val="auto"/>
        </w:rPr>
      </w:pPr>
    </w:p>
    <w:tbl>
      <w:tblPr>
        <w:tblLayout w:type="fixed"/>
        <w:tblInd w:w="5140" w:type="dxa"/>
        <w:tblCellMar>
          <w:top w:w="0" w:type="dxa"/>
          <w:left w:w="0" w:type="dxa"/>
          <w:bottom w:w="0" w:type="dxa"/>
          <w:right w:w="0" w:type="dxa"/>
        </w:tblCellMar>
      </w:tblPr>
      <w:tr>
        <w:trPr>
          <w:trHeight w:val="207"/>
        </w:trPr>
        <w:tc>
          <w:tcPr>
            <w:tcW w:w="1620" w:type="dxa"/>
            <w:vAlign w:val="bottom"/>
            <w:vMerge w:val="restart"/>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rPr>
              <w:t>Pension and</w:t>
            </w:r>
          </w:p>
        </w:tc>
        <w:tc>
          <w:tcPr>
            <w:tcW w:w="1700" w:type="dxa"/>
            <w:vAlign w:val="bottom"/>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Cumulative</w:t>
            </w:r>
          </w:p>
        </w:tc>
        <w:tc>
          <w:tcPr>
            <w:tcW w:w="180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Total Accumulated</w:t>
            </w:r>
          </w:p>
        </w:tc>
        <w:tc>
          <w:tcPr>
            <w:tcW w:w="0" w:type="dxa"/>
            <w:vAlign w:val="bottom"/>
          </w:tcPr>
          <w:p>
            <w:pPr>
              <w:spacing w:after="0"/>
              <w:rPr>
                <w:sz w:val="1"/>
                <w:szCs w:val="1"/>
                <w:color w:val="auto"/>
              </w:rPr>
            </w:pPr>
          </w:p>
        </w:tc>
      </w:tr>
      <w:tr>
        <w:trPr>
          <w:trHeight w:val="175"/>
        </w:trPr>
        <w:tc>
          <w:tcPr>
            <w:tcW w:w="1620" w:type="dxa"/>
            <w:vAlign w:val="bottom"/>
            <w:vMerge w:val="continue"/>
          </w:tcPr>
          <w:p>
            <w:pPr>
              <w:spacing w:after="0"/>
              <w:rPr>
                <w:sz w:val="15"/>
                <w:szCs w:val="15"/>
                <w:color w:val="auto"/>
              </w:rPr>
            </w:pPr>
          </w:p>
        </w:tc>
        <w:tc>
          <w:tcPr>
            <w:tcW w:w="1700" w:type="dxa"/>
            <w:vAlign w:val="bottom"/>
            <w:vMerge w:val="continue"/>
          </w:tcPr>
          <w:p>
            <w:pPr>
              <w:spacing w:after="0"/>
              <w:rPr>
                <w:sz w:val="15"/>
                <w:szCs w:val="15"/>
                <w:color w:val="auto"/>
              </w:rPr>
            </w:pPr>
          </w:p>
        </w:tc>
        <w:tc>
          <w:tcPr>
            <w:tcW w:w="1800" w:type="dxa"/>
            <w:vAlign w:val="bottom"/>
          </w:tcPr>
          <w:p>
            <w:pPr>
              <w:jc w:val="center"/>
              <w:ind w:left="2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0" w:type="dxa"/>
            <w:vAlign w:val="bottom"/>
          </w:tcPr>
          <w:p>
            <w:pPr>
              <w:spacing w:after="0"/>
              <w:rPr>
                <w:sz w:val="1"/>
                <w:szCs w:val="1"/>
                <w:color w:val="auto"/>
              </w:rPr>
            </w:pPr>
          </w:p>
        </w:tc>
      </w:tr>
      <w:tr>
        <w:trPr>
          <w:trHeight w:val="189"/>
        </w:trPr>
        <w:tc>
          <w:tcPr>
            <w:tcW w:w="1620" w:type="dxa"/>
            <w:vAlign w:val="bottom"/>
          </w:tcPr>
          <w:p>
            <w:pPr>
              <w:jc w:val="center"/>
              <w:ind w:right="350"/>
              <w:spacing w:after="0" w:line="189" w:lineRule="exact"/>
              <w:rPr>
                <w:sz w:val="20"/>
                <w:szCs w:val="20"/>
                <w:color w:val="auto"/>
              </w:rPr>
            </w:pPr>
            <w:r>
              <w:rPr>
                <w:rFonts w:ascii="Times New Roman" w:cs="Times New Roman" w:eastAsia="Times New Roman" w:hAnsi="Times New Roman"/>
                <w:sz w:val="18"/>
                <w:szCs w:val="18"/>
                <w:b w:val="1"/>
                <w:bCs w:val="1"/>
                <w:color w:val="auto"/>
                <w:w w:val="99"/>
              </w:rPr>
              <w:t>Postretirement</w:t>
            </w:r>
          </w:p>
        </w:tc>
        <w:tc>
          <w:tcPr>
            <w:tcW w:w="1700" w:type="dxa"/>
            <w:vAlign w:val="bottom"/>
          </w:tcPr>
          <w:p>
            <w:pPr>
              <w:ind w:left="460"/>
              <w:spacing w:after="0" w:line="189" w:lineRule="exact"/>
              <w:rPr>
                <w:sz w:val="20"/>
                <w:szCs w:val="20"/>
                <w:color w:val="auto"/>
              </w:rPr>
            </w:pPr>
            <w:r>
              <w:rPr>
                <w:rFonts w:ascii="Times New Roman" w:cs="Times New Roman" w:eastAsia="Times New Roman" w:hAnsi="Times New Roman"/>
                <w:sz w:val="18"/>
                <w:szCs w:val="18"/>
                <w:b w:val="1"/>
                <w:bCs w:val="1"/>
                <w:color w:val="auto"/>
              </w:rPr>
              <w:t>Translation</w:t>
            </w:r>
          </w:p>
        </w:tc>
        <w:tc>
          <w:tcPr>
            <w:tcW w:w="1800" w:type="dxa"/>
            <w:vAlign w:val="bottom"/>
          </w:tcPr>
          <w:p>
            <w:pPr>
              <w:jc w:val="center"/>
              <w:ind w:left="230"/>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0" w:type="dxa"/>
            <w:vAlign w:val="bottom"/>
          </w:tcPr>
          <w:p>
            <w:pPr>
              <w:spacing w:after="0"/>
              <w:rPr>
                <w:sz w:val="1"/>
                <w:szCs w:val="1"/>
                <w:color w:val="auto"/>
              </w:rPr>
            </w:pPr>
          </w:p>
        </w:tc>
      </w:tr>
      <w:tr>
        <w:trPr>
          <w:trHeight w:val="229"/>
        </w:trPr>
        <w:tc>
          <w:tcPr>
            <w:tcW w:w="162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Health Benefits</w:t>
            </w:r>
          </w:p>
        </w:tc>
        <w:tc>
          <w:tcPr>
            <w:tcW w:w="170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80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(Loss) Income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0</wp:posOffset>
            </wp:positionV>
            <wp:extent cx="5983605"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83605" cy="15430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p>
      <w:pPr>
        <w:spacing w:after="0" w:line="9" w:lineRule="exact"/>
        <w:rPr>
          <w:sz w:val="20"/>
          <w:szCs w:val="20"/>
          <w:color w:val="auto"/>
        </w:rPr>
      </w:pPr>
    </w:p>
    <w:p>
      <w:pPr>
        <w:ind w:left="940"/>
        <w:spacing w:after="0"/>
        <w:tabs>
          <w:tab w:leader="none" w:pos="4940" w:val="left"/>
        </w:tabs>
        <w:rPr>
          <w:sz w:val="20"/>
          <w:szCs w:val="20"/>
          <w:color w:val="auto"/>
        </w:rPr>
      </w:pPr>
      <w:r>
        <w:rPr>
          <w:rFonts w:ascii="Times New Roman" w:cs="Times New Roman" w:eastAsia="Times New Roman" w:hAnsi="Times New Roman"/>
          <w:sz w:val="18"/>
          <w:szCs w:val="18"/>
          <w:color w:val="auto"/>
        </w:rPr>
        <w:t>Balance as of July 31, 2023</w:t>
      </w:r>
      <w:r>
        <w:rPr>
          <w:sz w:val="20"/>
          <w:szCs w:val="20"/>
          <w:color w:val="auto"/>
        </w:rPr>
        <w:tab/>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940" w:right="480"/>
        <w:spacing w:after="0" w:line="234" w:lineRule="auto"/>
        <w:rPr>
          <w:sz w:val="20"/>
          <w:szCs w:val="20"/>
          <w:color w:val="auto"/>
        </w:rPr>
      </w:pPr>
      <w:r>
        <w:rPr>
          <w:rFonts w:ascii="Times New Roman" w:cs="Times New Roman" w:eastAsia="Times New Roman" w:hAnsi="Times New Roman"/>
          <w:sz w:val="18"/>
          <w:szCs w:val="18"/>
          <w:color w:val="auto"/>
        </w:rPr>
        <w:t>Other comprehensive loss before reclassifications, net of tax</w:t>
      </w:r>
    </w:p>
    <w:p>
      <w:pPr>
        <w:spacing w:after="0" w:line="10" w:lineRule="exact"/>
        <w:rPr>
          <w:sz w:val="20"/>
          <w:szCs w:val="20"/>
          <w:color w:val="auto"/>
        </w:rPr>
      </w:pPr>
    </w:p>
    <w:p>
      <w:pPr>
        <w:ind w:left="940" w:right="1080"/>
        <w:spacing w:after="0" w:line="237" w:lineRule="auto"/>
        <w:rPr>
          <w:sz w:val="20"/>
          <w:szCs w:val="20"/>
          <w:color w:val="auto"/>
        </w:rPr>
      </w:pPr>
      <w:r>
        <w:rPr>
          <w:rFonts w:ascii="Times New Roman" w:cs="Times New Roman" w:eastAsia="Times New Roman" w:hAnsi="Times New Roman"/>
          <w:sz w:val="18"/>
          <w:szCs w:val="18"/>
          <w:color w:val="auto"/>
        </w:rPr>
        <w:t>Amounts reclassified from accumulated other comprehensive income, net of tax</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3"/>
              </w:rPr>
              <w:t>1,012</w:t>
            </w:r>
          </w:p>
        </w:tc>
        <w:tc>
          <w:tcPr>
            <w:tcW w:w="62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80" w:type="dxa"/>
            <w:vAlign w:val="bottom"/>
          </w:tcPr>
          <w:p>
            <w:pPr>
              <w:spacing w:after="0"/>
              <w:rPr>
                <w:sz w:val="20"/>
                <w:szCs w:val="20"/>
                <w:color w:val="auto"/>
              </w:rPr>
            </w:pPr>
          </w:p>
        </w:tc>
        <w:tc>
          <w:tcPr>
            <w:tcW w:w="66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w:t>
            </w:r>
          </w:p>
        </w:tc>
      </w:tr>
      <w:tr>
        <w:trPr>
          <w:trHeight w:val="407"/>
        </w:trPr>
        <w:tc>
          <w:tcPr>
            <w:tcW w:w="8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418"/>
        </w:trPr>
        <w:tc>
          <w:tcPr>
            <w:tcW w:w="8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(19)</w:t>
            </w:r>
          </w:p>
        </w:tc>
        <w:tc>
          <w:tcPr>
            <w:tcW w:w="620" w:type="dxa"/>
            <w:vAlign w:val="bottom"/>
          </w:tcPr>
          <w:p>
            <w:pPr>
              <w:spacing w:after="0"/>
              <w:rPr>
                <w:sz w:val="24"/>
                <w:szCs w:val="24"/>
                <w:color w:val="auto"/>
              </w:rPr>
            </w:pPr>
          </w:p>
        </w:tc>
        <w:tc>
          <w:tcPr>
            <w:tcW w:w="12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-3242945</wp:posOffset>
            </wp:positionH>
            <wp:positionV relativeFrom="paragraph">
              <wp:posOffset>-264795</wp:posOffset>
            </wp:positionV>
            <wp:extent cx="5983605" cy="265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83605" cy="26543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300" w:space="720"/>
            <w:col w:w="5220"/>
          </w:cols>
          <w:pgMar w:left="320" w:top="887" w:right="339" w:bottom="1440" w:gutter="0" w:footer="0" w:header="0"/>
          <w:type w:val="continuous"/>
        </w:sectPr>
      </w:pPr>
    </w:p>
    <w:tbl>
      <w:tblPr>
        <w:tblLayout w:type="fixed"/>
        <w:tblInd w:w="920" w:type="dxa"/>
        <w:tblCellMar>
          <w:top w:w="0" w:type="dxa"/>
          <w:left w:w="0" w:type="dxa"/>
          <w:bottom w:w="0" w:type="dxa"/>
          <w:right w:w="0" w:type="dxa"/>
        </w:tblCellMar>
      </w:tblPr>
      <w:tr>
        <w:trPr>
          <w:trHeight w:val="223"/>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current-period other comprehensive loss, net of tax</w:t>
            </w:r>
          </w:p>
        </w:tc>
        <w:tc>
          <w:tcPr>
            <w:tcW w:w="6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w w:val="99"/>
              </w:rPr>
              <w:t>(19)</w:t>
            </w:r>
          </w:p>
        </w:tc>
        <w:tc>
          <w:tcPr>
            <w:tcW w:w="400" w:type="dxa"/>
            <w:vAlign w:val="bottom"/>
            <w:tcBorders>
              <w:bottom w:val="single" w:sz="8" w:color="CCEEFF"/>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80" w:type="dxa"/>
            <w:vAlign w:val="bottom"/>
            <w:tcBorders>
              <w:bottom w:val="single" w:sz="8" w:color="CCEEFF"/>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48"/>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October 31, 2023</w:t>
            </w: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993</w:t>
            </w:r>
          </w:p>
        </w:tc>
        <w:tc>
          <w:tcPr>
            <w:tcW w:w="4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RELATED PARTY TRANSACTIONS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One member of our Board is currently the President and Chief Executive Officer of a vendor of ours. Total payments to this vendor for fees and cost reimbursements were $0.1 million for the first three months of fiscal years 2024 and 2023. There were no outstanding accounts payable to that vendor as of October 31, 2023, or July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the financial statements and the related notes included herein and our Consolidated Financial Statements, accompanying notes and Management’s Discussion and Analysis of Financial Condition and Results of Operations contained in our Annual Report on Form 10-K for the fiscal year ended July 31, 2023. This discussion contains forward-looking statements that involve risks and uncertainties. Our actual results may differ materially from the results discussed in the forward-looking statements. Factors that might cause a difference include, but are not limited to, those discussed under "Forward-Looking Statements" and Item 1A, Risk Factors of our Annual Report on Form 10-K for the fiscal year ended July 31, 2023.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develop, mine, manufacture and market sorbent products principally produced from clay minerals, primarily consisting of calcium bentonite, attapulgite and diatomaceous shale. Our principal products include agricultural and horticultural chemical carriers, animal health and nutrition products, cat litter, fluid purification and filtration bleaching clays, industrial and automotive floor absorbents and sports field products. Our products are sold to two primary customer groups, including customers who resell our products as originally produced to the end consumer and other customers who use our products as part of their production process or use them as an ingredient in their final finished product. We have two reportable operating segments based on the different characteristics of our two primary customer groups: the Retail and Wholesale Products Group ("Retail and Wholesale" or "R&amp;W") and the Business to Business Products Group ("Business to Business" or "B2B"), as described in Note 11 of the Notes to the unaudited Condensed Consolidated Financial Statements. Each operating segment is discussed individually below.</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OVERVIEW</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first quarter of fiscal year 2024 consolidated net sales reached a new all-time high with top line growth in both the Retail and Wholesale Products Group and the Business to Business Products Group. Within Retail &amp; Wholesale, pricing actions to improve profitability drove the increase in net sales. Within Business to Business, revenue growth was driven by higher prices coupled with increased volumes. Consolidated net sales increased $12.9 million or 13% in the first quarter of fiscal year 2024 compared to the first quarter of fiscal year 2023. Consolidated income from operations in the first quarter of fiscal year 2024 increased $6.6 million or 100% when compared to the same period in fiscal year 2023.</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Although expenses continued to increase, consolidated net income for the three months ended October 31, 2023, was $10.7 million, compared to $5.2 million in the three months ended October 31, 2022.</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Consolidated Balance Sheets as of October 31, 2023, and our Consolidated Statements of Cash Flows for the first quarter of fiscal year 2024 show a decrease in total cash and cash equivalents from fiscal year-end 2023. The decrease is driven mostly by capital expenditures on property, plant &amp; equipment and dividend payments offset by increases in cash from operations. Refer to the "Liquidity and Capital Resources" section below.</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THREE MONTHS ENDED OCTOBER 31, 2023 COMPARED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THREE MONTHS ENDED OCTOBER 31, 2022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RESULTS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Consolidated net sales for the three months ended October 31, 2023, were $111.4 million, a 13% increase compared to net sales of $98.5 million for the three months ended October 31, 2022. Net sales increased for both our R&amp;W and B2B products groups, primarily due to price increases implemented across both product groups and volume growth in our B2B products group.</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Consolidated gross profit in the first quarter of fiscal year 2024 was $31.0 million, an increase of $8.7 million, or 39%, from gross profit of $22.3 million in the first quarter of fiscal year 2023. Our gross margin (defined as gross profit as a percentage of net sales) in the first quarter of fiscal year 2024 increased to 28% from 23% in the same period of fiscal year 2023. Our domestic cost of goods sold per ton increased 11%, driven primarily by per ton increases in non-fuel manufacturing, freight, and packaging offset by lower per ton natural gas costs. Non-fuel manufacturing costs per ton increased 15% during the first quarter of fiscal year 2024 compared to first quarter of fiscal year 2023, mainly due to higher per ton costs of labor, repairs and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1" w:name="page22"/>
    <w:bookmarkEnd w:id="21"/>
    <w:p>
      <w:pPr>
        <w:jc w:val="both"/>
        <w:spacing w:after="0" w:line="254" w:lineRule="auto"/>
        <w:rPr>
          <w:sz w:val="20"/>
          <w:szCs w:val="20"/>
          <w:color w:val="auto"/>
        </w:rPr>
      </w:pPr>
      <w:r>
        <w:rPr>
          <w:rFonts w:ascii="Times New Roman" w:cs="Times New Roman" w:eastAsia="Times New Roman" w:hAnsi="Times New Roman"/>
          <w:sz w:val="18"/>
          <w:szCs w:val="18"/>
          <w:color w:val="auto"/>
        </w:rPr>
        <w:t>replacement of assets, and depreciation, offset by a decrease in the per ton cost of purchased materials. Domestic freight costs per ton increased 14% in the first quarter of fiscal year 2024 compared to the same period of fiscal year 2023 due to a significant customer in our cat litter business that altered shipping terms in January 2023 from collect to delivered which increased our overall freight cost. Excluding the impact of this specific customer, per ton domestic freight costs would have decreased 3% quarter over quarter. Ocean freight costs have also decreased due to both lower rates and export fees. However, our overall freight costs can vary between periods depending on the mix of products sold and the geographic distribution of our customers. Packaging costs per ton increased 2% in the first quarter of fiscal year 2024 compared to the same period of fiscal year 2023. Many of our contracts for packaging purchases are subject to periodic price adjustments, which trail changes in underlying commodity prices. Per ton cost of natural gas decreased 55% in the first quarter of fiscal year 2024 compared to the same period of fiscal year 2023 due to a decrease in natural gas prices.</w:t>
      </w:r>
    </w:p>
    <w:p>
      <w:pPr>
        <w:spacing w:after="0" w:line="2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Total SG&amp;A expenses of $17.8 million for the first quarter of fiscal year 2024 were higher by $2.1 million, or 13%, compared to $15.7 million for the first quarter of fiscal year 2023. Unallocated corporate expenses were higher by $1.0 million, or 13%, driven by higher compensation-related expenses, including salaries and bonus accruals. The discussion of the segments' operating incomes below describes the changes in SG&amp;A expenses that were allocated to the operating segments.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other expenses were $0.3 million for the first quarter of fiscal year 2024 compared to $0.1 million in the same period of fiscal year 2023.</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Consolidated net income before taxes for the first quarter of fiscal year 2024 was $12.8 million compared to $6.4 million for the first quarter of fiscal year 2023. Results for the first quarter of fiscal year 2024 were driven by the factors discussed above.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had a tax expense for the first quarter of fiscal year 2024 of $2.1 million compared to $1.2 million for the first quarter of fiscal year 2023. Our tax expense was driven primarily by higher net income. We used an estimated annual effective tax rate ("ETR") of 16% in determining our provision for income taxes, which is based on expected annual taxable income.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TO BUSINESS PRODUCTS GROUP</w:t>
      </w:r>
    </w:p>
    <w:p>
      <w:pPr>
        <w:spacing w:after="0" w:line="2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 sales of the Business to Business Products Group for the first quarter of fiscal year 2024 were $39.2 million, an increase of $5.5 million, or 16%, from net sales of $33.7 million for the first quarter of fiscal year 2023, with increases across all three of our principal product lines within this group. Net sales of our fluids purification products increased $4.2 million, or 23%, compared to the first quarter of the prior fiscal year. The increase in net sales was primarily driven by new customers in the renewable diesel business in North America, as well as continued demand for our products used in the filtration of edible oil and to a lesser extent pricing. Net sales increased in North America, our subsidiary in the UK, and the region including Europe, Middle East, and Africa ("EMEA"), partially offset by a decrease in Latin America and Asia when compared to the first quarter of fiscal year 2023. Net sales of our animal health and nutrition products increased $1.0 million, or 18%, during the first quarter of fiscal year 2024 compared to the same period of fiscal year 2023. The increase in net sales was driven by North America, our subsidiary in China, and Asia, partially offset by a reduction in net sales from all other regions. North America sales increased due to a combination of higher prices and stronger demand by existing customers when compared to the first quarter of fiscal year 2023. Net sales of our subsidiary in China were driven by the sell off of existing inventory, as discussed further in the "Foreign Operations" section below. Net sales of our agricultural and horticultural chemical carrier products increased $0.3 million, or 3%, for the first quarter of fiscal year 2024 compared to the same period in fiscal year 2023. This is a result of strategic price increases and favorable mix of products.</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SG&amp;A expenses for the Business to Business Products Group decreased 7% or $0.3 million in the first months of fiscal year 2024 compared to the same period of the prior fiscal year. The decrease is mainly driven by a decrease in allocated technical service support cost from the Innovation Center and Microbiology Lab, offset by an increase in compensation, including bonus and travel-related expenses, paid to teammates and consultants.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Business to Business Products Group’s operating income for the first quarter of fiscal year 2024 was $11.1 million, an increase of $3.9 million, or 53%, from operating income of $7.3 million for the first quarter of fiscal year 2023. The increase in operating income was mostly driven by higher net sales across all business within this segment as discussed above.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RETAIL AND WHOLESALE PRODUCTS GROUP</w:t>
      </w:r>
    </w:p>
    <w:p>
      <w:pPr>
        <w:spacing w:after="0" w:line="2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 sales of the Retail and Wholesale Products Group for the first quarter of fiscal year 2024 were $72.3 million, an increase of $7.4 million, or 11%, from net sales of $64.9 million for the same period of fiscal year 2023 mainly driven by higher net sales of cat litter offset partially by a decline in our co-packaged cat litter business. Total global cat litter net sales for the first quarter of fiscal year 2024 increased $6.7 million, or 12%, compared to the first quarter of fiscal year 2023 driven mostly by pricing. Domestic cat litter net sales were $55.0 million, an increase of $8.2 million from the first quarter of fiscal year 2023 due to pricing. Net sales increased across all products except for private label heavy weight litter, with the greatest increase driven by sales of branded light weight scoopable and private label coarse litters. Net sales of co-packaged cat litter products decreased $1.6 million compared to the same period in fiscal year 2023. This decrease was primarily driven by a cyberattack on our customer which prevented them from placing and receiving orders during the first quarter of fiscal year 2024. Net sales of cat litter by our subsidiary in Canada increased period over period, as discussed in "Foreign Operations" below. Net sales of our global industrial and sports products increased $0.8 million, or 7%, compared to the first quarter of fiscal year 2023, primarily driven by increased demand of our synthetic absorbent products and higher prices of our clay-based floor absorbent products. This was further supplemented by an increase in net sales of industrial products by our subsidiary in Canada as discussed further in the "Foreign Operations" section below.</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SG&amp;A expenses for the Retail and Wholesale Products Group were $1.2 million, or 32%, higher during the first quarter of fiscal year 2024 compared to the first quarter of fiscal year 2023, primarily due to advertising spend. We anticipate total advertising expense in fiscal year 2024 to be higher than fiscal year 2023, however spread more evenly throughout the year.</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Retail and Wholesale Products Group's operating income for the first three months of fiscal year 2024 was $11.3 million, an increase of $3.8 million, or 50%, from operating income of $7.6 million for the same period of fiscal year 2023. This was driven primarily by the increase in gross margins due to price increases, partially offset by higher cost of goods sold as discussed above.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OPERATIONS</w:t>
      </w:r>
    </w:p>
    <w:p>
      <w:pPr>
        <w:spacing w:after="0" w:line="25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Foreign operations include our subsidiary in Canada, which is reported in the Retail and Wholesale Products Group, and our subsidiaries in the UK, Mexico, China and Indonesia, which are reported in the Business to Business Products Group. Net sales by our foreign subsidiaries during the first quarter of fiscal year 2024 were $7.0 million, an increase of 21%, compared to net sales of $5.8 million during the first quarter of fiscal year 2023. All of our foreign operations, with the exception of our subsidiaries in Mexico and Indonesia, experienced an increase in net sales during the first quarter of fiscal year 2024 compared to the same period of fiscal year 2023. Net sales of our subsidiary in China increased $0.9 million, or 117%, during the first quarter of fiscal year 2024 compared to the same period of fiscal year 2023 due to the sell off of all existing inventory to the new master distributor. Future sales to China will be directly though the Company and not through our subsidiary in China. Net sales of our subsidiary in the United Kingdom in the first quarter of fiscal year 2024 increased by $0.4 million, or 87%, compared to net sales in the first quarter of fiscal year 2023. The increase is driven by a combination of higher demand of edible oil filtration products and price increases. Total net sales of our subsidiary in Canada during this period increased by $0.2 million, or 6%, compared to the same period in fiscal year 2023 driven by higher net sales of floor absorbents and private label cat litter. The increase in floor absorbent sales was driven by a combination of higher volume and pricing while the increase in cat litter sales was mainly due to price increases instituted in response to rising costs. Net sales of our subsidiary in Mexico decreased during the first quarter of fiscal year 2024 compared to the same period of fiscal year 2023 by $0.2 million, or 26%. Net sales by our foreign subsidiaries represented 6% of our consolidated net sales in the first quarter of both fiscal year 2024 and 2023.</w:t>
      </w:r>
    </w:p>
    <w:p>
      <w:pPr>
        <w:spacing w:after="0" w:line="22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foreign subsidiaries reported net income of $0.6 million for the first quarter of fiscal year 2024, compared to $0.5 million in the first quarter of fiscal year 2023. The increase in net income in the first quarter of fiscal year 2024 was primarily driven by price and volume increases in Canada and the UK.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Identifiable assets of our foreign subsidiaries as of October 31, 2023, were $11.8 million, compared to $14.6 million as of July 31, 2023.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principal liquidity needs are to fund our capital requirements, including funding working capital needs; purchasing and upgrading equipment, facilities, information systems, and real estate; supporting new product development; investing in infrastructure; repurchasing stock; paying dividends; and, from time to time, business acquisitions, and funding our debt service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3" w:name="page24"/>
    <w:bookmarkEnd w:id="23"/>
    <w:p>
      <w:pPr>
        <w:jc w:val="both"/>
        <w:spacing w:after="0" w:line="282" w:lineRule="auto"/>
        <w:rPr>
          <w:sz w:val="20"/>
          <w:szCs w:val="20"/>
          <w:color w:val="auto"/>
        </w:rPr>
      </w:pPr>
      <w:r>
        <w:rPr>
          <w:rFonts w:ascii="Times New Roman" w:cs="Times New Roman" w:eastAsia="Times New Roman" w:hAnsi="Times New Roman"/>
          <w:sz w:val="18"/>
          <w:szCs w:val="18"/>
          <w:color w:val="auto"/>
        </w:rPr>
        <w:t>requirements. During the first quarter of fiscal year 2024, we principally funded these short and long-term capital requirements using cash from current operations as well as cash generated in fiscal year 2023 from borrowings under our Series C Notes.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currently anticipate cash flows from operations and our available sources of liquidity will be sufficient to meet our cash requirements. In addition, we are actively monitoring the timing and collection of our accounts receivable.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elements of our unaudited Condensed Consolidated Statements of Cash Flows (in thousands):</w:t>
      </w:r>
    </w:p>
    <w:p>
      <w:pPr>
        <w:spacing w:after="0" w:line="133" w:lineRule="exact"/>
        <w:rPr>
          <w:sz w:val="20"/>
          <w:szCs w:val="20"/>
          <w:color w:val="auto"/>
        </w:rPr>
      </w:pPr>
    </w:p>
    <w:p>
      <w:pPr>
        <w:jc w:val="center"/>
        <w:ind w:left="648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p>
      <w:pPr>
        <w:jc w:val="center"/>
        <w:ind w:left="6480"/>
        <w:spacing w:after="0"/>
        <w:rPr>
          <w:sz w:val="20"/>
          <w:szCs w:val="20"/>
          <w:color w:val="auto"/>
        </w:rPr>
      </w:pPr>
      <w:r>
        <w:rPr>
          <w:rFonts w:ascii="Times New Roman" w:cs="Times New Roman" w:eastAsia="Times New Roman" w:hAnsi="Times New Roman"/>
          <w:sz w:val="18"/>
          <w:szCs w:val="18"/>
          <w:b w:val="1"/>
          <w:bCs w:val="1"/>
          <w:color w:val="auto"/>
        </w:rPr>
        <w:t>October 31,</w:t>
      </w:r>
    </w:p>
    <w:p>
      <w:pPr>
        <w:spacing w:after="0" w:line="7" w:lineRule="exact"/>
        <w:rPr>
          <w:sz w:val="20"/>
          <w:szCs w:val="20"/>
          <w:color w:val="auto"/>
        </w:rPr>
      </w:pPr>
    </w:p>
    <w:tbl>
      <w:tblPr>
        <w:tblLayout w:type="fixed"/>
        <w:tblInd w:w="920" w:type="dxa"/>
        <w:tblCellMar>
          <w:top w:w="0" w:type="dxa"/>
          <w:left w:w="0" w:type="dxa"/>
          <w:bottom w:w="0" w:type="dxa"/>
          <w:right w:w="0" w:type="dxa"/>
        </w:tblCellMar>
      </w:tblPr>
      <w:tr>
        <w:trPr>
          <w:trHeight w:val="236"/>
        </w:trPr>
        <w:tc>
          <w:tcPr>
            <w:tcW w:w="648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8,564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w:t>
            </w: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(8,064)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(6,737)</w:t>
            </w: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w:t>
            </w:r>
          </w:p>
        </w:tc>
      </w:tr>
      <w:tr>
        <w:trPr>
          <w:trHeight w:val="229"/>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(5,828)</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net income, as adjusted for depreciation and amortization and other non-cash operating activities, the primary sources and uses of operating cash flows for the first quarter of fiscal years 2024 were as follows: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Accounts receivable, less allowance for doubtful accounts, increased $1.5 million in the first quarter of fiscal year 2024. The increase in accounts receivable was driven primarily by higher net sales as sales prices increased, offset by the level and timing of collections due to payment terms.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Inventory increased by $1.4 million in the first quarter of fiscal year 2024 due to a combination of rising costs, specifically due to labor and repairs and the building of inventory levels for anticipated seasonal demand and to avoid any potential supply chain disruptions.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Accounts payable decreased by $1.3 million in the first quarter of fiscal year 2024. The decrease is mainly due to the timing of payments, cost of goods and services we purchase, production volume levels and vendor payment terms.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Accrued expenses decreased $4.4 million in the first quarter of fiscal year 2024. The decrease is mainly due to the payout of annual bonuses offset by an increase in the income tax liability and other miscellaneous expenses which fluctuate due to timing of payments, changes in the cost of goods and services we purchase, production volume levels and vendor payment terms.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of $8.1 million in the first quarter of fiscal year 2024 was driven by capital expenditures. During the first quarter of fiscal year 2024 we expanded our plant equipment and improved our facilities to support increased demand for our products.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financing activities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used in financing activities of $2.8 million in the first quarter of fiscal year 2024 was primarily used for dividend payments.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cash balances held by our foreign subsidiaries of $4.0 million as of October 31, 2023, decreased compared to $5.2 million as of July 31, 2023. See further discussion in "Foreign Operations" above.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October 31, 2023, we had remaining authority to repurchase 407,150 shares of Common Stock and 262,092 shares of Class B Stock under a repurchase plan approved by our Board of Directors (the "Board"). Repurchases may be made on the open market (pursuant to Rule 10b5-1 plans or otherwise) or in negotiated transactions. The timing, number and manner of share repurchases will be determined by our management pursuant to the repurchase plan approved by our Board.</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24" w:name="page25"/>
    <w:bookmarkEnd w:id="24"/>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cash flow from operations, availability under our Note Agreement and revolving credit facility under our Credit Agreement, current cash balances and our ability to obtain other financing, if necessary, will provide sufficient liquidity for foreseeable working capital needs, capital expenditures at existing facilities, deferred compensation payouts, dividend payments and debt service obligations for at least the next 12 months. See Note 8 of the Notes to the unaudited Condensed Consolidated Financial Statements in this Quarterly Report on Form 10-Q. We expect capital expenditures in fiscal year 2024 to be greater than in fiscal year 2023. We do not believe that these increased capital expenditures will dramatically impact our cash position; however, our cash requirements are subject to change as business conditions warrant and opportunities arise.</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continually evaluate our liquidity position and anticipated cash needs, as well as the financing options available to obtain additional cash reserves. Our ability to fund operations, to make planned capital expenditures, to make scheduled debt payments and to remain in compliance with all financial covenants under debt agreements, including, but not limited to, the current credit agreement, depends on our future operating performance, which, in turn, is subject to prevailing economic conditions and to financial, business and other factors. The timing and size of any new business ventures or acquisitions that we complete may also impact our cash requirements.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AND ESTIMATES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discussion and analysis of financial condition and results of operations is based on our unaudited Condensed Consolidated Financial Statements, which have been prepared in accordance with U.S. GAAP for interim financial information and in compliance with instructions to Form 10-Q and Article 10 of Regulation S-X. The preparation of these financial statements requires the use of estimates and assumptions related to the reporting of assets, liabilities, revenues, expenses and related disclosures. In preparing these financial statements, we have made our best estimates and judgments of certain amounts included in the financial statements. Estimates and assumptions are revised periodically. Actual results could differ from these estimates. See the information concerning our critical accounting policies included under "Management’s Discussion of Financial Condition and Results of Operations" in our Annual Report on Form 10-K for the fiscal year ended July 31, 2023.</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 conducted an evaluation of the effectiveness of the design and operation of our disclosure controls and procedures (as defined in Rule 13a-15(e) under the Securities Exchange Act of 1934 (the "Exchange Act")) as of the end of the period covered by this Quarterly Report on Form 10-Q. The controls evaluation was conducted under the supervision and with the participation of management, including our Chief Executive Officer ("CEO") and Chief Financial Officer ("CFO"). Based upon the controls evaluation, our CEO and CFO have concluded that, as of the end of the period covered by this report, our disclosure controls and procedures were effective to provide reasonable assurance that information required to be disclosed in our Exchange Act reports is recorded, processed, summarized and reported within the time periods specified by the SEC, and that such information is accumulated and communicated to management, including the CEO and CFO, as appropriate to allow timely decisions regarding required disclosure.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not experienced any material impact to our internal controls over financial reporting despite the fact that many of our employees are still working remotely. We are continually monitoring and assessing the effects of a hybrid work model on our internal controls to minimize the impact to their design and operating effectiveness.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 13a-15(f) under the Exchange Act) that occurred during the fiscal quarter ended October 31, 2023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management, including the CEO and CFO, do not expect that our disclosure controls and procedures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 1, 3 and 5 of this Part II are either inapplicable or are answered in the negative and are omitted pursuant to the instructions to Part II.</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0" w:lineRule="exact"/>
        <w:rPr>
          <w:sz w:val="20"/>
          <w:szCs w:val="20"/>
          <w:color w:val="auto"/>
        </w:rPr>
      </w:pPr>
    </w:p>
    <w:p>
      <w:pPr>
        <w:spacing w:after="0" w:line="2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operations and financial results are subject to various risks and uncertainties, including those described in Part I, Item 1A, "Risk Factors" in the Company's Annual Report on Form 10-K for the year ended July 31, 2023. There have been no material changes to our risk factors since the Company's Annual Report on Form 10-K for the year ended July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October 31, 2023, we did not sell any securities which were not registered under the Securities Act of 1933, as amended. The following chart summarize our Common Stock and Class B stock purchases during this period. There are no shares of our Class A Common Stock currently outstanding.</w:t>
      </w:r>
    </w:p>
    <w:p>
      <w:pPr>
        <w:spacing w:after="0" w:line="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r>
        <w:rPr>
          <w:rFonts w:ascii="Times New Roman" w:cs="Times New Roman" w:eastAsia="Times New Roman" w:hAnsi="Times New Roman"/>
          <w:sz w:val="23"/>
          <w:szCs w:val="23"/>
          <w:b w:val="1"/>
          <w:bCs w:val="1"/>
          <w:color w:val="auto"/>
          <w:vertAlign w:val="superscript"/>
        </w:rPr>
        <w:t>1, 2</w:t>
      </w:r>
    </w:p>
    <w:tbl>
      <w:tblPr>
        <w:tblLayout w:type="fixed"/>
        <w:tblInd w:w="10" w:type="dxa"/>
        <w:tblCellMar>
          <w:top w:w="0" w:type="dxa"/>
          <w:left w:w="0" w:type="dxa"/>
          <w:bottom w:w="0" w:type="dxa"/>
          <w:right w:w="0" w:type="dxa"/>
        </w:tblCellMar>
      </w:tblPr>
      <w:tr>
        <w:trPr>
          <w:trHeight w:val="214"/>
        </w:trPr>
        <w:tc>
          <w:tcPr>
            <w:tcW w:w="2100" w:type="dxa"/>
            <w:vAlign w:val="bottom"/>
            <w:tcBorders>
              <w:top w:val="single" w:sz="8" w:color="auto"/>
            </w:tcBorders>
          </w:tcPr>
          <w:p>
            <w:pPr>
              <w:spacing w:after="0"/>
              <w:rPr>
                <w:sz w:val="18"/>
                <w:szCs w:val="18"/>
                <w:color w:val="auto"/>
              </w:rPr>
            </w:pPr>
          </w:p>
        </w:tc>
        <w:tc>
          <w:tcPr>
            <w:tcW w:w="2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w:t>
            </w: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2240" w:type="dxa"/>
            <w:vAlign w:val="bottom"/>
            <w:tcBorders>
              <w:top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1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3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2240" w:type="dxa"/>
            <w:vAlign w:val="bottom"/>
          </w:tcPr>
          <w:p>
            <w:pPr>
              <w:jc w:val="center"/>
              <w:ind w:left="30"/>
              <w:spacing w:after="0" w:line="184" w:lineRule="exact"/>
              <w:rPr>
                <w:sz w:val="20"/>
                <w:szCs w:val="20"/>
                <w:color w:val="auto"/>
              </w:rPr>
            </w:pPr>
            <w:r>
              <w:rPr>
                <w:rFonts w:ascii="Times New Roman" w:cs="Times New Roman" w:eastAsia="Times New Roman" w:hAnsi="Times New Roman"/>
                <w:sz w:val="18"/>
                <w:szCs w:val="18"/>
                <w:b w:val="1"/>
                <w:bCs w:val="1"/>
                <w:color w:val="auto"/>
                <w:w w:val="99"/>
              </w:rPr>
              <w:t>Maximum Number of</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1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 of Shares</w:t>
            </w: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 Price Paid per</w:t>
            </w:r>
          </w:p>
        </w:tc>
        <w:tc>
          <w:tcPr>
            <w:tcW w:w="23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Purchased as Part of</w:t>
            </w:r>
          </w:p>
        </w:tc>
        <w:tc>
          <w:tcPr>
            <w:tcW w:w="2240" w:type="dxa"/>
            <w:vAlign w:val="bottom"/>
          </w:tcPr>
          <w:p>
            <w:pPr>
              <w:jc w:val="center"/>
              <w:ind w:left="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Shares that may yet be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00" w:type="dxa"/>
            <w:vAlign w:val="bottom"/>
            <w:vMerge w:val="continue"/>
          </w:tcPr>
          <w:p>
            <w:pPr>
              <w:spacing w:after="0"/>
              <w:rPr>
                <w:sz w:val="15"/>
                <w:szCs w:val="15"/>
                <w:color w:val="auto"/>
              </w:rPr>
            </w:pPr>
          </w:p>
        </w:tc>
        <w:tc>
          <w:tcPr>
            <w:tcW w:w="2280" w:type="dxa"/>
            <w:vAlign w:val="bottom"/>
            <w:vMerge w:val="continue"/>
          </w:tcPr>
          <w:p>
            <w:pPr>
              <w:spacing w:after="0"/>
              <w:rPr>
                <w:sz w:val="15"/>
                <w:szCs w:val="15"/>
                <w:color w:val="auto"/>
              </w:rPr>
            </w:pPr>
          </w:p>
        </w:tc>
        <w:tc>
          <w:tcPr>
            <w:tcW w:w="2240" w:type="dxa"/>
            <w:vAlign w:val="bottom"/>
            <w:vMerge w:val="continue"/>
          </w:tcPr>
          <w:p>
            <w:pPr>
              <w:spacing w:after="0"/>
              <w:rPr>
                <w:sz w:val="15"/>
                <w:szCs w:val="15"/>
                <w:color w:val="auto"/>
              </w:rPr>
            </w:pPr>
          </w:p>
        </w:tc>
        <w:tc>
          <w:tcPr>
            <w:tcW w:w="23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Publicly Announced Plans</w:t>
            </w:r>
          </w:p>
        </w:tc>
        <w:tc>
          <w:tcPr>
            <w:tcW w:w="2240" w:type="dxa"/>
            <w:vAlign w:val="bottom"/>
          </w:tcPr>
          <w:p>
            <w:pPr>
              <w:jc w:val="center"/>
              <w:ind w:left="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Under Plans or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1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Ended October 31, 2023</w:t>
            </w:r>
          </w:p>
        </w:tc>
        <w:tc>
          <w:tcPr>
            <w:tcW w:w="228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8"/>
                <w:szCs w:val="18"/>
                <w:b w:val="1"/>
                <w:bCs w:val="1"/>
                <w:color w:val="auto"/>
                <w:w w:val="96"/>
              </w:rPr>
              <w:t>Purchased</w:t>
            </w:r>
            <w:r>
              <w:rPr>
                <w:rFonts w:ascii="Times New Roman" w:cs="Times New Roman" w:eastAsia="Times New Roman" w:hAnsi="Times New Roman"/>
                <w:sz w:val="23"/>
                <w:szCs w:val="23"/>
                <w:b w:val="1"/>
                <w:bCs w:val="1"/>
                <w:color w:val="auto"/>
                <w:w w:val="96"/>
                <w:vertAlign w:val="superscript"/>
              </w:rPr>
              <w:t>3</w:t>
            </w: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or Programs</w:t>
            </w:r>
          </w:p>
        </w:tc>
        <w:tc>
          <w:tcPr>
            <w:tcW w:w="2240" w:type="dxa"/>
            <w:vAlign w:val="bottom"/>
            <w:tcBorders>
              <w:bottom w:val="single" w:sz="8" w:color="auto"/>
            </w:tcBorders>
          </w:tcPr>
          <w:p>
            <w:pPr>
              <w:jc w:val="center"/>
              <w:ind w:left="10"/>
              <w:spacing w:after="0" w:line="243" w:lineRule="exact"/>
              <w:rPr>
                <w:sz w:val="20"/>
                <w:szCs w:val="20"/>
                <w:color w:val="auto"/>
              </w:rPr>
            </w:pPr>
            <w:r>
              <w:rPr>
                <w:rFonts w:ascii="Times New Roman" w:cs="Times New Roman" w:eastAsia="Times New Roman" w:hAnsi="Times New Roman"/>
                <w:sz w:val="18"/>
                <w:szCs w:val="18"/>
                <w:b w:val="1"/>
                <w:bCs w:val="1"/>
                <w:color w:val="auto"/>
                <w:w w:val="97"/>
              </w:rPr>
              <w:t>Programs</w:t>
            </w:r>
            <w:r>
              <w:rPr>
                <w:rFonts w:ascii="Times New Roman" w:cs="Times New Roman" w:eastAsia="Times New Roman" w:hAnsi="Times New Roman"/>
                <w:sz w:val="23"/>
                <w:szCs w:val="23"/>
                <w:b w:val="1"/>
                <w:bCs w:val="1"/>
                <w:color w:val="auto"/>
                <w:w w:val="97"/>
                <w:vertAlign w:val="superscript"/>
              </w:rPr>
              <w:t>4</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100" w:type="dxa"/>
            <w:vAlign w:val="bottom"/>
            <w:tcBorders>
              <w:left w:val="single" w:sz="8" w:color="auto"/>
              <w:bottom w:val="single" w:sz="8" w:color="auto"/>
            </w:tcBorders>
            <w:shd w:val="clear" w:color="auto" w:fill="CCEEFF"/>
          </w:tcPr>
          <w:p>
            <w:pPr>
              <w:spacing w:after="0"/>
              <w:rPr>
                <w:sz w:val="19"/>
                <w:szCs w:val="19"/>
                <w:color w:val="auto"/>
              </w:rPr>
            </w:pPr>
          </w:p>
        </w:tc>
        <w:tc>
          <w:tcPr>
            <w:tcW w:w="228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238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10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August 1, 2023 to August</w:t>
            </w:r>
          </w:p>
        </w:tc>
        <w:tc>
          <w:tcPr>
            <w:tcW w:w="22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31, 2023</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411,471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100" w:type="dxa"/>
            <w:vAlign w:val="bottom"/>
            <w:tcBorders>
              <w:left w:val="single" w:sz="8" w:color="CCEEFF"/>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September 1, 2023 to</w:t>
            </w:r>
          </w:p>
        </w:tc>
        <w:tc>
          <w:tcPr>
            <w:tcW w:w="228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10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2023</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411,471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1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October 1, 2023 to</w:t>
            </w:r>
          </w:p>
        </w:tc>
        <w:tc>
          <w:tcPr>
            <w:tcW w:w="22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October 31, 2023</w:t>
            </w: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4,321</w:t>
            </w: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$56.87</w:t>
            </w: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4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407,150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100" w:type="dxa"/>
            <w:vAlign w:val="bottom"/>
            <w:tcBorders>
              <w:left w:val="single" w:sz="8" w:color="CCEEFF"/>
              <w:bottom w:val="single" w:sz="8" w:color="auto"/>
            </w:tcBorders>
            <w:shd w:val="clear" w:color="auto" w:fill="CCEEFF"/>
          </w:tcPr>
          <w:p>
            <w:pPr>
              <w:spacing w:after="0"/>
              <w:rPr>
                <w:sz w:val="19"/>
                <w:szCs w:val="19"/>
                <w:color w:val="auto"/>
              </w:rPr>
            </w:pPr>
          </w:p>
        </w:tc>
        <w:tc>
          <w:tcPr>
            <w:tcW w:w="228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Class B Stock</w:t>
            </w:r>
          </w:p>
        </w:tc>
        <w:tc>
          <w:tcPr>
            <w:tcW w:w="238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10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August 1, 2023 to August</w:t>
            </w:r>
          </w:p>
        </w:tc>
        <w:tc>
          <w:tcPr>
            <w:tcW w:w="22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31, 2023</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273,100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100" w:type="dxa"/>
            <w:vAlign w:val="bottom"/>
            <w:tcBorders>
              <w:left w:val="single" w:sz="8" w:color="CCEEFF"/>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September 1, 2023 to</w:t>
            </w:r>
          </w:p>
        </w:tc>
        <w:tc>
          <w:tcPr>
            <w:tcW w:w="228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10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2023</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273,100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1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October 1, 2023 to</w:t>
            </w:r>
          </w:p>
        </w:tc>
        <w:tc>
          <w:tcPr>
            <w:tcW w:w="22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October 31, 2023</w:t>
            </w: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11,008</w:t>
            </w: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$56.87</w:t>
            </w: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4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262,092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right="20" w:firstLine="8"/>
        <w:spacing w:after="0" w:line="235" w:lineRule="auto"/>
        <w:tabs>
          <w:tab w:leader="none" w:pos="88"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table summarizes repurchases of (and remaining authority to repurchase) shares of our Common Stock and Class B Stock. No shares of our Class A Common Stock are currently outstanding. Descriptions of our Common Stock, Class B Stock and Class A Common Stock are contained in Exhibit 4.1 of the Annual Report on Form 10-K for the fiscal year ended July 31, 2023</w:t>
      </w:r>
    </w:p>
    <w:p>
      <w:pPr>
        <w:spacing w:after="0" w:line="227" w:lineRule="exact"/>
        <w:rPr>
          <w:sz w:val="20"/>
          <w:szCs w:val="20"/>
          <w:color w:val="auto"/>
        </w:rPr>
      </w:pPr>
    </w:p>
    <w:p>
      <w:pPr>
        <w:ind w:right="20" w:firstLine="8"/>
        <w:spacing w:after="0" w:line="229" w:lineRule="auto"/>
        <w:tabs>
          <w:tab w:leader="none" w:pos="88"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figures in the table reflect transactions according to the settlement dates. For purposes of our unaudited consolidated financial statements included in this Form 10-Q, the impact of these repurchases is recorded according to the settlement dates.</w:t>
      </w:r>
    </w:p>
    <w:p>
      <w:pPr>
        <w:spacing w:after="0" w:line="195" w:lineRule="exact"/>
        <w:rPr>
          <w:sz w:val="20"/>
          <w:szCs w:val="20"/>
          <w:color w:val="auto"/>
        </w:rPr>
      </w:pPr>
    </w:p>
    <w:p>
      <w:pPr>
        <w:ind w:left="100" w:hanging="92"/>
        <w:spacing w:after="0"/>
        <w:tabs>
          <w:tab w:leader="none" w:pos="10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All 15,329 shares were surrendered by employees to pay taxes related to restricted stock awards.</w:t>
      </w:r>
    </w:p>
    <w:p>
      <w:pPr>
        <w:spacing w:after="0" w:line="225" w:lineRule="exact"/>
        <w:rPr>
          <w:sz w:val="20"/>
          <w:szCs w:val="20"/>
          <w:color w:val="auto"/>
        </w:rPr>
      </w:pPr>
    </w:p>
    <w:p>
      <w:pPr>
        <w:jc w:val="both"/>
        <w:ind w:right="20" w:firstLine="8"/>
        <w:spacing w:after="0" w:line="239" w:lineRule="auto"/>
        <w:tabs>
          <w:tab w:leader="none" w:pos="88"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Our Board of Directors authorized the repurchase of 250,000 shares of Common Stock on June 14, 2012 and an additional 750,000 shares of Common Stock on March 11, 2019. These authorizations do not have a stated expiration date. The share numbers in this column indicate the number of shares of Common Stock that may yet be repurchased under these authorizations. Repurchases may be made on the open market (pursuant to Rule 10b5-1 plans or otherwise) or in negotiated transactions. The timing, number and manner of share repurchases will be determined by management.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mining operations are subject to regulation by the Mine Safety and Health Administration under authority of the Federal Mine Safety and Health Act of 1977, as amended. Information concerning mine safety violations or other regulatory matters required by section 1503(a) of the Dodd-Frank Wall Street Reform and Consumer Protection Act and Item 104 of Regulation S-K is included in Exhibit 95 to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887" w:right="31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8"/>
        </w:trPr>
        <w:tc>
          <w:tcPr>
            <w:tcW w:w="790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3300" w:type="dxa"/>
            <w:vAlign w:val="bottom"/>
          </w:tcPr>
          <w:p>
            <w:pPr>
              <w:spacing w:after="0"/>
              <w:rPr>
                <w:sz w:val="20"/>
                <w:szCs w:val="20"/>
                <w:color w:val="auto"/>
              </w:rPr>
            </w:pPr>
          </w:p>
        </w:tc>
      </w:tr>
      <w:tr>
        <w:trPr>
          <w:trHeight w:val="202"/>
        </w:trPr>
        <w:tc>
          <w:tcPr>
            <w:tcW w:w="1080" w:type="dxa"/>
            <w:vAlign w:val="bottom"/>
            <w:gridSpan w:val="2"/>
          </w:tcPr>
          <w:p>
            <w:pPr>
              <w:ind w:left="220"/>
              <w:spacing w:after="0" w:line="202" w:lineRule="exact"/>
              <w:rPr>
                <w:sz w:val="20"/>
                <w:szCs w:val="20"/>
                <w:color w:val="auto"/>
              </w:rPr>
            </w:pPr>
            <w:r>
              <w:rPr>
                <w:rFonts w:ascii="Times New Roman" w:cs="Times New Roman" w:eastAsia="Times New Roman" w:hAnsi="Times New Roman"/>
                <w:sz w:val="18"/>
                <w:szCs w:val="18"/>
                <w:color w:val="auto"/>
              </w:rPr>
              <w:t>Exhibit</w:t>
            </w:r>
          </w:p>
        </w:tc>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00" w:type="dxa"/>
            <w:vAlign w:val="bottom"/>
          </w:tcPr>
          <w:p>
            <w:pPr>
              <w:spacing w:after="0"/>
              <w:rPr>
                <w:sz w:val="17"/>
                <w:szCs w:val="17"/>
                <w:color w:val="auto"/>
              </w:rPr>
            </w:pPr>
          </w:p>
        </w:tc>
      </w:tr>
      <w:tr>
        <w:trPr>
          <w:trHeight w:val="243"/>
        </w:trPr>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No.</w:t>
            </w: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720" w:type="dxa"/>
            <w:vAlign w:val="bottom"/>
            <w:tcBorders>
              <w:bottom w:val="single" w:sz="8" w:color="auto"/>
            </w:tcBorders>
            <w:gridSpan w:val="5"/>
          </w:tcPr>
          <w:p>
            <w:pPr>
              <w:ind w:left="920"/>
              <w:spacing w:after="0"/>
              <w:rPr>
                <w:sz w:val="20"/>
                <w:szCs w:val="20"/>
                <w:color w:val="auto"/>
              </w:rPr>
            </w:pPr>
            <w:r>
              <w:rPr>
                <w:rFonts w:ascii="Times New Roman" w:cs="Times New Roman" w:eastAsia="Times New Roman" w:hAnsi="Times New Roman"/>
                <w:sz w:val="18"/>
                <w:szCs w:val="18"/>
                <w:color w:val="auto"/>
              </w:rPr>
              <w:t>Description</w:t>
            </w:r>
          </w:p>
        </w:tc>
        <w:tc>
          <w:tcPr>
            <w:tcW w:w="80" w:type="dxa"/>
            <w:vAlign w:val="bottom"/>
          </w:tcPr>
          <w:p>
            <w:pPr>
              <w:spacing w:after="0"/>
              <w:rPr>
                <w:sz w:val="21"/>
                <w:szCs w:val="21"/>
                <w:color w:val="auto"/>
              </w:rPr>
            </w:pPr>
          </w:p>
        </w:tc>
        <w:tc>
          <w:tcPr>
            <w:tcW w:w="33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SEC Document Reference</w:t>
            </w:r>
          </w:p>
        </w:tc>
      </w:tr>
      <w:tr>
        <w:trPr>
          <w:trHeight w:val="263"/>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0" w:type="dxa"/>
            <w:vAlign w:val="bottom"/>
            <w:gridSpan w:val="8"/>
          </w:tcPr>
          <w:p>
            <w:pPr>
              <w:spacing w:after="0"/>
              <w:rPr>
                <w:rFonts w:ascii="Times New Roman" w:cs="Times New Roman" w:eastAsia="Times New Roman" w:hAnsi="Times New Roman"/>
                <w:sz w:val="18"/>
                <w:szCs w:val="18"/>
                <w:color w:val="0000FF"/>
              </w:rPr>
            </w:pPr>
            <w:hyperlink r:id="rId41">
              <w:r>
                <w:rPr>
                  <w:rFonts w:ascii="Times New Roman" w:cs="Times New Roman" w:eastAsia="Times New Roman" w:hAnsi="Times New Roman"/>
                  <w:sz w:val="18"/>
                  <w:szCs w:val="18"/>
                  <w:color w:val="0000FF"/>
                </w:rPr>
                <w:t>Amendment No. 4 to Amended and Restated Note Purchase and Private Shelf Agreement,</w:t>
              </w:r>
            </w:hyperlink>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Incorporated by reference to Exhibit 10.1 to</w:t>
            </w:r>
          </w:p>
        </w:tc>
      </w:tr>
      <w:tr>
        <w:trPr>
          <w:trHeight w:val="156"/>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700" w:type="dxa"/>
            <w:vAlign w:val="bottom"/>
            <w:tcBorders>
              <w:top w:val="single" w:sz="8" w:color="0000FF"/>
            </w:tcBorders>
            <w:gridSpan w:val="6"/>
          </w:tcPr>
          <w:p>
            <w:pPr>
              <w:spacing w:after="0" w:line="156" w:lineRule="exact"/>
              <w:rPr>
                <w:rFonts w:ascii="Times New Roman" w:cs="Times New Roman" w:eastAsia="Times New Roman" w:hAnsi="Times New Roman"/>
                <w:sz w:val="18"/>
                <w:szCs w:val="18"/>
                <w:color w:val="0000FF"/>
              </w:rPr>
            </w:pPr>
            <w:hyperlink r:id="rId41">
              <w:r>
                <w:rPr>
                  <w:rFonts w:ascii="Times New Roman" w:cs="Times New Roman" w:eastAsia="Times New Roman" w:hAnsi="Times New Roman"/>
                  <w:sz w:val="18"/>
                  <w:szCs w:val="18"/>
                  <w:color w:val="0000FF"/>
                </w:rPr>
                <w:t>dated September 21, 2023 among Oil-Dri Corporation of America, PGIM, Inc. and existing</w:t>
              </w:r>
            </w:hyperlink>
          </w:p>
        </w:tc>
        <w:tc>
          <w:tcPr>
            <w:tcW w:w="100" w:type="dxa"/>
            <w:vAlign w:val="bottom"/>
            <w:gridSpan w:val="2"/>
          </w:tcPr>
          <w:p>
            <w:pPr>
              <w:spacing w:after="0"/>
              <w:rPr>
                <w:sz w:val="13"/>
                <w:szCs w:val="13"/>
                <w:color w:val="auto"/>
              </w:rPr>
            </w:pPr>
          </w:p>
        </w:tc>
        <w:tc>
          <w:tcPr>
            <w:tcW w:w="33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Oil-Dri's  (file  No.  001-12622)  Current</w:t>
            </w:r>
          </w:p>
        </w:tc>
      </w:tr>
      <w:tr>
        <w:trPr>
          <w:trHeight w:val="169"/>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80" w:type="dxa"/>
            <w:vAlign w:val="bottom"/>
            <w:tcBorders>
              <w:top w:val="single" w:sz="8" w:color="0000FF"/>
            </w:tcBorders>
            <w:gridSpan w:val="5"/>
          </w:tcPr>
          <w:p>
            <w:pPr>
              <w:spacing w:after="0" w:line="169" w:lineRule="exact"/>
              <w:rPr>
                <w:rFonts w:ascii="Times New Roman" w:cs="Times New Roman" w:eastAsia="Times New Roman" w:hAnsi="Times New Roman"/>
                <w:sz w:val="18"/>
                <w:szCs w:val="18"/>
                <w:color w:val="0000FF"/>
              </w:rPr>
            </w:pPr>
            <w:hyperlink r:id="rId41">
              <w:r>
                <w:rPr>
                  <w:rFonts w:ascii="Times New Roman" w:cs="Times New Roman" w:eastAsia="Times New Roman" w:hAnsi="Times New Roman"/>
                  <w:sz w:val="18"/>
                  <w:szCs w:val="18"/>
                  <w:color w:val="0000FF"/>
                </w:rPr>
                <w:t>note holders named therein.</w:t>
              </w:r>
            </w:hyperlink>
          </w:p>
        </w:tc>
        <w:tc>
          <w:tcPr>
            <w:tcW w:w="120" w:type="dxa"/>
            <w:vAlign w:val="bottom"/>
            <w:gridSpan w:val="3"/>
          </w:tcPr>
          <w:p>
            <w:pPr>
              <w:spacing w:after="0"/>
              <w:rPr>
                <w:sz w:val="14"/>
                <w:szCs w:val="14"/>
                <w:color w:val="auto"/>
              </w:rPr>
            </w:pPr>
          </w:p>
        </w:tc>
        <w:tc>
          <w:tcPr>
            <w:tcW w:w="330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Report on Form 8-K filed on September 22,</w:t>
            </w:r>
          </w:p>
        </w:tc>
      </w:tr>
      <w:tr>
        <w:trPr>
          <w:trHeight w:val="214"/>
        </w:trPr>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8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0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r>
      <w:tr>
        <w:trPr>
          <w:trHeight w:val="265"/>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Certifications pursuant to Rule 13a–14(a).</w:t>
            </w:r>
          </w:p>
        </w:tc>
        <w:tc>
          <w:tcPr>
            <w:tcW w:w="3760" w:type="dxa"/>
            <w:vAlign w:val="bottom"/>
            <w:gridSpan w:val="5"/>
          </w:tcPr>
          <w:p>
            <w:pPr>
              <w:spacing w:after="0"/>
              <w:rPr>
                <w:sz w:val="23"/>
                <w:szCs w:val="23"/>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64"/>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Certifications pursuant to Section 1350 of the Sarbanes-Oxley Act of 2002.</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263"/>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Mine Safety Disclosures</w:t>
            </w:r>
            <w:r>
              <w:rPr>
                <w:rFonts w:ascii="Times New Roman" w:cs="Times New Roman" w:eastAsia="Times New Roman" w:hAnsi="Times New Roman"/>
                <w:sz w:val="18"/>
                <w:szCs w:val="18"/>
                <w:color w:val="000000"/>
              </w:rPr>
              <w:t>.</w:t>
            </w:r>
          </w:p>
        </w:tc>
        <w:tc>
          <w:tcPr>
            <w:tcW w:w="1380" w:type="dxa"/>
            <w:vAlign w:val="bottom"/>
            <w:gridSpan w:val="4"/>
          </w:tcPr>
          <w:p>
            <w:pPr>
              <w:spacing w:after="0"/>
              <w:rPr>
                <w:sz w:val="22"/>
                <w:szCs w:val="22"/>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0"/>
        </w:trPr>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5020" w:type="dxa"/>
            <w:vAlign w:val="bottom"/>
            <w:gridSpan w:val="7"/>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304"/>
        </w:trPr>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6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83"/>
        </w:trPr>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6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84"/>
        </w:trPr>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6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83"/>
        </w:trPr>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6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83"/>
        </w:trPr>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6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83"/>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bl>
    <w:p>
      <w:pPr>
        <w:spacing w:after="0" w:line="3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Note: Stockholders may receive copies of the above listed exhibits, without fee, by written request to Investor Relations, Oil-Dri Corporation of America, 410 North Michigan Avenue, Suite 400, Chicago, Illinois 60611-4213, by telephone at (312) 321-1515 or by e-mail to info@oildri.com.</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OIL-DRI CORPORATION OF AMERICA</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-7620</wp:posOffset>
            </wp:positionV>
            <wp:extent cx="160337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1603375" cy="8255"/>
                    </a:xfrm>
                    <a:prstGeom prst="rect">
                      <a:avLst/>
                    </a:prstGeom>
                    <a:noFill/>
                  </pic:spPr>
                </pic:pic>
              </a:graphicData>
            </a:graphic>
          </wp:anchor>
        </w:drawing>
      </w: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Daniel S. Jaffee</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Susan M. Kreh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-7620</wp:posOffset>
            </wp:positionV>
            <wp:extent cx="15392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1539240" cy="8890"/>
                    </a:xfrm>
                    <a:prstGeom prst="rect">
                      <a:avLst/>
                    </a:prstGeom>
                    <a:noFill/>
                  </pic:spPr>
                </pic:pic>
              </a:graphicData>
            </a:graphic>
          </wp:anchor>
        </w:drawing>
      </w: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Susan M. Kreh</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11, 2023</w:t>
      </w:r>
    </w:p>
    <w:p>
      <w:pPr>
        <w:spacing w:after="0" w:line="200" w:lineRule="exact"/>
        <w:rPr>
          <w:sz w:val="20"/>
          <w:szCs w:val="20"/>
          <w:color w:val="auto"/>
        </w:rPr>
      </w:pPr>
    </w:p>
    <w:p>
      <w:pPr>
        <w:spacing w:after="0" w:line="36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320"/>
          </w:cols>
          <w:pgMar w:left="660" w:top="891" w:right="9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b w:val="1"/>
          <w:bCs w:val="1"/>
          <w:color w:val="auto"/>
        </w:rPr>
        <w:t>Exhibit 31: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 RULE 13A -14(A) UNDER THE SECURITIES EXCHANGE ACT OF 1934, AS AMENDED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0" w:lineRule="exact"/>
        <w:rPr>
          <w:sz w:val="20"/>
          <w:szCs w:val="20"/>
          <w:color w:val="auto"/>
        </w:rPr>
      </w:pPr>
    </w:p>
    <w:p>
      <w:pPr>
        <w:spacing w:after="0" w:line="358"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Daniel S. Jaffee, certify that:</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Oil-Dri Corporation of America (the “registrant”);</w:t>
      </w:r>
    </w:p>
    <w:p>
      <w:pPr>
        <w:spacing w:after="0" w:line="17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152" w:lineRule="exact"/>
        <w:rPr>
          <w:rFonts w:ascii="Times New Roman" w:cs="Times New Roman" w:eastAsia="Times New Roman" w:hAnsi="Times New Roman"/>
          <w:sz w:val="18"/>
          <w:szCs w:val="18"/>
          <w:color w:val="auto"/>
        </w:rPr>
      </w:pPr>
    </w:p>
    <w:p>
      <w:pPr>
        <w:jc w:val="both"/>
        <w:ind w:left="1960" w:hanging="427"/>
        <w:spacing w:after="0" w:line="266" w:lineRule="auto"/>
        <w:tabs>
          <w:tab w:leader="none" w:pos="1960" w:val="left"/>
        </w:tabs>
        <w:numPr>
          <w:ilvl w:val="3"/>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960" w:right="20" w:hanging="477"/>
        <w:spacing w:after="0" w:line="266" w:lineRule="auto"/>
        <w:tabs>
          <w:tab w:leader="none" w:pos="1960" w:val="left"/>
        </w:tabs>
        <w:numPr>
          <w:ilvl w:val="3"/>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960" w:hanging="526"/>
        <w:spacing w:after="0" w:line="266" w:lineRule="auto"/>
        <w:tabs>
          <w:tab w:leader="none" w:pos="1960" w:val="left"/>
        </w:tabs>
        <w:numPr>
          <w:ilvl w:val="3"/>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960" w:hanging="517"/>
        <w:spacing w:after="0" w:line="266" w:lineRule="auto"/>
        <w:tabs>
          <w:tab w:leader="none" w:pos="1948"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jc w:val="both"/>
        <w:ind w:left="1960" w:hanging="427"/>
        <w:spacing w:after="0" w:line="266" w:lineRule="auto"/>
        <w:tabs>
          <w:tab w:leader="none" w:pos="1960" w:val="left"/>
        </w:tabs>
        <w:numPr>
          <w:ilvl w:val="3"/>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960" w:hanging="477"/>
        <w:spacing w:after="0" w:line="273" w:lineRule="auto"/>
        <w:tabs>
          <w:tab w:leader="none" w:pos="1960" w:val="left"/>
        </w:tabs>
        <w:numPr>
          <w:ilvl w:val="3"/>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68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December 11, 2023</w:t>
            </w:r>
          </w:p>
        </w:tc>
      </w:tr>
      <w:tr>
        <w:trPr>
          <w:trHeight w:val="22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Daniel S. Jaffee</w:t>
            </w:r>
          </w:p>
        </w:tc>
      </w:tr>
      <w:tr>
        <w:trPr>
          <w:trHeight w:val="178"/>
        </w:trPr>
        <w:tc>
          <w:tcPr>
            <w:tcW w:w="840" w:type="dxa"/>
            <w:vAlign w:val="bottom"/>
          </w:tcPr>
          <w:p>
            <w:pPr>
              <w:spacing w:after="0"/>
              <w:rPr>
                <w:sz w:val="15"/>
                <w:szCs w:val="15"/>
                <w:color w:val="auto"/>
              </w:rPr>
            </w:pPr>
          </w:p>
        </w:tc>
        <w:tc>
          <w:tcPr>
            <w:tcW w:w="422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Daniel S. Jaffee</w:t>
            </w:r>
          </w:p>
        </w:tc>
      </w:tr>
      <w:tr>
        <w:trPr>
          <w:trHeight w:val="234"/>
        </w:trPr>
        <w:tc>
          <w:tcPr>
            <w:tcW w:w="84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89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b w:val="1"/>
          <w:bCs w:val="1"/>
          <w:color w:val="auto"/>
        </w:rPr>
        <w:t>Exhibit 31 (continued):</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a Principal Financial Officer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0" w:lineRule="exact"/>
        <w:rPr>
          <w:sz w:val="20"/>
          <w:szCs w:val="20"/>
          <w:color w:val="auto"/>
        </w:rPr>
      </w:pPr>
    </w:p>
    <w:p>
      <w:pPr>
        <w:spacing w:after="0" w:line="358"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Susan M. Kreh, certify that:</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Oil-Dri Corporation of America (the “registrant”);</w:t>
      </w:r>
    </w:p>
    <w:p>
      <w:pPr>
        <w:spacing w:after="0" w:line="17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152" w:lineRule="exact"/>
        <w:rPr>
          <w:rFonts w:ascii="Times New Roman" w:cs="Times New Roman" w:eastAsia="Times New Roman" w:hAnsi="Times New Roman"/>
          <w:sz w:val="18"/>
          <w:szCs w:val="18"/>
          <w:color w:val="auto"/>
        </w:rPr>
      </w:pPr>
    </w:p>
    <w:p>
      <w:pPr>
        <w:jc w:val="both"/>
        <w:ind w:left="1960" w:hanging="332"/>
        <w:spacing w:after="0" w:line="266" w:lineRule="auto"/>
        <w:tabs>
          <w:tab w:leader="none" w:pos="195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960" w:right="20" w:hanging="332"/>
        <w:spacing w:after="0" w:line="266" w:lineRule="auto"/>
        <w:tabs>
          <w:tab w:leader="none" w:pos="196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960" w:hanging="332"/>
        <w:spacing w:after="0" w:line="266" w:lineRule="auto"/>
        <w:tabs>
          <w:tab w:leader="none" w:pos="195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960" w:hanging="332"/>
        <w:spacing w:after="0" w:line="266" w:lineRule="auto"/>
        <w:tabs>
          <w:tab w:leader="none" w:pos="196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jc w:val="both"/>
        <w:ind w:left="1960" w:hanging="332"/>
        <w:spacing w:after="0" w:line="266" w:lineRule="auto"/>
        <w:tabs>
          <w:tab w:leader="none" w:pos="195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960" w:hanging="332"/>
        <w:spacing w:after="0" w:line="282" w:lineRule="auto"/>
        <w:tabs>
          <w:tab w:leader="none" w:pos="196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December 11, 2023</w:t>
            </w:r>
          </w:p>
        </w:tc>
      </w:tr>
      <w:tr>
        <w:trPr>
          <w:trHeight w:val="22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Susan M. Kreh</w:t>
            </w:r>
          </w:p>
        </w:tc>
      </w:tr>
      <w:tr>
        <w:trPr>
          <w:trHeight w:val="169"/>
        </w:trPr>
        <w:tc>
          <w:tcPr>
            <w:tcW w:w="900" w:type="dxa"/>
            <w:vAlign w:val="bottom"/>
          </w:tcPr>
          <w:p>
            <w:pPr>
              <w:spacing w:after="0"/>
              <w:rPr>
                <w:sz w:val="14"/>
                <w:szCs w:val="14"/>
                <w:color w:val="auto"/>
              </w:rPr>
            </w:pPr>
          </w:p>
        </w:tc>
        <w:tc>
          <w:tcPr>
            <w:tcW w:w="49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Susan M. Kreh</w:t>
            </w:r>
          </w:p>
        </w:tc>
      </w:tr>
      <w:tr>
        <w:trPr>
          <w:trHeight w:val="234"/>
        </w:trPr>
        <w:tc>
          <w:tcPr>
            <w:tcW w:w="90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2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b w:val="1"/>
          <w:bCs w:val="1"/>
          <w:color w:val="auto"/>
        </w:rPr>
        <w:t>Exhibit 32:</w:t>
      </w: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CERTIFICATIONS PURSUANT TO 18 U.S.C. SECTION 1350 AS ADOPTED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SARBANES-OXLEY ACT OF 2002 CERTIFICATION</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18 U.S.C. Section 1350, the undersigned officer of Oil-Dri Corporation of America (the “Company”) hereby certifies that to the best of my knowledge the Company’s Quarterly Report on Form 10-Q for the quarter ended October 31, 2023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4"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8"/>
          <w:szCs w:val="18"/>
          <w:color w:val="auto"/>
        </w:rPr>
        <w:t>Dated:</w:t>
        <w:tab/>
        <w:t>December 11, 2023</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833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Daniel S. Jaffee</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Chairman, President and Chief Executive Officer</w:t>
      </w: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18 U.S.C. Section 1350, the undersigned officer of Oil-Dri Corporation of America (the “Company”) hereby certifies that to the best of my knowledge the Company’s Quarterly Report on Form 10-Q for the quarter ended October 31, 2023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4"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8"/>
          <w:szCs w:val="18"/>
          <w:color w:val="auto"/>
        </w:rPr>
        <w:t>Dated:</w:t>
        <w:tab/>
        <w:t>December 11, 2023</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Susan M. Kreh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833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Name: Susan M. Kreh</w:t>
      </w:r>
    </w:p>
    <w:p>
      <w:pPr>
        <w:ind w:left="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3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3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Exhibit 95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 SAFETY DISCLOSURES</w:t>
      </w:r>
    </w:p>
    <w:p>
      <w:pPr>
        <w:spacing w:after="0" w:line="2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section 1503(a) of the Dodd-Frank Wall Street Reform and Consumer Protection Act and Item 104 of Regulation S-K, each operator of a coal or other mine is required to include certain mine safety information in its periodic reports filed with the Securities and Exchange Commission. The table below includes this mine safety information for each mine facility owned and operated by Oil-Dri Corporation of America, or its subsidiaries, for the quarter ended October 31, 2023. Due to timing and other factors, our data may not agree with the mine data retrieval system maintained by the Mine Safety and Health Administration (“MSHA”). The columns in the table represent the total number of, and the proposed dollar assessment for, violations, citations and orders issued by MSHA during the period upon periodic inspection of our mine facilities in accordance with the referenced sections of the Federal Mine Safety and Health Act of 1977, as amended (the “Mine Act”), described as follows:</w:t>
      </w:r>
    </w:p>
    <w:p>
      <w:pPr>
        <w:spacing w:after="0" w:line="216"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Section 104 Significant and Substantial Violations: Total number of violations of mandatory health or safety standards that could significantly and substantially contribute to the cause and effect of a coal or other mine safety or health hazard.</w:t>
      </w:r>
    </w:p>
    <w:p>
      <w:pPr>
        <w:spacing w:after="0" w:line="189"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Section 104(b) Orders: Total number of orders issued due to a failure to totally abate, within the time period prescribed by MSHA, a violation previously cited under section 104, which results in the issuance of an order requiring the mine operator to immediately withdraw all persons from the mine.</w:t>
      </w:r>
    </w:p>
    <w:p>
      <w:pPr>
        <w:spacing w:after="0" w:line="18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Section 104(d) Citations and Orders: Total number of citations and orders issued for unwarrantable failure of the mine operator to comply with mandatory health and safety standards. The violation could significantly and substantially contribute to the cause and effect of a safety and health hazard, but the conditions do not cause imminent danger.</w:t>
      </w:r>
    </w:p>
    <w:p>
      <w:pPr>
        <w:spacing w:after="0" w:line="203"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Section 110(b)(2) Flagrant Violations: Total number of flagrant violations defined as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203"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Section 107(a) Imminent Danger Orders: Total number of orders issued when an imminent danger is identified which requires all persons to be withdrawn from area(s) in the mine until the imminent danger and the conditions that caused it cease to exist.</w:t>
      </w:r>
    </w:p>
    <w:p>
      <w:pPr>
        <w:spacing w:after="0" w:line="189"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Total Dollar Value of Proposed MSHA Assessments: Each issuance of a citation or order by MSHA results in the assessment of a monetary penalty. The total dollar value presented includes any contested penalties.</w:t>
      </w:r>
    </w:p>
    <w:p>
      <w:pPr>
        <w:spacing w:after="0" w:line="189"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Legal Actions Pending, Initiated or Resolved: Total number of cases pending legal action before the Federal Mine Safety and Health Review Commission as of the last day of the reporting period or the number of such cases initiated or resolved during the reporting period.</w:t>
      </w:r>
    </w:p>
    <w:p>
      <w:pPr>
        <w:spacing w:after="0" w:line="81"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1580" w:type="dxa"/>
            <w:vAlign w:val="bottom"/>
          </w:tcPr>
          <w:p>
            <w:pPr>
              <w:spacing w:after="0"/>
              <w:rPr>
                <w:sz w:val="20"/>
                <w:szCs w:val="20"/>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Section 104</w:t>
            </w: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Section</w:t>
            </w:r>
          </w:p>
        </w:tc>
        <w:tc>
          <w:tcPr>
            <w:tcW w:w="1360" w:type="dxa"/>
            <w:vAlign w:val="bottom"/>
          </w:tcPr>
          <w:p>
            <w:pPr>
              <w:spacing w:after="0"/>
              <w:rPr>
                <w:sz w:val="20"/>
                <w:szCs w:val="20"/>
                <w:color w:val="auto"/>
              </w:rPr>
            </w:pPr>
          </w:p>
        </w:tc>
        <w:tc>
          <w:tcPr>
            <w:tcW w:w="2180" w:type="dxa"/>
            <w:vAlign w:val="bottom"/>
            <w:tcBorders>
              <w:bottom w:val="single" w:sz="8" w:color="auto"/>
            </w:tcBorders>
            <w:gridSpan w:val="2"/>
          </w:tcPr>
          <w:p>
            <w:pPr>
              <w:ind w:left="1040"/>
              <w:spacing w:after="0"/>
              <w:rPr>
                <w:sz w:val="20"/>
                <w:szCs w:val="20"/>
                <w:color w:val="auto"/>
              </w:rPr>
            </w:pPr>
            <w:r>
              <w:rPr>
                <w:rFonts w:ascii="Times New Roman" w:cs="Times New Roman" w:eastAsia="Times New Roman" w:hAnsi="Times New Roman"/>
                <w:sz w:val="18"/>
                <w:szCs w:val="18"/>
                <w:color w:val="auto"/>
              </w:rPr>
              <w:t>Legal Actions</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158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580" w:type="dxa"/>
            <w:vAlign w:val="bottom"/>
          </w:tcPr>
          <w:p>
            <w:pPr>
              <w:spacing w:after="0"/>
              <w:rPr>
                <w:sz w:val="16"/>
                <w:szCs w:val="16"/>
                <w:color w:val="auto"/>
              </w:rPr>
            </w:pPr>
          </w:p>
        </w:tc>
        <w:tc>
          <w:tcPr>
            <w:tcW w:w="11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“Significant</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Section</w:t>
            </w:r>
          </w:p>
        </w:tc>
        <w:tc>
          <w:tcPr>
            <w:tcW w:w="9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Section</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Section 110(b)</w:t>
            </w:r>
          </w:p>
        </w:tc>
        <w:tc>
          <w:tcPr>
            <w:tcW w:w="9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107(a)</w:t>
            </w:r>
          </w:p>
        </w:tc>
        <w:tc>
          <w:tcPr>
            <w:tcW w:w="1360" w:type="dxa"/>
            <w:vAlign w:val="bottom"/>
          </w:tcPr>
          <w:p>
            <w:pPr>
              <w:jc w:val="center"/>
              <w:ind w:left="10"/>
              <w:spacing w:after="0" w:line="189" w:lineRule="exact"/>
              <w:rPr>
                <w:sz w:val="20"/>
                <w:szCs w:val="20"/>
                <w:color w:val="auto"/>
              </w:rPr>
            </w:pPr>
            <w:r>
              <w:rPr>
                <w:rFonts w:ascii="Times New Roman" w:cs="Times New Roman" w:eastAsia="Times New Roman" w:hAnsi="Times New Roman"/>
                <w:sz w:val="18"/>
                <w:szCs w:val="18"/>
                <w:color w:val="auto"/>
                <w:w w:val="97"/>
              </w:rPr>
              <w:t>Total Dollar</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Pending as of</w:t>
            </w:r>
          </w:p>
        </w:tc>
        <w:tc>
          <w:tcPr>
            <w:tcW w:w="98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Initiated</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Resolved</w:t>
            </w:r>
          </w:p>
        </w:tc>
        <w:tc>
          <w:tcPr>
            <w:tcW w:w="0" w:type="dxa"/>
            <w:vAlign w:val="bottom"/>
          </w:tcPr>
          <w:p>
            <w:pPr>
              <w:spacing w:after="0"/>
              <w:rPr>
                <w:sz w:val="1"/>
                <w:szCs w:val="1"/>
                <w:color w:val="auto"/>
              </w:rPr>
            </w:pPr>
          </w:p>
        </w:tc>
      </w:tr>
      <w:tr>
        <w:trPr>
          <w:trHeight w:val="175"/>
        </w:trPr>
        <w:tc>
          <w:tcPr>
            <w:tcW w:w="1580" w:type="dxa"/>
            <w:vAlign w:val="bottom"/>
          </w:tcPr>
          <w:p>
            <w:pPr>
              <w:spacing w:after="0"/>
              <w:rPr>
                <w:sz w:val="15"/>
                <w:szCs w:val="15"/>
                <w:color w:val="auto"/>
              </w:rPr>
            </w:pPr>
          </w:p>
        </w:tc>
        <w:tc>
          <w:tcPr>
            <w:tcW w:w="11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and</w:t>
            </w:r>
          </w:p>
        </w:tc>
        <w:tc>
          <w:tcPr>
            <w:tcW w:w="800" w:type="dxa"/>
            <w:vAlign w:val="bottom"/>
            <w:vMerge w:val="continue"/>
          </w:tcPr>
          <w:p>
            <w:pPr>
              <w:spacing w:after="0"/>
              <w:rPr>
                <w:sz w:val="15"/>
                <w:szCs w:val="15"/>
                <w:color w:val="auto"/>
              </w:rPr>
            </w:pPr>
          </w:p>
        </w:tc>
        <w:tc>
          <w:tcPr>
            <w:tcW w:w="9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104(d)</w:t>
            </w:r>
          </w:p>
        </w:tc>
        <w:tc>
          <w:tcPr>
            <w:tcW w:w="1200" w:type="dxa"/>
            <w:vAlign w:val="bottom"/>
            <w:vMerge w:val="continue"/>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Imminent</w:t>
            </w:r>
          </w:p>
        </w:tc>
        <w:tc>
          <w:tcPr>
            <w:tcW w:w="13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Value of</w:t>
            </w:r>
          </w:p>
        </w:tc>
        <w:tc>
          <w:tcPr>
            <w:tcW w:w="120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580" w:type="dxa"/>
            <w:vAlign w:val="bottom"/>
          </w:tcPr>
          <w:p>
            <w:pPr>
              <w:spacing w:after="0"/>
              <w:rPr>
                <w:sz w:val="15"/>
                <w:szCs w:val="15"/>
                <w:color w:val="auto"/>
              </w:rPr>
            </w:pPr>
          </w:p>
        </w:tc>
        <w:tc>
          <w:tcPr>
            <w:tcW w:w="11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Substantial”</w:t>
            </w:r>
          </w:p>
        </w:tc>
        <w:tc>
          <w:tcPr>
            <w:tcW w:w="8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104(b)</w:t>
            </w:r>
          </w:p>
        </w:tc>
        <w:tc>
          <w:tcPr>
            <w:tcW w:w="9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Citations</w:t>
            </w:r>
          </w:p>
        </w:tc>
        <w:tc>
          <w:tcPr>
            <w:tcW w:w="12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(2) Flagrant</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Danger</w:t>
            </w:r>
          </w:p>
        </w:tc>
        <w:tc>
          <w:tcPr>
            <w:tcW w:w="13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Proposed MSHA</w:t>
            </w:r>
          </w:p>
        </w:tc>
        <w:tc>
          <w:tcPr>
            <w:tcW w:w="120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rPr>
              <w:t>Last Day of</w:t>
            </w:r>
          </w:p>
        </w:tc>
        <w:tc>
          <w:tcPr>
            <w:tcW w:w="98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7"/>
              </w:rPr>
              <w:t>During</w:t>
            </w:r>
          </w:p>
        </w:tc>
        <w:tc>
          <w:tcPr>
            <w:tcW w:w="9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During</w:t>
            </w:r>
          </w:p>
        </w:tc>
        <w:tc>
          <w:tcPr>
            <w:tcW w:w="0" w:type="dxa"/>
            <w:vAlign w:val="bottom"/>
          </w:tcPr>
          <w:p>
            <w:pPr>
              <w:spacing w:after="0"/>
              <w:rPr>
                <w:sz w:val="1"/>
                <w:szCs w:val="1"/>
                <w:color w:val="auto"/>
              </w:rPr>
            </w:pPr>
          </w:p>
        </w:tc>
      </w:tr>
      <w:tr>
        <w:trPr>
          <w:trHeight w:val="238"/>
        </w:trPr>
        <w:tc>
          <w:tcPr>
            <w:tcW w:w="1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Mine location</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Violations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Orders</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and Orders</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Violations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Orders</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Assessments</w:t>
            </w:r>
          </w:p>
        </w:tc>
        <w:tc>
          <w:tcPr>
            <w:tcW w:w="12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Period</w:t>
            </w:r>
          </w:p>
        </w:tc>
        <w:tc>
          <w:tcPr>
            <w:tcW w:w="9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Period</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Period</w:t>
            </w:r>
          </w:p>
        </w:tc>
        <w:tc>
          <w:tcPr>
            <w:tcW w:w="0" w:type="dxa"/>
            <w:vAlign w:val="bottom"/>
          </w:tcPr>
          <w:p>
            <w:pPr>
              <w:spacing w:after="0"/>
              <w:rPr>
                <w:sz w:val="1"/>
                <w:szCs w:val="1"/>
                <w:color w:val="auto"/>
              </w:rPr>
            </w:pPr>
          </w:p>
        </w:tc>
      </w:tr>
      <w:tr>
        <w:trPr>
          <w:trHeight w:val="234"/>
        </w:trPr>
        <w:tc>
          <w:tcPr>
            <w:tcW w:w="158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Ochlocknee, Georgia</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9"/>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Ripley, Mississippi</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0"/>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Mounds, Illinois</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10,265</w:t>
            </w:r>
          </w:p>
        </w:tc>
        <w:tc>
          <w:tcPr>
            <w:tcW w:w="12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2</w:t>
            </w:r>
          </w:p>
        </w:tc>
        <w:tc>
          <w:tcPr>
            <w:tcW w:w="9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rPr>
              <w:t>2</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75"/>
        </w:trPr>
        <w:tc>
          <w:tcPr>
            <w:tcW w:w="15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Blue Mountain,</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49"/>
        </w:trPr>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Mississippi</w:t>
            </w:r>
          </w:p>
        </w:tc>
        <w:tc>
          <w:tcPr>
            <w:tcW w:w="11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58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Taft, California</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2,857</w:t>
            </w:r>
          </w:p>
        </w:tc>
        <w:tc>
          <w:tcPr>
            <w:tcW w:w="12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had no mining-related fatalities at any of our facilities during the three months ended October 31, 2023. During this period we also received no written notices from MSHA under section 104(e) of the Mine Act of (i) a pattern of violations of mandatory health or safety standards that are of such nature as could have significantly and substantially contributed to the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887" w:right="339" w:bottom="1440" w:gutter="0" w:footer="0" w:header="0"/>
        </w:sectPr>
      </w:pPr>
    </w:p>
    <w:bookmarkStart w:id="33" w:name="page34"/>
    <w:bookmarkEnd w:id="33"/>
    <w:p>
      <w:pPr>
        <w:spacing w:after="0" w:line="282" w:lineRule="auto"/>
        <w:rPr>
          <w:sz w:val="20"/>
          <w:szCs w:val="20"/>
          <w:color w:val="auto"/>
        </w:rPr>
      </w:pPr>
      <w:r>
        <w:rPr>
          <w:rFonts w:ascii="Times New Roman" w:cs="Times New Roman" w:eastAsia="Times New Roman" w:hAnsi="Times New Roman"/>
          <w:sz w:val="18"/>
          <w:szCs w:val="18"/>
          <w:color w:val="auto"/>
        </w:rPr>
        <w:t>cause and effect of coal or other mine health or safety hazards; or (ii) the potential to have such a pattern. All legal actions pending and initiated during the period were contests of proposed penalties.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1"/>
    </w:lvl>
    <w:lvl w:ilvl="1">
      <w:lvlJc w:val="left"/>
      <w:lvlText w:val="(%2)"/>
      <w:numFmt w:val="decimal"/>
      <w:start w:val="1"/>
    </w:lvl>
  </w:abstractNum>
  <w:abstractNum w:abstractNumId="3">
    <w:nsid w:val="41B71EFB"/>
    <w:multiLevelType w:val="hybridMultilevel"/>
    <w:lvl w:ilvl="0">
      <w:lvlJc w:val="left"/>
      <w:lvlText w:val="%1."/>
      <w:numFmt w:val="decimal"/>
      <w:start w:val="2"/>
    </w:lvl>
    <w:lvl w:ilvl="1">
      <w:lvlJc w:val="left"/>
      <w:lvlText w:val="%2"/>
      <w:numFmt w:val="decimal"/>
      <w:start w:val="1"/>
    </w:lvl>
  </w:abstractNum>
  <w:abstractNum w:abstractNumId="4">
    <w:nsid w:val="79E2A9E3"/>
    <w:multiLevelType w:val="hybridMultilevel"/>
    <w:lvl w:ilvl="0">
      <w:lvlJc w:val="left"/>
      <w:lvlText w:val="1"/>
      <w:numFmt w:val="bullet"/>
      <w:start w:val="1"/>
    </w:lvl>
  </w:abstractNum>
  <w:abstractNum w:abstractNumId="5">
    <w:nsid w:val="7545E146"/>
    <w:multiLevelType w:val="hybridMultilevel"/>
    <w:lvl w:ilvl="0">
      <w:lvlJc w:val="left"/>
      <w:lvlText w:val="2"/>
      <w:numFmt w:val="bullet"/>
      <w:start w:val="1"/>
    </w:lvl>
  </w:abstractNum>
  <w:abstractNum w:abstractNumId="6">
    <w:nsid w:val="515F007C"/>
    <w:multiLevelType w:val="hybridMultilevel"/>
    <w:lvl w:ilvl="0">
      <w:lvlJc w:val="left"/>
      <w:lvlText w:val="3"/>
      <w:numFmt w:val="bullet"/>
      <w:start w:val="1"/>
    </w:lvl>
  </w:abstractNum>
  <w:abstractNum w:abstractNumId="7">
    <w:nsid w:val="5BD062C2"/>
    <w:multiLevelType w:val="hybridMultilevel"/>
    <w:lvl w:ilvl="0">
      <w:lvlJc w:val="left"/>
      <w:lvlText w:val="4"/>
      <w:numFmt w:val="bullet"/>
      <w:start w:val="1"/>
    </w:lvl>
  </w:abstractNum>
  <w:abstractNum w:abstractNumId="8">
    <w:nsid w:val="12200854"/>
    <w:multiLevelType w:val="hybridMultilevel"/>
    <w:lvl w:ilvl="0">
      <w:lvlJc w:val="left"/>
      <w:lvlText w:val="%1."/>
      <w:numFmt w:val="upperLetter"/>
      <w:start w:val="9"/>
    </w:lvl>
    <w:lvl w:ilvl="1">
      <w:lvlJc w:val="left"/>
      <w:lvlText w:val="%2."/>
      <w:numFmt w:val="lowerLetter"/>
      <w:start w:val="1"/>
    </w:lvl>
    <w:lvl w:ilvl="2">
      <w:lvlJc w:val="left"/>
      <w:lvlText w:val="%3."/>
      <w:numFmt w:val="lowerRoman"/>
      <w:start w:val="3"/>
    </w:lvl>
    <w:lvl w:ilvl="3">
      <w:lvlJc w:val="left"/>
      <w:lvlText w:val="%4."/>
      <w:numFmt w:val="lowerRoman"/>
      <w:start w:val="1"/>
    </w:lvl>
  </w:abstractNum>
  <w:abstractNum w:abstractNumId="9">
    <w:nsid w:val="4DB127F8"/>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1" Type="http://schemas.openxmlformats.org/officeDocument/2006/relationships/hyperlink" Target="https://www.sec.gov/Archives/edgar/data/74046/000007404623000046/amendmentno4toarnppsa-o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2023-12-11T15:21:44Z</dcterms:created>
  <dcterms:modified xsi:type="dcterms:W3CDTF">2023-12-11T15:21:44Z</dcterms:modified>
</cp:coreProperties>
</file>