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37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00" w:type="dxa"/>
            <w:vAlign w:val="bottom"/>
            <w:gridSpan w:val="3"/>
          </w:tcPr>
          <w:p>
            <w:pPr>
              <w:jc w:val="center"/>
              <w:ind w:right="820"/>
              <w:spacing w:after="0"/>
              <w:rPr>
                <w:sz w:val="20"/>
                <w:szCs w:val="20"/>
                <w:color w:val="auto"/>
              </w:rPr>
            </w:pPr>
            <w:r>
              <w:rPr>
                <w:rFonts w:ascii="Arial" w:cs="Arial" w:eastAsia="Arial" w:hAnsi="Arial"/>
                <w:sz w:val="18"/>
                <w:szCs w:val="18"/>
                <w:color w:val="auto"/>
                <w:w w:val="90"/>
              </w:rPr>
              <w:t>Date of Report (Date of earliest event reported)</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ind w:left="2240"/>
              <w:spacing w:after="0"/>
              <w:rPr>
                <w:sz w:val="20"/>
                <w:szCs w:val="20"/>
                <w:color w:val="auto"/>
              </w:rPr>
            </w:pPr>
            <w:r>
              <w:rPr>
                <w:rFonts w:ascii="Arial" w:cs="Arial" w:eastAsia="Arial" w:hAnsi="Arial"/>
                <w:sz w:val="18"/>
                <w:szCs w:val="18"/>
                <w:color w:val="auto"/>
                <w:w w:val="90"/>
              </w:rPr>
              <w:t>October 12, 2018</w:t>
            </w:r>
          </w:p>
        </w:tc>
      </w:tr>
      <w:tr>
        <w:trPr>
          <w:trHeight w:val="621"/>
        </w:trPr>
        <w:tc>
          <w:tcPr>
            <w:tcW w:w="3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0" w:type="dxa"/>
            <w:vAlign w:val="bottom"/>
            <w:gridSpan w:val="5"/>
          </w:tcPr>
          <w:p>
            <w:pPr>
              <w:jc w:val="center"/>
              <w:ind w:right="780"/>
              <w:spacing w:after="0"/>
              <w:rPr>
                <w:sz w:val="20"/>
                <w:szCs w:val="20"/>
                <w:color w:val="auto"/>
              </w:rPr>
            </w:pPr>
            <w:r>
              <w:rPr>
                <w:rFonts w:ascii="Arial" w:cs="Arial" w:eastAsia="Arial" w:hAnsi="Arial"/>
                <w:sz w:val="18"/>
                <w:szCs w:val="18"/>
                <w:b w:val="1"/>
                <w:bCs w:val="1"/>
                <w:color w:val="auto"/>
                <w:w w:val="94"/>
              </w:rPr>
              <w:t>Oil-Dri Corporation of America</w:t>
            </w:r>
          </w:p>
        </w:tc>
        <w:tc>
          <w:tcPr>
            <w:tcW w:w="3520" w:type="dxa"/>
            <w:vAlign w:val="bottom"/>
          </w:tcPr>
          <w:p>
            <w:pPr>
              <w:spacing w:after="0"/>
              <w:rPr>
                <w:sz w:val="24"/>
                <w:szCs w:val="24"/>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4460" w:type="dxa"/>
            <w:vAlign w:val="bottom"/>
            <w:gridSpan w:val="7"/>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3520" w:type="dxa"/>
            <w:vAlign w:val="bottom"/>
          </w:tcPr>
          <w:p>
            <w:pPr>
              <w:spacing w:after="0"/>
              <w:rPr>
                <w:sz w:val="20"/>
                <w:szCs w:val="20"/>
                <w:color w:val="auto"/>
              </w:rPr>
            </w:pPr>
          </w:p>
        </w:tc>
      </w:tr>
      <w:tr>
        <w:trPr>
          <w:trHeight w:val="621"/>
        </w:trPr>
        <w:tc>
          <w:tcPr>
            <w:tcW w:w="430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1"/>
              </w:rPr>
              <w:t>Delaware</w:t>
            </w:r>
          </w:p>
        </w:tc>
        <w:tc>
          <w:tcPr>
            <w:tcW w:w="1760" w:type="dxa"/>
            <w:vAlign w:val="bottom"/>
            <w:gridSpan w:val="3"/>
          </w:tcPr>
          <w:p>
            <w:pPr>
              <w:jc w:val="center"/>
              <w:ind w:left="890"/>
              <w:spacing w:after="0"/>
              <w:rPr>
                <w:sz w:val="20"/>
                <w:szCs w:val="20"/>
                <w:color w:val="auto"/>
              </w:rPr>
            </w:pPr>
            <w:r>
              <w:rPr>
                <w:rFonts w:ascii="Arial" w:cs="Arial" w:eastAsia="Arial" w:hAnsi="Arial"/>
                <w:sz w:val="18"/>
                <w:szCs w:val="18"/>
                <w:b w:val="1"/>
                <w:bCs w:val="1"/>
                <w:color w:val="auto"/>
                <w:w w:val="90"/>
              </w:rPr>
              <w:t>001-12622</w:t>
            </w: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1"/>
              </w:rPr>
              <w:t>36-2048898</w:t>
            </w: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22"/>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2"/>
              </w:rPr>
              <w:t>(State or other jurisdiction of</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3"/>
              </w:rPr>
              <w:t>(Commission File</w:t>
            </w:r>
          </w:p>
        </w:tc>
        <w:tc>
          <w:tcPr>
            <w:tcW w:w="3520" w:type="dxa"/>
            <w:vAlign w:val="bottom"/>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4"/>
              </w:rPr>
              <w:t>incorporation)</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4"/>
              </w:rPr>
              <w:t>Number)</w:t>
            </w:r>
          </w:p>
        </w:tc>
        <w:tc>
          <w:tcPr>
            <w:tcW w:w="35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603"/>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1"/>
              </w:rPr>
              <w:t>410 North Michigan Avenue</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16"/>
        </w:trPr>
        <w:tc>
          <w:tcPr>
            <w:tcW w:w="430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88"/>
              </w:rPr>
              <w:t>Suite 400</w:t>
            </w: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34"/>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89"/>
              </w:rPr>
              <w:t>Chicago, Illinois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right"/>
              <w:ind w:right="2170"/>
              <w:spacing w:after="0"/>
              <w:rPr>
                <w:sz w:val="20"/>
                <w:szCs w:val="20"/>
                <w:color w:val="auto"/>
              </w:rPr>
            </w:pPr>
            <w:r>
              <w:rPr>
                <w:rFonts w:ascii="Arial" w:cs="Arial" w:eastAsia="Arial" w:hAnsi="Arial"/>
                <w:sz w:val="18"/>
                <w:szCs w:val="18"/>
                <w:b w:val="1"/>
                <w:bCs w:val="1"/>
                <w:color w:val="auto"/>
              </w:rPr>
              <w:t>60611-4213</w:t>
            </w:r>
          </w:p>
        </w:tc>
      </w:tr>
      <w:tr>
        <w:trPr>
          <w:trHeight w:val="27"/>
        </w:trPr>
        <w:tc>
          <w:tcPr>
            <w:tcW w:w="43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4300" w:type="dxa"/>
            <w:vAlign w:val="bottom"/>
            <w:gridSpan w:val="3"/>
          </w:tcPr>
          <w:p>
            <w:pPr>
              <w:jc w:val="center"/>
              <w:ind w:left="990"/>
              <w:spacing w:after="0"/>
              <w:rPr>
                <w:sz w:val="20"/>
                <w:szCs w:val="20"/>
                <w:color w:val="auto"/>
              </w:rPr>
            </w:pPr>
            <w:r>
              <w:rPr>
                <w:rFonts w:ascii="Arial" w:cs="Arial" w:eastAsia="Arial" w:hAnsi="Arial"/>
                <w:sz w:val="18"/>
                <w:szCs w:val="18"/>
                <w:color w:val="auto"/>
                <w:w w:val="92"/>
              </w:rPr>
              <w:t>(Address of principal executive offices)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center"/>
              <w:ind w:right="1750"/>
              <w:spacing w:after="0"/>
              <w:rPr>
                <w:sz w:val="20"/>
                <w:szCs w:val="20"/>
                <w:color w:val="auto"/>
              </w:rPr>
            </w:pPr>
            <w:r>
              <w:rPr>
                <w:rFonts w:ascii="Arial" w:cs="Arial" w:eastAsia="Arial" w:hAnsi="Arial"/>
                <w:sz w:val="18"/>
                <w:szCs w:val="18"/>
                <w:color w:val="auto"/>
                <w:w w:val="94"/>
              </w:rPr>
              <w:t>(Zip Code)</w:t>
            </w:r>
          </w:p>
        </w:tc>
      </w:tr>
      <w:tr>
        <w:trPr>
          <w:trHeight w:val="621"/>
        </w:trPr>
        <w:tc>
          <w:tcPr>
            <w:tcW w:w="4300" w:type="dxa"/>
            <w:vAlign w:val="bottom"/>
            <w:gridSpan w:val="3"/>
          </w:tcPr>
          <w:p>
            <w:pPr>
              <w:ind w:left="40"/>
              <w:spacing w:after="0"/>
              <w:rPr>
                <w:sz w:val="20"/>
                <w:szCs w:val="20"/>
                <w:color w:val="auto"/>
              </w:rPr>
            </w:pPr>
            <w:r>
              <w:rPr>
                <w:rFonts w:ascii="Arial" w:cs="Arial" w:eastAsia="Arial" w:hAnsi="Arial"/>
                <w:sz w:val="18"/>
                <w:szCs w:val="18"/>
                <w:color w:val="auto"/>
              </w:rPr>
              <w:t>Registrant’s telephone number, including area code</w:t>
            </w:r>
          </w:p>
        </w:tc>
        <w:tc>
          <w:tcPr>
            <w:tcW w:w="314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(312) 321-1515</w:t>
            </w: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7"/>
        </w:trPr>
        <w:tc>
          <w:tcPr>
            <w:tcW w:w="3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33" w:lineRule="exact"/>
        <w:rPr>
          <w:sz w:val="24"/>
          <w:szCs w:val="24"/>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20"/>
          </w:cols>
          <w:pgMar w:left="240" w:top="688" w:right="239" w:bottom="1440" w:gutter="0" w:footer="0" w:header="0"/>
        </w:sectPr>
      </w:pPr>
    </w:p>
    <w:bookmarkStart w:id="1" w:name="page2"/>
    <w:bookmarkEnd w:id="1"/>
    <w:p>
      <w:pPr>
        <w:ind w:left="260"/>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12, 2018, Oil-Dri Corporation of America (the “Registrant”) issued a press release announcing its results of operations for its fourth quarter and fiscal year ended July 31, 2018. A copy of the press release is attached as Exhibit 99.1 and the information contained therein is incorporated herein by reference. The information contained in this Item 2.02, including Exhibit 99.1, shall not be deemed “filed” for purposes of Section 18 of the Securities Exchange Act of 1934 (the “Exchange Act”), and it shall not be deemed incorporated by reference into any filing under the Exchange Act or the Securities Act of 1933, as amended, except as shall be expressly set forth by specific reference in such filing.</w:t>
      </w:r>
    </w:p>
    <w:p>
      <w:pPr>
        <w:spacing w:after="0" w:line="346" w:lineRule="exact"/>
        <w:rPr>
          <w:sz w:val="20"/>
          <w:szCs w:val="20"/>
          <w:color w:val="auto"/>
        </w:rPr>
      </w:pPr>
    </w:p>
    <w:p>
      <w:pPr>
        <w:ind w:left="260"/>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660" w:hanging="63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9700" w:type="dxa"/>
            <w:vAlign w:val="bottom"/>
          </w:tcPr>
          <w:p>
            <w:pPr>
              <w:spacing w:after="0"/>
              <w:rPr>
                <w:sz w:val="20"/>
                <w:szCs w:val="20"/>
                <w:color w:val="auto"/>
              </w:rPr>
            </w:pPr>
          </w:p>
        </w:tc>
      </w:tr>
      <w:tr>
        <w:trPr>
          <w:trHeight w:val="270"/>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9700" w:type="dxa"/>
            <w:vAlign w:val="bottom"/>
          </w:tcPr>
          <w:p>
            <w:pPr>
              <w:ind w:left="4020"/>
              <w:spacing w:after="0"/>
              <w:rPr>
                <w:sz w:val="20"/>
                <w:szCs w:val="20"/>
                <w:color w:val="auto"/>
              </w:rPr>
            </w:pPr>
            <w:r>
              <w:rPr>
                <w:rFonts w:ascii="Arial" w:cs="Arial" w:eastAsia="Arial" w:hAnsi="Arial"/>
                <w:sz w:val="18"/>
                <w:szCs w:val="18"/>
                <w:color w:val="auto"/>
              </w:rPr>
              <w:t>Description of Exhibits</w:t>
            </w:r>
          </w:p>
        </w:tc>
      </w:tr>
      <w:tr>
        <w:trPr>
          <w:trHeight w:val="27"/>
        </w:trPr>
        <w:tc>
          <w:tcPr>
            <w:tcW w:w="12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9700" w:type="dxa"/>
            <w:vAlign w:val="bottom"/>
            <w:tcBorders>
              <w:bottom w:val="single" w:sz="8" w:color="auto"/>
            </w:tcBorders>
          </w:tcPr>
          <w:p>
            <w:pPr>
              <w:spacing w:after="0"/>
              <w:rPr>
                <w:sz w:val="2"/>
                <w:szCs w:val="2"/>
                <w:color w:val="auto"/>
              </w:rPr>
            </w:pPr>
          </w:p>
        </w:tc>
      </w:tr>
      <w:tr>
        <w:trPr>
          <w:trHeight w:val="507"/>
        </w:trPr>
        <w:tc>
          <w:tcPr>
            <w:tcW w:w="1280" w:type="dxa"/>
            <w:vAlign w:val="bottom"/>
          </w:tcPr>
          <w:p>
            <w:pPr>
              <w:jc w:val="right"/>
              <w:ind w:right="30"/>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Press Release of the Registrant dated October 12, 2018</w:t>
            </w:r>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5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OIL-DRI CORPORATION OF AMERICA</w:t>
      </w:r>
    </w:p>
    <w:p>
      <w:pPr>
        <w:spacing w:after="0" w:line="333" w:lineRule="exact"/>
        <w:rPr>
          <w:sz w:val="20"/>
          <w:szCs w:val="20"/>
          <w:color w:val="auto"/>
        </w:rPr>
      </w:pPr>
    </w:p>
    <w:p>
      <w:pPr>
        <w:ind w:left="55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Laura G. Scheland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Laura G. Scheland</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Vice President and General Counsel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October 12, 2018</w:t>
      </w:r>
    </w:p>
    <w:p>
      <w:pPr>
        <w:sectPr>
          <w:pgSz w:w="11900" w:h="16838" w:orient="portrait"/>
          <w:cols w:equalWidth="0" w:num="1">
            <w:col w:w="10880"/>
          </w:cols>
          <w:pgMar w:left="240" w:top="580" w:right="7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60" w:type="dxa"/>
            <w:vAlign w:val="bottom"/>
            <w:gridSpan w:val="4"/>
          </w:tcPr>
          <w:p>
            <w:pPr>
              <w:ind w:left="3460"/>
              <w:spacing w:after="0"/>
              <w:rPr>
                <w:sz w:val="20"/>
                <w:szCs w:val="20"/>
                <w:color w:val="auto"/>
              </w:rPr>
            </w:pPr>
            <w:r>
              <w:rPr>
                <w:rFonts w:ascii="Arial" w:cs="Arial" w:eastAsia="Arial" w:hAnsi="Arial"/>
                <w:sz w:val="18"/>
                <w:szCs w:val="18"/>
                <w:color w:val="auto"/>
              </w:rPr>
              <w:t>Exhibit Index</w:t>
            </w:r>
          </w:p>
        </w:tc>
      </w:tr>
      <w:tr>
        <w:trPr>
          <w:trHeight w:val="615"/>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5220" w:type="dxa"/>
            <w:vAlign w:val="bottom"/>
          </w:tcPr>
          <w:p>
            <w:pPr>
              <w:spacing w:after="0"/>
              <w:rPr>
                <w:sz w:val="24"/>
                <w:szCs w:val="24"/>
                <w:color w:val="auto"/>
              </w:rPr>
            </w:pPr>
          </w:p>
        </w:tc>
      </w:tr>
      <w:tr>
        <w:trPr>
          <w:trHeight w:val="270"/>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4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Description of Exhibits</w:t>
            </w:r>
          </w:p>
        </w:tc>
      </w:tr>
      <w:tr>
        <w:trPr>
          <w:trHeight w:val="27"/>
        </w:trPr>
        <w:tc>
          <w:tcPr>
            <w:tcW w:w="12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466"/>
        </w:trPr>
        <w:tc>
          <w:tcPr>
            <w:tcW w:w="1280" w:type="dxa"/>
            <w:vAlign w:val="bottom"/>
          </w:tcPr>
          <w:p>
            <w:pPr>
              <w:jc w:val="right"/>
              <w:ind w:right="30"/>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60" w:type="dxa"/>
            <w:vAlign w:val="bottom"/>
            <w:tcBorders>
              <w:bottom w:val="single" w:sz="8" w:color="0000FF"/>
            </w:tcBorders>
            <w:gridSpan w:val="2"/>
          </w:tcPr>
          <w:p>
            <w:pPr>
              <w:spacing w:after="0"/>
              <w:rPr>
                <w:rFonts w:ascii="Arial" w:cs="Arial" w:eastAsia="Arial" w:hAnsi="Arial"/>
                <w:sz w:val="18"/>
                <w:szCs w:val="18"/>
                <w:color w:val="0000FF"/>
                <w:w w:val="87"/>
              </w:rPr>
            </w:pPr>
            <w:hyperlink w:anchor="page5">
              <w:r>
                <w:rPr>
                  <w:rFonts w:ascii="Arial" w:cs="Arial" w:eastAsia="Arial" w:hAnsi="Arial"/>
                  <w:sz w:val="18"/>
                  <w:szCs w:val="18"/>
                  <w:color w:val="0000FF"/>
                  <w:w w:val="87"/>
                </w:rPr>
                <w:t>Press Release of the Registrant dated October 12, 2018</w:t>
              </w:r>
            </w:hyperlink>
          </w:p>
        </w:tc>
        <w:tc>
          <w:tcPr>
            <w:tcW w:w="5700" w:type="dxa"/>
            <w:vAlign w:val="bottom"/>
            <w:gridSpan w:val="2"/>
          </w:tcPr>
          <w:p>
            <w:pPr>
              <w:spacing w:after="0"/>
              <w:rPr>
                <w:sz w:val="24"/>
                <w:szCs w:val="24"/>
                <w:color w:val="auto"/>
              </w:rPr>
            </w:pPr>
          </w:p>
        </w:tc>
      </w:tr>
    </w:tbl>
    <w:p>
      <w:pPr>
        <w:sectPr>
          <w:pgSz w:w="11900" w:h="16838" w:orient="portrait"/>
          <w:cols w:equalWidth="0" w:num="1">
            <w:col w:w="11420"/>
          </w:cols>
          <w:pgMar w:left="240" w:top="567" w:right="23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5"/>
          <w:szCs w:val="15"/>
          <w:i w:val="1"/>
          <w:iCs w:val="1"/>
          <w:color w:val="002D69"/>
        </w:rPr>
        <w:drawing>
          <wp:anchor simplePos="0" relativeHeight="251657728" behindDoc="1" locked="0" layoutInCell="0" allowOverlap="1">
            <wp:simplePos x="0" y="0"/>
            <wp:positionH relativeFrom="page">
              <wp:posOffset>3047365</wp:posOffset>
            </wp:positionH>
            <wp:positionV relativeFrom="page">
              <wp:posOffset>294640</wp:posOffset>
            </wp:positionV>
            <wp:extent cx="1475105" cy="488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t>410 N. Michigan Ave. Chicago, Illinois 60611, U.S.A</w:t>
      </w:r>
    </w:p>
    <w:p>
      <w:pPr>
        <w:spacing w:after="0" w:line="286"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002D69"/>
        </w:rPr>
        <w:t>News Announcement</w:t>
      </w:r>
    </w:p>
    <w:p>
      <w:pPr>
        <w:spacing w:after="0" w:line="28" w:lineRule="exact"/>
        <w:rPr>
          <w:sz w:val="20"/>
          <w:szCs w:val="20"/>
          <w:color w:val="auto"/>
        </w:rPr>
      </w:pPr>
    </w:p>
    <w:p>
      <w:pPr>
        <w:ind w:left="4700"/>
        <w:spacing w:after="0"/>
        <w:rPr>
          <w:sz w:val="20"/>
          <w:szCs w:val="20"/>
          <w:color w:val="auto"/>
        </w:rPr>
      </w:pPr>
      <w:r>
        <w:rPr>
          <w:rFonts w:ascii="Arial" w:cs="Arial" w:eastAsia="Arial" w:hAnsi="Arial"/>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0360"/>
        <w:spacing w:after="0"/>
        <w:rPr>
          <w:sz w:val="20"/>
          <w:szCs w:val="20"/>
          <w:color w:val="auto"/>
        </w:rPr>
      </w:pPr>
      <w:r>
        <w:rPr>
          <w:rFonts w:ascii="Arial" w:cs="Arial" w:eastAsia="Arial" w:hAnsi="Arial"/>
          <w:sz w:val="19"/>
          <w:szCs w:val="19"/>
          <w:color w:val="auto"/>
        </w:rPr>
        <w:t>Exhibit 99.1</w:t>
      </w: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Oil-Dri Announces Fourth Quarter and Fiscal 2018 Results</w:t>
      </w:r>
    </w:p>
    <w:p>
      <w:pPr>
        <w:spacing w:after="0" w:line="266" w:lineRule="exact"/>
        <w:rPr>
          <w:sz w:val="20"/>
          <w:szCs w:val="20"/>
          <w:color w:val="auto"/>
        </w:rPr>
      </w:pPr>
    </w:p>
    <w:p>
      <w:pPr>
        <w:ind w:right="860"/>
        <w:spacing w:after="0" w:line="263" w:lineRule="auto"/>
        <w:rPr>
          <w:sz w:val="20"/>
          <w:szCs w:val="20"/>
          <w:color w:val="auto"/>
        </w:rPr>
      </w:pPr>
      <w:r>
        <w:rPr>
          <w:rFonts w:ascii="Arial" w:cs="Arial" w:eastAsia="Arial" w:hAnsi="Arial"/>
          <w:sz w:val="22"/>
          <w:szCs w:val="22"/>
          <w:color w:val="auto"/>
        </w:rPr>
        <w:t>CHICAGO-(October 12, 2018)-Oil-Dri Corporation of America (NYSE: ODC), producer and marketer of sorbent mineral products, announced today its fourth quarter and fiscal year 2018 earnings.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306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Fourth Quarter</w:t>
            </w:r>
          </w:p>
        </w:tc>
        <w:tc>
          <w:tcPr>
            <w:tcW w:w="9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60" w:type="dxa"/>
            <w:vAlign w:val="bottom"/>
          </w:tcPr>
          <w:p>
            <w:pPr>
              <w:jc w:val="right"/>
              <w:ind w:right="650"/>
              <w:spacing w:after="0"/>
              <w:rPr>
                <w:sz w:val="20"/>
                <w:szCs w:val="20"/>
                <w:color w:val="auto"/>
              </w:rPr>
            </w:pPr>
            <w:r>
              <w:rPr>
                <w:rFonts w:ascii="Arial" w:cs="Arial" w:eastAsia="Arial" w:hAnsi="Arial"/>
                <w:sz w:val="18"/>
                <w:szCs w:val="18"/>
                <w:b w:val="1"/>
                <w:bCs w:val="1"/>
                <w:color w:val="auto"/>
                <w:w w:val="94"/>
              </w:rPr>
              <w:t>Fiscal Year</w:t>
            </w:r>
          </w:p>
        </w:tc>
        <w:tc>
          <w:tcPr>
            <w:tcW w:w="960" w:type="dxa"/>
            <w:vAlign w:val="bottom"/>
          </w:tcPr>
          <w:p>
            <w:pPr>
              <w:spacing w:after="0"/>
              <w:rPr>
                <w:sz w:val="20"/>
                <w:szCs w:val="20"/>
                <w:color w:val="auto"/>
              </w:rPr>
            </w:pPr>
          </w:p>
        </w:tc>
      </w:tr>
      <w:tr>
        <w:trPr>
          <w:trHeight w:val="285"/>
        </w:trPr>
        <w:tc>
          <w:tcPr>
            <w:tcW w:w="3220" w:type="dxa"/>
            <w:vAlign w:val="bottom"/>
          </w:tcPr>
          <w:p>
            <w:pPr>
              <w:spacing w:after="0"/>
              <w:rPr>
                <w:sz w:val="24"/>
                <w:szCs w:val="24"/>
                <w:color w:val="auto"/>
              </w:rPr>
            </w:pPr>
          </w:p>
        </w:tc>
        <w:tc>
          <w:tcPr>
            <w:tcW w:w="3060" w:type="dxa"/>
            <w:vAlign w:val="bottom"/>
            <w:gridSpan w:val="2"/>
          </w:tcPr>
          <w:p>
            <w:pPr>
              <w:jc w:val="right"/>
              <w:ind w:right="390"/>
              <w:spacing w:after="0"/>
              <w:rPr>
                <w:sz w:val="20"/>
                <w:szCs w:val="20"/>
                <w:color w:val="auto"/>
              </w:rPr>
            </w:pPr>
            <w:r>
              <w:rPr>
                <w:rFonts w:ascii="Arial" w:cs="Arial" w:eastAsia="Arial" w:hAnsi="Arial"/>
                <w:sz w:val="14"/>
                <w:szCs w:val="14"/>
                <w:i w:val="1"/>
                <w:iCs w:val="1"/>
                <w:color w:val="auto"/>
              </w:rPr>
              <w:t>Ended July 31, 2018</w:t>
            </w:r>
          </w:p>
        </w:tc>
        <w:tc>
          <w:tcPr>
            <w:tcW w:w="940" w:type="dxa"/>
            <w:vAlign w:val="bottom"/>
          </w:tcPr>
          <w:p>
            <w:pPr>
              <w:spacing w:after="0"/>
              <w:rPr>
                <w:sz w:val="24"/>
                <w:szCs w:val="24"/>
                <w:color w:val="auto"/>
              </w:rPr>
            </w:pPr>
          </w:p>
        </w:tc>
        <w:tc>
          <w:tcPr>
            <w:tcW w:w="3260" w:type="dxa"/>
            <w:vAlign w:val="bottom"/>
            <w:gridSpan w:val="2"/>
          </w:tcPr>
          <w:p>
            <w:pPr>
              <w:jc w:val="right"/>
              <w:ind w:right="490"/>
              <w:spacing w:after="0"/>
              <w:rPr>
                <w:sz w:val="20"/>
                <w:szCs w:val="20"/>
                <w:color w:val="auto"/>
              </w:rPr>
            </w:pPr>
            <w:r>
              <w:rPr>
                <w:rFonts w:ascii="Arial" w:cs="Arial" w:eastAsia="Arial" w:hAnsi="Arial"/>
                <w:sz w:val="14"/>
                <w:szCs w:val="14"/>
                <w:i w:val="1"/>
                <w:iCs w:val="1"/>
                <w:color w:val="auto"/>
              </w:rPr>
              <w:t>Ended July 31, 2018</w:t>
            </w:r>
          </w:p>
        </w:tc>
        <w:tc>
          <w:tcPr>
            <w:tcW w:w="960" w:type="dxa"/>
            <w:vAlign w:val="bottom"/>
          </w:tcPr>
          <w:p>
            <w:pPr>
              <w:spacing w:after="0"/>
              <w:rPr>
                <w:sz w:val="24"/>
                <w:szCs w:val="24"/>
                <w:color w:val="auto"/>
              </w:rPr>
            </w:pPr>
          </w:p>
        </w:tc>
      </w:tr>
      <w:tr>
        <w:trPr>
          <w:trHeight w:val="336"/>
        </w:trPr>
        <w:tc>
          <w:tcPr>
            <w:tcW w:w="322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37"/>
        </w:trPr>
        <w:tc>
          <w:tcPr>
            <w:tcW w:w="3220" w:type="dxa"/>
            <w:vAlign w:val="bottom"/>
            <w:tcBorders>
              <w:right w:val="single" w:sz="8" w:color="auto"/>
            </w:tcBorders>
          </w:tcPr>
          <w:p>
            <w:pPr>
              <w:spacing w:after="0"/>
              <w:rPr>
                <w:sz w:val="20"/>
                <w:szCs w:val="20"/>
                <w:color w:val="auto"/>
              </w:rPr>
            </w:pPr>
          </w:p>
        </w:tc>
        <w:tc>
          <w:tcPr>
            <w:tcW w:w="1740" w:type="dxa"/>
            <w:vAlign w:val="bottom"/>
          </w:tcPr>
          <w:p>
            <w:pPr>
              <w:jc w:val="right"/>
              <w:ind w:right="772"/>
              <w:spacing w:after="0"/>
              <w:rPr>
                <w:sz w:val="20"/>
                <w:szCs w:val="20"/>
                <w:color w:val="auto"/>
              </w:rPr>
            </w:pPr>
            <w:r>
              <w:rPr>
                <w:rFonts w:ascii="Arial" w:cs="Arial" w:eastAsia="Arial" w:hAnsi="Arial"/>
                <w:sz w:val="18"/>
                <w:szCs w:val="18"/>
                <w:b w:val="1"/>
                <w:bCs w:val="1"/>
                <w:color w:val="auto"/>
              </w:rPr>
              <w:t>F18</w:t>
            </w:r>
          </w:p>
        </w:tc>
        <w:tc>
          <w:tcPr>
            <w:tcW w:w="1320" w:type="dxa"/>
            <w:vAlign w:val="bottom"/>
          </w:tcPr>
          <w:p>
            <w:pPr>
              <w:jc w:val="right"/>
              <w:ind w:right="610"/>
              <w:spacing w:after="0"/>
              <w:rPr>
                <w:sz w:val="20"/>
                <w:szCs w:val="20"/>
                <w:color w:val="auto"/>
              </w:rPr>
            </w:pPr>
            <w:r>
              <w:rPr>
                <w:rFonts w:ascii="Arial" w:cs="Arial" w:eastAsia="Arial" w:hAnsi="Arial"/>
                <w:sz w:val="18"/>
                <w:szCs w:val="18"/>
                <w:b w:val="1"/>
                <w:bCs w:val="1"/>
                <w:color w:val="auto"/>
              </w:rPr>
              <w:t>F17</w:t>
            </w:r>
          </w:p>
        </w:tc>
        <w:tc>
          <w:tcPr>
            <w:tcW w:w="9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Change</w:t>
            </w:r>
          </w:p>
        </w:tc>
        <w:tc>
          <w:tcPr>
            <w:tcW w:w="1600" w:type="dxa"/>
            <w:vAlign w:val="bottom"/>
          </w:tcPr>
          <w:p>
            <w:pPr>
              <w:jc w:val="right"/>
              <w:ind w:right="572"/>
              <w:spacing w:after="0"/>
              <w:rPr>
                <w:sz w:val="20"/>
                <w:szCs w:val="20"/>
                <w:color w:val="auto"/>
              </w:rPr>
            </w:pPr>
            <w:r>
              <w:rPr>
                <w:rFonts w:ascii="Arial" w:cs="Arial" w:eastAsia="Arial" w:hAnsi="Arial"/>
                <w:sz w:val="18"/>
                <w:szCs w:val="18"/>
                <w:b w:val="1"/>
                <w:bCs w:val="1"/>
                <w:color w:val="auto"/>
              </w:rPr>
              <w:t>F18</w:t>
            </w:r>
          </w:p>
        </w:tc>
        <w:tc>
          <w:tcPr>
            <w:tcW w:w="1660" w:type="dxa"/>
            <w:vAlign w:val="bottom"/>
          </w:tcPr>
          <w:p>
            <w:pPr>
              <w:jc w:val="right"/>
              <w:ind w:right="650"/>
              <w:spacing w:after="0"/>
              <w:rPr>
                <w:sz w:val="20"/>
                <w:szCs w:val="20"/>
                <w:color w:val="auto"/>
              </w:rPr>
            </w:pPr>
            <w:r>
              <w:rPr>
                <w:rFonts w:ascii="Arial" w:cs="Arial" w:eastAsia="Arial" w:hAnsi="Arial"/>
                <w:sz w:val="18"/>
                <w:szCs w:val="18"/>
                <w:b w:val="1"/>
                <w:bCs w:val="1"/>
                <w:color w:val="auto"/>
              </w:rPr>
              <w:t>F17</w:t>
            </w:r>
          </w:p>
        </w:tc>
        <w:tc>
          <w:tcPr>
            <w:tcW w:w="960" w:type="dxa"/>
            <w:vAlign w:val="bottom"/>
            <w:tcBorders>
              <w:right w:val="single" w:sz="8" w:color="auto"/>
            </w:tcBorders>
          </w:tcPr>
          <w:p>
            <w:pPr>
              <w:ind w:left="140"/>
              <w:spacing w:after="0"/>
              <w:rPr>
                <w:sz w:val="20"/>
                <w:szCs w:val="20"/>
                <w:color w:val="auto"/>
              </w:rPr>
            </w:pPr>
            <w:r>
              <w:rPr>
                <w:rFonts w:ascii="Arial" w:cs="Arial" w:eastAsia="Arial" w:hAnsi="Arial"/>
                <w:sz w:val="18"/>
                <w:szCs w:val="18"/>
                <w:b w:val="1"/>
                <w:bCs w:val="1"/>
                <w:color w:val="auto"/>
              </w:rPr>
              <w:t>Change</w:t>
            </w:r>
          </w:p>
        </w:tc>
      </w:tr>
      <w:tr>
        <w:trPr>
          <w:trHeight w:val="27"/>
        </w:trPr>
        <w:tc>
          <w:tcPr>
            <w:tcW w:w="3220" w:type="dxa"/>
            <w:vAlign w:val="bottom"/>
            <w:tcBorders>
              <w:right w:val="single" w:sz="8" w:color="auto"/>
            </w:tcBorders>
          </w:tcPr>
          <w:p>
            <w:pPr>
              <w:spacing w:after="0"/>
              <w:rPr>
                <w:sz w:val="2"/>
                <w:szCs w:val="2"/>
                <w:color w:val="auto"/>
              </w:rPr>
            </w:pPr>
          </w:p>
        </w:tc>
        <w:tc>
          <w:tcPr>
            <w:tcW w:w="1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1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r>
      <w:tr>
        <w:trPr>
          <w:trHeight w:val="250"/>
        </w:trPr>
        <w:tc>
          <w:tcPr>
            <w:tcW w:w="3220" w:type="dxa"/>
            <w:vAlign w:val="bottom"/>
            <w:tcBorders>
              <w:bottom w:val="single" w:sz="8" w:color="auto"/>
              <w:right w:val="single" w:sz="8" w:color="auto"/>
            </w:tcBorders>
            <w:shd w:val="clear" w:color="auto" w:fill="000000"/>
          </w:tcPr>
          <w:p>
            <w:pPr>
              <w:ind w:left="40"/>
              <w:spacing w:after="0"/>
              <w:rPr>
                <w:sz w:val="20"/>
                <w:szCs w:val="20"/>
                <w:color w:val="auto"/>
              </w:rPr>
            </w:pPr>
            <w:r>
              <w:rPr>
                <w:rFonts w:ascii="Arial" w:cs="Arial" w:eastAsia="Arial" w:hAnsi="Arial"/>
                <w:sz w:val="18"/>
                <w:szCs w:val="18"/>
                <w:color w:val="FFFFFF"/>
              </w:rPr>
              <w:t>Consolidated Results</w:t>
            </w:r>
          </w:p>
        </w:tc>
        <w:tc>
          <w:tcPr>
            <w:tcW w:w="1740" w:type="dxa"/>
            <w:vAlign w:val="bottom"/>
            <w:tcBorders>
              <w:bottom w:val="single" w:sz="8" w:color="auto"/>
            </w:tcBorders>
            <w:shd w:val="clear" w:color="auto" w:fill="000000"/>
          </w:tcPr>
          <w:p>
            <w:pPr>
              <w:spacing w:after="0"/>
              <w:rPr>
                <w:sz w:val="21"/>
                <w:szCs w:val="21"/>
                <w:color w:val="auto"/>
              </w:rPr>
            </w:pPr>
          </w:p>
        </w:tc>
        <w:tc>
          <w:tcPr>
            <w:tcW w:w="1320" w:type="dxa"/>
            <w:vAlign w:val="bottom"/>
            <w:tcBorders>
              <w:bottom w:val="single" w:sz="8" w:color="auto"/>
            </w:tcBorders>
            <w:shd w:val="clear" w:color="auto" w:fill="000000"/>
          </w:tcPr>
          <w:p>
            <w:pPr>
              <w:spacing w:after="0"/>
              <w:rPr>
                <w:sz w:val="21"/>
                <w:szCs w:val="21"/>
                <w:color w:val="auto"/>
              </w:rPr>
            </w:pPr>
          </w:p>
        </w:tc>
        <w:tc>
          <w:tcPr>
            <w:tcW w:w="940" w:type="dxa"/>
            <w:vAlign w:val="bottom"/>
            <w:tcBorders>
              <w:bottom w:val="single" w:sz="8" w:color="auto"/>
              <w:right w:val="single" w:sz="8" w:color="auto"/>
            </w:tcBorders>
            <w:shd w:val="clear" w:color="auto" w:fill="000000"/>
          </w:tcPr>
          <w:p>
            <w:pPr>
              <w:spacing w:after="0"/>
              <w:rPr>
                <w:sz w:val="21"/>
                <w:szCs w:val="21"/>
                <w:color w:val="auto"/>
              </w:rPr>
            </w:pPr>
          </w:p>
        </w:tc>
        <w:tc>
          <w:tcPr>
            <w:tcW w:w="1600" w:type="dxa"/>
            <w:vAlign w:val="bottom"/>
            <w:tcBorders>
              <w:bottom w:val="single" w:sz="8" w:color="auto"/>
            </w:tcBorders>
            <w:shd w:val="clear" w:color="auto" w:fill="000000"/>
          </w:tcPr>
          <w:p>
            <w:pPr>
              <w:spacing w:after="0"/>
              <w:rPr>
                <w:sz w:val="21"/>
                <w:szCs w:val="21"/>
                <w:color w:val="auto"/>
              </w:rPr>
            </w:pPr>
          </w:p>
        </w:tc>
        <w:tc>
          <w:tcPr>
            <w:tcW w:w="1660" w:type="dxa"/>
            <w:vAlign w:val="bottom"/>
            <w:tcBorders>
              <w:bottom w:val="single" w:sz="8" w:color="auto"/>
            </w:tcBorders>
            <w:shd w:val="clear" w:color="auto" w:fill="000000"/>
          </w:tcPr>
          <w:p>
            <w:pPr>
              <w:spacing w:after="0"/>
              <w:rPr>
                <w:sz w:val="21"/>
                <w:szCs w:val="21"/>
                <w:color w:val="auto"/>
              </w:rPr>
            </w:pPr>
          </w:p>
        </w:tc>
        <w:tc>
          <w:tcPr>
            <w:tcW w:w="960" w:type="dxa"/>
            <w:vAlign w:val="bottom"/>
            <w:tcBorders>
              <w:bottom w:val="single" w:sz="8" w:color="auto"/>
              <w:right w:val="single" w:sz="8" w:color="auto"/>
            </w:tcBorders>
            <w:shd w:val="clear" w:color="auto" w:fill="000000"/>
          </w:tcPr>
          <w:p>
            <w:pPr>
              <w:spacing w:after="0"/>
              <w:rPr>
                <w:sz w:val="21"/>
                <w:szCs w:val="21"/>
                <w:color w:val="auto"/>
              </w:rPr>
            </w:pPr>
          </w:p>
        </w:tc>
      </w:tr>
      <w:tr>
        <w:trPr>
          <w:trHeight w:val="243"/>
        </w:trPr>
        <w:tc>
          <w:tcPr>
            <w:tcW w:w="3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Net Sales</w:t>
            </w:r>
          </w:p>
        </w:tc>
        <w:tc>
          <w:tcPr>
            <w:tcW w:w="1740" w:type="dxa"/>
            <w:vAlign w:val="bottom"/>
          </w:tcPr>
          <w:p>
            <w:pPr>
              <w:jc w:val="right"/>
              <w:ind w:right="212"/>
              <w:spacing w:after="0"/>
              <w:rPr>
                <w:sz w:val="20"/>
                <w:szCs w:val="20"/>
                <w:color w:val="auto"/>
              </w:rPr>
            </w:pPr>
            <w:r>
              <w:rPr>
                <w:rFonts w:ascii="Arial" w:cs="Arial" w:eastAsia="Arial" w:hAnsi="Arial"/>
                <w:sz w:val="18"/>
                <w:szCs w:val="18"/>
                <w:color w:val="auto"/>
              </w:rPr>
              <w:t>$65,613,000</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$65,776,000</w:t>
            </w:r>
          </w:p>
        </w:tc>
        <w:tc>
          <w:tcPr>
            <w:tcW w:w="9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$266,000,000</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$262,307,000</w:t>
            </w:r>
          </w:p>
        </w:tc>
        <w:tc>
          <w:tcPr>
            <w:tcW w:w="9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2"/>
              </w:rPr>
              <w:t>1%</w:t>
            </w:r>
          </w:p>
        </w:tc>
      </w:tr>
      <w:tr>
        <w:trPr>
          <w:trHeight w:val="270"/>
        </w:trPr>
        <w:tc>
          <w:tcPr>
            <w:tcW w:w="3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Net Income Attributable to Oil-Dri</w:t>
            </w:r>
          </w:p>
        </w:tc>
        <w:tc>
          <w:tcPr>
            <w:tcW w:w="1740" w:type="dxa"/>
            <w:vAlign w:val="bottom"/>
          </w:tcPr>
          <w:p>
            <w:pPr>
              <w:jc w:val="right"/>
              <w:ind w:right="212"/>
              <w:spacing w:after="0"/>
              <w:rPr>
                <w:sz w:val="20"/>
                <w:szCs w:val="20"/>
                <w:color w:val="auto"/>
              </w:rPr>
            </w:pPr>
            <w:r>
              <w:rPr>
                <w:rFonts w:ascii="Arial" w:cs="Arial" w:eastAsia="Arial" w:hAnsi="Arial"/>
                <w:sz w:val="18"/>
                <w:szCs w:val="18"/>
                <w:color w:val="auto"/>
              </w:rPr>
              <w:t>$2,701,000</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$1,322,000</w:t>
            </w:r>
          </w:p>
        </w:tc>
        <w:tc>
          <w:tcPr>
            <w:tcW w:w="9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1"/>
              </w:rPr>
              <w:t>104%</w:t>
            </w:r>
          </w:p>
        </w:tc>
        <w:tc>
          <w:tcPr>
            <w:tcW w:w="1600" w:type="dxa"/>
            <w:vAlign w:val="bottom"/>
          </w:tcPr>
          <w:p>
            <w:pPr>
              <w:jc w:val="right"/>
              <w:spacing w:after="0"/>
              <w:rPr>
                <w:sz w:val="20"/>
                <w:szCs w:val="20"/>
                <w:color w:val="auto"/>
              </w:rPr>
            </w:pPr>
            <w:r>
              <w:rPr>
                <w:rFonts w:ascii="Arial" w:cs="Arial" w:eastAsia="Arial" w:hAnsi="Arial"/>
                <w:sz w:val="18"/>
                <w:szCs w:val="18"/>
                <w:color w:val="auto"/>
              </w:rPr>
              <w:t>$8,240,000</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$10,792,000</w:t>
            </w:r>
          </w:p>
        </w:tc>
        <w:tc>
          <w:tcPr>
            <w:tcW w:w="9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5"/>
              </w:rPr>
              <w:t>(24)%</w:t>
            </w:r>
          </w:p>
        </w:tc>
      </w:tr>
      <w:tr>
        <w:trPr>
          <w:trHeight w:val="270"/>
        </w:trPr>
        <w:tc>
          <w:tcPr>
            <w:tcW w:w="3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Earnings per Diluted Share</w:t>
            </w:r>
          </w:p>
        </w:tc>
        <w:tc>
          <w:tcPr>
            <w:tcW w:w="1740" w:type="dxa"/>
            <w:vAlign w:val="bottom"/>
          </w:tcPr>
          <w:p>
            <w:pPr>
              <w:jc w:val="right"/>
              <w:ind w:right="212"/>
              <w:spacing w:after="0"/>
              <w:rPr>
                <w:sz w:val="20"/>
                <w:szCs w:val="20"/>
                <w:color w:val="auto"/>
              </w:rPr>
            </w:pPr>
            <w:r>
              <w:rPr>
                <w:rFonts w:ascii="Arial" w:cs="Arial" w:eastAsia="Arial" w:hAnsi="Arial"/>
                <w:sz w:val="18"/>
                <w:szCs w:val="18"/>
                <w:color w:val="auto"/>
              </w:rPr>
              <w:t>$0.36</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$0.18</w:t>
            </w:r>
          </w:p>
        </w:tc>
        <w:tc>
          <w:tcPr>
            <w:tcW w:w="9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1"/>
              </w:rPr>
              <w:t>100%</w:t>
            </w:r>
          </w:p>
        </w:tc>
        <w:tc>
          <w:tcPr>
            <w:tcW w:w="1600" w:type="dxa"/>
            <w:vAlign w:val="bottom"/>
          </w:tcPr>
          <w:p>
            <w:pPr>
              <w:jc w:val="right"/>
              <w:spacing w:after="0"/>
              <w:rPr>
                <w:sz w:val="20"/>
                <w:szCs w:val="20"/>
                <w:color w:val="auto"/>
              </w:rPr>
            </w:pPr>
            <w:r>
              <w:rPr>
                <w:rFonts w:ascii="Arial" w:cs="Arial" w:eastAsia="Arial" w:hAnsi="Arial"/>
                <w:sz w:val="18"/>
                <w:szCs w:val="18"/>
                <w:color w:val="auto"/>
              </w:rPr>
              <w:t>$1.11</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$1.47</w:t>
            </w:r>
          </w:p>
        </w:tc>
        <w:tc>
          <w:tcPr>
            <w:tcW w:w="9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5"/>
              </w:rPr>
              <w:t>(24)%</w:t>
            </w:r>
          </w:p>
        </w:tc>
      </w:tr>
      <w:tr>
        <w:trPr>
          <w:trHeight w:val="27"/>
        </w:trPr>
        <w:tc>
          <w:tcPr>
            <w:tcW w:w="3220" w:type="dxa"/>
            <w:vAlign w:val="bottom"/>
            <w:tcBorders>
              <w:right w:val="single" w:sz="8" w:color="auto"/>
            </w:tcBorders>
          </w:tcPr>
          <w:p>
            <w:pPr>
              <w:spacing w:after="0"/>
              <w:rPr>
                <w:sz w:val="2"/>
                <w:szCs w:val="2"/>
                <w:color w:val="auto"/>
              </w:rPr>
            </w:pPr>
          </w:p>
        </w:tc>
        <w:tc>
          <w:tcPr>
            <w:tcW w:w="1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1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r>
      <w:tr>
        <w:trPr>
          <w:trHeight w:val="250"/>
        </w:trPr>
        <w:tc>
          <w:tcPr>
            <w:tcW w:w="3220" w:type="dxa"/>
            <w:vAlign w:val="bottom"/>
            <w:tcBorders>
              <w:bottom w:val="single" w:sz="8" w:color="auto"/>
              <w:right w:val="single" w:sz="8" w:color="auto"/>
            </w:tcBorders>
            <w:shd w:val="clear" w:color="auto" w:fill="000000"/>
          </w:tcPr>
          <w:p>
            <w:pPr>
              <w:ind w:left="40"/>
              <w:spacing w:after="0"/>
              <w:rPr>
                <w:sz w:val="20"/>
                <w:szCs w:val="20"/>
                <w:color w:val="auto"/>
              </w:rPr>
            </w:pPr>
            <w:r>
              <w:rPr>
                <w:rFonts w:ascii="Arial" w:cs="Arial" w:eastAsia="Arial" w:hAnsi="Arial"/>
                <w:sz w:val="18"/>
                <w:szCs w:val="18"/>
                <w:color w:val="FFFFFF"/>
              </w:rPr>
              <w:t>Business to Business</w:t>
            </w:r>
          </w:p>
        </w:tc>
        <w:tc>
          <w:tcPr>
            <w:tcW w:w="1740" w:type="dxa"/>
            <w:vAlign w:val="bottom"/>
            <w:tcBorders>
              <w:bottom w:val="single" w:sz="8" w:color="auto"/>
            </w:tcBorders>
            <w:shd w:val="clear" w:color="auto" w:fill="000000"/>
          </w:tcPr>
          <w:p>
            <w:pPr>
              <w:spacing w:after="0"/>
              <w:rPr>
                <w:sz w:val="21"/>
                <w:szCs w:val="21"/>
                <w:color w:val="auto"/>
              </w:rPr>
            </w:pPr>
          </w:p>
        </w:tc>
        <w:tc>
          <w:tcPr>
            <w:tcW w:w="1320" w:type="dxa"/>
            <w:vAlign w:val="bottom"/>
            <w:tcBorders>
              <w:bottom w:val="single" w:sz="8" w:color="auto"/>
            </w:tcBorders>
            <w:shd w:val="clear" w:color="auto" w:fill="000000"/>
          </w:tcPr>
          <w:p>
            <w:pPr>
              <w:spacing w:after="0"/>
              <w:rPr>
                <w:sz w:val="21"/>
                <w:szCs w:val="21"/>
                <w:color w:val="auto"/>
              </w:rPr>
            </w:pPr>
          </w:p>
        </w:tc>
        <w:tc>
          <w:tcPr>
            <w:tcW w:w="940" w:type="dxa"/>
            <w:vAlign w:val="bottom"/>
            <w:tcBorders>
              <w:bottom w:val="single" w:sz="8" w:color="auto"/>
              <w:right w:val="single" w:sz="8" w:color="auto"/>
            </w:tcBorders>
            <w:shd w:val="clear" w:color="auto" w:fill="000000"/>
          </w:tcPr>
          <w:p>
            <w:pPr>
              <w:spacing w:after="0"/>
              <w:rPr>
                <w:sz w:val="21"/>
                <w:szCs w:val="21"/>
                <w:color w:val="auto"/>
              </w:rPr>
            </w:pPr>
          </w:p>
        </w:tc>
        <w:tc>
          <w:tcPr>
            <w:tcW w:w="1600" w:type="dxa"/>
            <w:vAlign w:val="bottom"/>
            <w:tcBorders>
              <w:bottom w:val="single" w:sz="8" w:color="auto"/>
            </w:tcBorders>
            <w:shd w:val="clear" w:color="auto" w:fill="000000"/>
          </w:tcPr>
          <w:p>
            <w:pPr>
              <w:spacing w:after="0"/>
              <w:rPr>
                <w:sz w:val="21"/>
                <w:szCs w:val="21"/>
                <w:color w:val="auto"/>
              </w:rPr>
            </w:pPr>
          </w:p>
        </w:tc>
        <w:tc>
          <w:tcPr>
            <w:tcW w:w="1660" w:type="dxa"/>
            <w:vAlign w:val="bottom"/>
            <w:tcBorders>
              <w:bottom w:val="single" w:sz="8" w:color="auto"/>
            </w:tcBorders>
            <w:shd w:val="clear" w:color="auto" w:fill="000000"/>
          </w:tcPr>
          <w:p>
            <w:pPr>
              <w:spacing w:after="0"/>
              <w:rPr>
                <w:sz w:val="21"/>
                <w:szCs w:val="21"/>
                <w:color w:val="auto"/>
              </w:rPr>
            </w:pPr>
          </w:p>
        </w:tc>
        <w:tc>
          <w:tcPr>
            <w:tcW w:w="960" w:type="dxa"/>
            <w:vAlign w:val="bottom"/>
            <w:tcBorders>
              <w:bottom w:val="single" w:sz="8" w:color="auto"/>
              <w:right w:val="single" w:sz="8" w:color="auto"/>
            </w:tcBorders>
            <w:shd w:val="clear" w:color="auto" w:fill="000000"/>
          </w:tcPr>
          <w:p>
            <w:pPr>
              <w:spacing w:after="0"/>
              <w:rPr>
                <w:sz w:val="21"/>
                <w:szCs w:val="21"/>
                <w:color w:val="auto"/>
              </w:rPr>
            </w:pPr>
          </w:p>
        </w:tc>
      </w:tr>
      <w:tr>
        <w:trPr>
          <w:trHeight w:val="243"/>
        </w:trPr>
        <w:tc>
          <w:tcPr>
            <w:tcW w:w="3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Net Sales</w:t>
            </w:r>
          </w:p>
        </w:tc>
        <w:tc>
          <w:tcPr>
            <w:tcW w:w="1740" w:type="dxa"/>
            <w:vAlign w:val="bottom"/>
          </w:tcPr>
          <w:p>
            <w:pPr>
              <w:jc w:val="right"/>
              <w:ind w:right="212"/>
              <w:spacing w:after="0"/>
              <w:rPr>
                <w:sz w:val="20"/>
                <w:szCs w:val="20"/>
                <w:color w:val="auto"/>
              </w:rPr>
            </w:pPr>
            <w:r>
              <w:rPr>
                <w:rFonts w:ascii="Arial" w:cs="Arial" w:eastAsia="Arial" w:hAnsi="Arial"/>
                <w:sz w:val="18"/>
                <w:szCs w:val="18"/>
                <w:color w:val="auto"/>
              </w:rPr>
              <w:t>$25,817,000</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$25,526,000</w:t>
            </w:r>
          </w:p>
        </w:tc>
        <w:tc>
          <w:tcPr>
            <w:tcW w:w="9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2"/>
              </w:rPr>
              <w:t>1%</w:t>
            </w:r>
          </w:p>
        </w:tc>
        <w:tc>
          <w:tcPr>
            <w:tcW w:w="1600" w:type="dxa"/>
            <w:vAlign w:val="bottom"/>
          </w:tcPr>
          <w:p>
            <w:pPr>
              <w:jc w:val="right"/>
              <w:spacing w:after="0"/>
              <w:rPr>
                <w:sz w:val="20"/>
                <w:szCs w:val="20"/>
                <w:color w:val="auto"/>
              </w:rPr>
            </w:pPr>
            <w:r>
              <w:rPr>
                <w:rFonts w:ascii="Arial" w:cs="Arial" w:eastAsia="Arial" w:hAnsi="Arial"/>
                <w:sz w:val="18"/>
                <w:szCs w:val="18"/>
                <w:color w:val="auto"/>
              </w:rPr>
              <w:t>$105,043,000</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$100,419,000</w:t>
            </w:r>
          </w:p>
        </w:tc>
        <w:tc>
          <w:tcPr>
            <w:tcW w:w="9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2"/>
              </w:rPr>
              <w:t>5%</w:t>
            </w:r>
          </w:p>
        </w:tc>
      </w:tr>
      <w:tr>
        <w:trPr>
          <w:trHeight w:val="270"/>
        </w:trPr>
        <w:tc>
          <w:tcPr>
            <w:tcW w:w="3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Segment Operating Income</w:t>
            </w:r>
          </w:p>
        </w:tc>
        <w:tc>
          <w:tcPr>
            <w:tcW w:w="1740" w:type="dxa"/>
            <w:vAlign w:val="bottom"/>
          </w:tcPr>
          <w:p>
            <w:pPr>
              <w:jc w:val="right"/>
              <w:ind w:right="212"/>
              <w:spacing w:after="0"/>
              <w:rPr>
                <w:sz w:val="20"/>
                <w:szCs w:val="20"/>
                <w:color w:val="auto"/>
              </w:rPr>
            </w:pPr>
            <w:r>
              <w:rPr>
                <w:rFonts w:ascii="Arial" w:cs="Arial" w:eastAsia="Arial" w:hAnsi="Arial"/>
                <w:sz w:val="18"/>
                <w:szCs w:val="18"/>
                <w:color w:val="auto"/>
              </w:rPr>
              <w:t>$8,929,000</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$8,310,000</w:t>
            </w:r>
          </w:p>
        </w:tc>
        <w:tc>
          <w:tcPr>
            <w:tcW w:w="9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2"/>
              </w:rPr>
              <w:t>7%</w:t>
            </w:r>
          </w:p>
        </w:tc>
        <w:tc>
          <w:tcPr>
            <w:tcW w:w="1600" w:type="dxa"/>
            <w:vAlign w:val="bottom"/>
          </w:tcPr>
          <w:p>
            <w:pPr>
              <w:jc w:val="right"/>
              <w:spacing w:after="0"/>
              <w:rPr>
                <w:sz w:val="20"/>
                <w:szCs w:val="20"/>
                <w:color w:val="auto"/>
              </w:rPr>
            </w:pPr>
            <w:r>
              <w:rPr>
                <w:rFonts w:ascii="Arial" w:cs="Arial" w:eastAsia="Arial" w:hAnsi="Arial"/>
                <w:sz w:val="18"/>
                <w:szCs w:val="18"/>
                <w:color w:val="auto"/>
              </w:rPr>
              <w:t>$35,120,000</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$33,343,000</w:t>
            </w:r>
          </w:p>
        </w:tc>
        <w:tc>
          <w:tcPr>
            <w:tcW w:w="9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2"/>
              </w:rPr>
              <w:t>5%</w:t>
            </w:r>
          </w:p>
        </w:tc>
      </w:tr>
      <w:tr>
        <w:trPr>
          <w:trHeight w:val="27"/>
        </w:trPr>
        <w:tc>
          <w:tcPr>
            <w:tcW w:w="3220" w:type="dxa"/>
            <w:vAlign w:val="bottom"/>
            <w:tcBorders>
              <w:right w:val="single" w:sz="8" w:color="auto"/>
            </w:tcBorders>
          </w:tcPr>
          <w:p>
            <w:pPr>
              <w:spacing w:after="0"/>
              <w:rPr>
                <w:sz w:val="2"/>
                <w:szCs w:val="2"/>
                <w:color w:val="auto"/>
              </w:rPr>
            </w:pPr>
          </w:p>
        </w:tc>
        <w:tc>
          <w:tcPr>
            <w:tcW w:w="1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1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r>
      <w:tr>
        <w:trPr>
          <w:trHeight w:val="250"/>
        </w:trPr>
        <w:tc>
          <w:tcPr>
            <w:tcW w:w="3220" w:type="dxa"/>
            <w:vAlign w:val="bottom"/>
            <w:tcBorders>
              <w:bottom w:val="single" w:sz="8" w:color="auto"/>
              <w:right w:val="single" w:sz="8" w:color="auto"/>
            </w:tcBorders>
            <w:shd w:val="clear" w:color="auto" w:fill="000000"/>
          </w:tcPr>
          <w:p>
            <w:pPr>
              <w:ind w:left="40"/>
              <w:spacing w:after="0"/>
              <w:rPr>
                <w:sz w:val="20"/>
                <w:szCs w:val="20"/>
                <w:color w:val="auto"/>
              </w:rPr>
            </w:pPr>
            <w:r>
              <w:rPr>
                <w:rFonts w:ascii="Arial" w:cs="Arial" w:eastAsia="Arial" w:hAnsi="Arial"/>
                <w:sz w:val="18"/>
                <w:szCs w:val="18"/>
                <w:color w:val="FFFFFF"/>
              </w:rPr>
              <w:t>Retail and Wholesale</w:t>
            </w:r>
          </w:p>
        </w:tc>
        <w:tc>
          <w:tcPr>
            <w:tcW w:w="1740" w:type="dxa"/>
            <w:vAlign w:val="bottom"/>
            <w:tcBorders>
              <w:bottom w:val="single" w:sz="8" w:color="auto"/>
            </w:tcBorders>
            <w:shd w:val="clear" w:color="auto" w:fill="000000"/>
          </w:tcPr>
          <w:p>
            <w:pPr>
              <w:spacing w:after="0"/>
              <w:rPr>
                <w:sz w:val="21"/>
                <w:szCs w:val="21"/>
                <w:color w:val="auto"/>
              </w:rPr>
            </w:pPr>
          </w:p>
        </w:tc>
        <w:tc>
          <w:tcPr>
            <w:tcW w:w="1320" w:type="dxa"/>
            <w:vAlign w:val="bottom"/>
            <w:tcBorders>
              <w:bottom w:val="single" w:sz="8" w:color="auto"/>
            </w:tcBorders>
            <w:shd w:val="clear" w:color="auto" w:fill="000000"/>
          </w:tcPr>
          <w:p>
            <w:pPr>
              <w:spacing w:after="0"/>
              <w:rPr>
                <w:sz w:val="21"/>
                <w:szCs w:val="21"/>
                <w:color w:val="auto"/>
              </w:rPr>
            </w:pPr>
          </w:p>
        </w:tc>
        <w:tc>
          <w:tcPr>
            <w:tcW w:w="940" w:type="dxa"/>
            <w:vAlign w:val="bottom"/>
            <w:tcBorders>
              <w:bottom w:val="single" w:sz="8" w:color="auto"/>
              <w:right w:val="single" w:sz="8" w:color="auto"/>
            </w:tcBorders>
            <w:shd w:val="clear" w:color="auto" w:fill="000000"/>
          </w:tcPr>
          <w:p>
            <w:pPr>
              <w:spacing w:after="0"/>
              <w:rPr>
                <w:sz w:val="21"/>
                <w:szCs w:val="21"/>
                <w:color w:val="auto"/>
              </w:rPr>
            </w:pPr>
          </w:p>
        </w:tc>
        <w:tc>
          <w:tcPr>
            <w:tcW w:w="1600" w:type="dxa"/>
            <w:vAlign w:val="bottom"/>
            <w:tcBorders>
              <w:bottom w:val="single" w:sz="8" w:color="auto"/>
            </w:tcBorders>
            <w:shd w:val="clear" w:color="auto" w:fill="000000"/>
          </w:tcPr>
          <w:p>
            <w:pPr>
              <w:spacing w:after="0"/>
              <w:rPr>
                <w:sz w:val="21"/>
                <w:szCs w:val="21"/>
                <w:color w:val="auto"/>
              </w:rPr>
            </w:pPr>
          </w:p>
        </w:tc>
        <w:tc>
          <w:tcPr>
            <w:tcW w:w="1660" w:type="dxa"/>
            <w:vAlign w:val="bottom"/>
            <w:tcBorders>
              <w:bottom w:val="single" w:sz="8" w:color="auto"/>
            </w:tcBorders>
            <w:shd w:val="clear" w:color="auto" w:fill="000000"/>
          </w:tcPr>
          <w:p>
            <w:pPr>
              <w:spacing w:after="0"/>
              <w:rPr>
                <w:sz w:val="21"/>
                <w:szCs w:val="21"/>
                <w:color w:val="auto"/>
              </w:rPr>
            </w:pPr>
          </w:p>
        </w:tc>
        <w:tc>
          <w:tcPr>
            <w:tcW w:w="960" w:type="dxa"/>
            <w:vAlign w:val="bottom"/>
            <w:tcBorders>
              <w:bottom w:val="single" w:sz="8" w:color="auto"/>
              <w:right w:val="single" w:sz="8" w:color="auto"/>
            </w:tcBorders>
            <w:shd w:val="clear" w:color="auto" w:fill="000000"/>
          </w:tcPr>
          <w:p>
            <w:pPr>
              <w:spacing w:after="0"/>
              <w:rPr>
                <w:sz w:val="21"/>
                <w:szCs w:val="21"/>
                <w:color w:val="auto"/>
              </w:rPr>
            </w:pPr>
          </w:p>
        </w:tc>
      </w:tr>
      <w:tr>
        <w:trPr>
          <w:trHeight w:val="243"/>
        </w:trPr>
        <w:tc>
          <w:tcPr>
            <w:tcW w:w="3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Net Sales</w:t>
            </w:r>
          </w:p>
        </w:tc>
        <w:tc>
          <w:tcPr>
            <w:tcW w:w="1740" w:type="dxa"/>
            <w:vAlign w:val="bottom"/>
          </w:tcPr>
          <w:p>
            <w:pPr>
              <w:jc w:val="right"/>
              <w:ind w:right="212"/>
              <w:spacing w:after="0"/>
              <w:rPr>
                <w:sz w:val="20"/>
                <w:szCs w:val="20"/>
                <w:color w:val="auto"/>
              </w:rPr>
            </w:pPr>
            <w:r>
              <w:rPr>
                <w:rFonts w:ascii="Arial" w:cs="Arial" w:eastAsia="Arial" w:hAnsi="Arial"/>
                <w:sz w:val="18"/>
                <w:szCs w:val="18"/>
                <w:color w:val="auto"/>
              </w:rPr>
              <w:t>$39,796,000</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$40,250,000</w:t>
            </w:r>
          </w:p>
        </w:tc>
        <w:tc>
          <w:tcPr>
            <w:tcW w:w="9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4"/>
              </w:rPr>
              <w:t>(1)%</w:t>
            </w:r>
          </w:p>
        </w:tc>
        <w:tc>
          <w:tcPr>
            <w:tcW w:w="1600" w:type="dxa"/>
            <w:vAlign w:val="bottom"/>
          </w:tcPr>
          <w:p>
            <w:pPr>
              <w:jc w:val="right"/>
              <w:spacing w:after="0"/>
              <w:rPr>
                <w:sz w:val="20"/>
                <w:szCs w:val="20"/>
                <w:color w:val="auto"/>
              </w:rPr>
            </w:pPr>
            <w:r>
              <w:rPr>
                <w:rFonts w:ascii="Arial" w:cs="Arial" w:eastAsia="Arial" w:hAnsi="Arial"/>
                <w:sz w:val="18"/>
                <w:szCs w:val="18"/>
                <w:color w:val="auto"/>
              </w:rPr>
              <w:t>$160,957,000</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$161,888,000</w:t>
            </w:r>
          </w:p>
        </w:tc>
        <w:tc>
          <w:tcPr>
            <w:tcW w:w="9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4"/>
              </w:rPr>
              <w:t>(1)%</w:t>
            </w:r>
          </w:p>
        </w:tc>
      </w:tr>
      <w:tr>
        <w:trPr>
          <w:trHeight w:val="270"/>
        </w:trPr>
        <w:tc>
          <w:tcPr>
            <w:tcW w:w="3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Segment Operating Income</w:t>
            </w:r>
          </w:p>
        </w:tc>
        <w:tc>
          <w:tcPr>
            <w:tcW w:w="1740" w:type="dxa"/>
            <w:vAlign w:val="bottom"/>
          </w:tcPr>
          <w:p>
            <w:pPr>
              <w:jc w:val="right"/>
              <w:ind w:right="212"/>
              <w:spacing w:after="0"/>
              <w:rPr>
                <w:sz w:val="20"/>
                <w:szCs w:val="20"/>
                <w:color w:val="auto"/>
              </w:rPr>
            </w:pPr>
            <w:r>
              <w:rPr>
                <w:rFonts w:ascii="Arial" w:cs="Arial" w:eastAsia="Arial" w:hAnsi="Arial"/>
                <w:sz w:val="18"/>
                <w:szCs w:val="18"/>
                <w:color w:val="auto"/>
              </w:rPr>
              <w:t>$(35,000)</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$779,000</w:t>
            </w:r>
          </w:p>
        </w:tc>
        <w:tc>
          <w:tcPr>
            <w:tcW w:w="9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9"/>
              </w:rPr>
              <w:t>N/A</w:t>
            </w:r>
          </w:p>
        </w:tc>
        <w:tc>
          <w:tcPr>
            <w:tcW w:w="1600" w:type="dxa"/>
            <w:vAlign w:val="bottom"/>
          </w:tcPr>
          <w:p>
            <w:pPr>
              <w:jc w:val="right"/>
              <w:spacing w:after="0"/>
              <w:rPr>
                <w:sz w:val="20"/>
                <w:szCs w:val="20"/>
                <w:color w:val="auto"/>
              </w:rPr>
            </w:pPr>
            <w:r>
              <w:rPr>
                <w:rFonts w:ascii="Arial" w:cs="Arial" w:eastAsia="Arial" w:hAnsi="Arial"/>
                <w:sz w:val="18"/>
                <w:szCs w:val="18"/>
                <w:color w:val="auto"/>
              </w:rPr>
              <w:t>$6,975,000</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$6,775,000</w:t>
            </w:r>
          </w:p>
        </w:tc>
        <w:tc>
          <w:tcPr>
            <w:tcW w:w="9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2"/>
              </w:rPr>
              <w:t>3%</w:t>
            </w:r>
          </w:p>
        </w:tc>
      </w:tr>
      <w:tr>
        <w:trPr>
          <w:trHeight w:val="27"/>
        </w:trPr>
        <w:tc>
          <w:tcPr>
            <w:tcW w:w="3220" w:type="dxa"/>
            <w:vAlign w:val="bottom"/>
            <w:tcBorders>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65" w:lineRule="exact"/>
        <w:rPr>
          <w:sz w:val="20"/>
          <w:szCs w:val="20"/>
          <w:color w:val="auto"/>
        </w:rPr>
      </w:pPr>
    </w:p>
    <w:p>
      <w:pPr>
        <w:ind w:right="120"/>
        <w:spacing w:after="0" w:line="265" w:lineRule="auto"/>
        <w:rPr>
          <w:sz w:val="20"/>
          <w:szCs w:val="20"/>
          <w:color w:val="auto"/>
        </w:rPr>
      </w:pPr>
      <w:r>
        <w:rPr>
          <w:rFonts w:ascii="Arial" w:cs="Arial" w:eastAsia="Arial" w:hAnsi="Arial"/>
          <w:sz w:val="21"/>
          <w:szCs w:val="21"/>
          <w:color w:val="auto"/>
        </w:rPr>
        <w:t xml:space="preserve">Daniel S. Jaffee stated, “Every fiscal year we are finding new and better ways to deliver on our mission to </w:t>
      </w:r>
      <w:r>
        <w:rPr>
          <w:rFonts w:ascii="Arial" w:cs="Arial" w:eastAsia="Arial" w:hAnsi="Arial"/>
          <w:sz w:val="21"/>
          <w:szCs w:val="21"/>
          <w:i w:val="1"/>
          <w:iCs w:val="1"/>
          <w:color w:val="auto"/>
        </w:rPr>
        <w:t>Create Value From</w:t>
      </w:r>
      <w:r>
        <w:rPr>
          <w:rFonts w:ascii="Arial" w:cs="Arial" w:eastAsia="Arial" w:hAnsi="Arial"/>
          <w:sz w:val="21"/>
          <w:szCs w:val="21"/>
          <w:color w:val="auto"/>
        </w:rPr>
        <w:t xml:space="preserve"> </w:t>
      </w:r>
      <w:r>
        <w:rPr>
          <w:rFonts w:ascii="Arial" w:cs="Arial" w:eastAsia="Arial" w:hAnsi="Arial"/>
          <w:sz w:val="21"/>
          <w:szCs w:val="21"/>
          <w:i w:val="1"/>
          <w:iCs w:val="1"/>
          <w:color w:val="auto"/>
        </w:rPr>
        <w:t>Sorbent Minerals</w:t>
      </w:r>
      <w:r>
        <w:rPr>
          <w:rFonts w:ascii="Arial" w:cs="Arial" w:eastAsia="Arial" w:hAnsi="Arial"/>
          <w:sz w:val="21"/>
          <w:szCs w:val="21"/>
          <w:color w:val="auto"/>
        </w:rPr>
        <w:t>. In fiscal 2018, our consolidated results were negatively impacted by a one-time tax expense increase of</w:t>
      </w:r>
      <w:r>
        <w:rPr>
          <w:rFonts w:ascii="Arial" w:cs="Arial" w:eastAsia="Arial" w:hAnsi="Arial"/>
          <w:sz w:val="21"/>
          <w:szCs w:val="21"/>
          <w:i w:val="1"/>
          <w:iCs w:val="1"/>
          <w:color w:val="auto"/>
        </w:rPr>
        <w:t xml:space="preserve"> </w:t>
      </w:r>
      <w:r>
        <w:rPr>
          <w:rFonts w:ascii="Arial" w:cs="Arial" w:eastAsia="Arial" w:hAnsi="Arial"/>
          <w:sz w:val="21"/>
          <w:szCs w:val="21"/>
          <w:color w:val="auto"/>
        </w:rPr>
        <w:t>approximately $0.54 per diluted share and incremental spending for our new enterprise resource planning (ERP) system. However, we are confident this short-term system investment will yield positive long-term results.</w:t>
      </w:r>
    </w:p>
    <w:p>
      <w:pPr>
        <w:spacing w:after="0" w:line="176" w:lineRule="exact"/>
        <w:rPr>
          <w:sz w:val="20"/>
          <w:szCs w:val="20"/>
          <w:color w:val="auto"/>
        </w:rPr>
      </w:pPr>
    </w:p>
    <w:p>
      <w:pPr>
        <w:ind w:right="260"/>
        <w:spacing w:after="0" w:line="253" w:lineRule="auto"/>
        <w:rPr>
          <w:sz w:val="20"/>
          <w:szCs w:val="20"/>
          <w:color w:val="auto"/>
        </w:rPr>
      </w:pPr>
      <w:r>
        <w:rPr>
          <w:rFonts w:ascii="Arial" w:cs="Arial" w:eastAsia="Arial" w:hAnsi="Arial"/>
          <w:sz w:val="22"/>
          <w:szCs w:val="22"/>
          <w:color w:val="auto"/>
        </w:rPr>
        <w:t>We continued to experience exciting sales growth in value-added areas of our business, such as our animal health products, lightweight cat litter, agricultural products and our fluids purification products. However, consolidated gross profit decreased due primarily to higher freight, packaging and non-fuel manufacturing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440690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002D69"/>
        </w:rPr>
        <w:t>(312) 321-1515</w:t>
      </w:r>
    </w:p>
    <w:p>
      <w:pPr>
        <w:sectPr>
          <w:pgSz w:w="11900" w:h="16838" w:orient="portrait"/>
          <w:cols w:equalWidth="0" w:num="1">
            <w:col w:w="11440"/>
          </w:cols>
          <w:pgMar w:left="240" w:top="1261" w:right="219" w:bottom="1440" w:gutter="0" w:footer="0" w:header="0"/>
        </w:sectPr>
      </w:pPr>
    </w:p>
    <w:bookmarkStart w:id="5" w:name="page6"/>
    <w:bookmarkEnd w:id="5"/>
    <w:p>
      <w:pPr>
        <w:spacing w:after="0" w:line="16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860425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208915</wp:posOffset>
            </wp:positionV>
            <wp:extent cx="1475105" cy="488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ind w:right="80"/>
        <w:spacing w:after="0" w:line="312" w:lineRule="auto"/>
        <w:rPr>
          <w:sz w:val="20"/>
          <w:szCs w:val="20"/>
          <w:color w:val="auto"/>
        </w:rPr>
      </w:pPr>
      <w:r>
        <w:rPr>
          <w:rFonts w:ascii="Arial" w:cs="Arial" w:eastAsia="Arial" w:hAnsi="Arial"/>
          <w:sz w:val="19"/>
          <w:szCs w:val="19"/>
          <w:color w:val="auto"/>
        </w:rPr>
        <w:t>Total cash, cash equivalents and short-term investments decreased $12,790,000 from fiscal 2017. The attached financial statements reflect the results of both routine operating activities and significant non-recurring investments in the business, including an incremental $11,500,000 pension contribution and capital expense spending for the implementation of the ERP system.</w:t>
      </w:r>
    </w:p>
    <w:p>
      <w:pPr>
        <w:spacing w:after="0" w:line="123" w:lineRule="exact"/>
        <w:rPr>
          <w:sz w:val="20"/>
          <w:szCs w:val="20"/>
          <w:color w:val="auto"/>
        </w:rPr>
      </w:pPr>
    </w:p>
    <w:p>
      <w:pPr>
        <w:ind w:right="200"/>
        <w:spacing w:after="0" w:line="257" w:lineRule="auto"/>
        <w:rPr>
          <w:sz w:val="20"/>
          <w:szCs w:val="20"/>
          <w:color w:val="auto"/>
        </w:rPr>
      </w:pPr>
      <w:r>
        <w:rPr>
          <w:rFonts w:ascii="Arial" w:cs="Arial" w:eastAsia="Arial" w:hAnsi="Arial"/>
          <w:sz w:val="20"/>
          <w:szCs w:val="20"/>
          <w:color w:val="auto"/>
        </w:rPr>
        <w:t>The investment in “going live” August 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on our new system is anticipated to have a negative impact on first quarter cash flow, sales and profitability. We expect that the new system, when fully implemented, will enable us to support the future growth of our business. I am very proud of the way our team has stepped-up to minimize the impact to our customers.</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Sales increased for all of our Business to Business product groups in the year. Growth originated from Agsorb agricultural chemical carrier granules, Ultra-Clear clarification media for petroleum oil and Amlan livestock intestinal-health products, including Varium and Calibrin-Z.</w:t>
      </w:r>
    </w:p>
    <w:p>
      <w:pPr>
        <w:spacing w:after="0" w:line="186" w:lineRule="exact"/>
        <w:rPr>
          <w:sz w:val="20"/>
          <w:szCs w:val="20"/>
          <w:color w:val="auto"/>
        </w:rPr>
      </w:pPr>
    </w:p>
    <w:p>
      <w:pPr>
        <w:ind w:right="60"/>
        <w:spacing w:after="0" w:line="253" w:lineRule="auto"/>
        <w:rPr>
          <w:sz w:val="20"/>
          <w:szCs w:val="20"/>
          <w:color w:val="auto"/>
        </w:rPr>
      </w:pPr>
      <w:r>
        <w:rPr>
          <w:rFonts w:ascii="Arial" w:cs="Arial" w:eastAsia="Arial" w:hAnsi="Arial"/>
          <w:sz w:val="22"/>
          <w:szCs w:val="22"/>
          <w:color w:val="auto"/>
        </w:rPr>
        <w:t>Overall cat litter sales decreased 1% compared to fiscal 2017. However, sales of private label lightweight scoopable litter increased 71% to $8.4 million for the fiscal year. This increase was driven by new distribution and increased sales to current customers, including e-commerce.</w:t>
      </w:r>
    </w:p>
    <w:p>
      <w:pPr>
        <w:spacing w:after="0" w:line="186" w:lineRule="exact"/>
        <w:rPr>
          <w:sz w:val="20"/>
          <w:szCs w:val="20"/>
          <w:color w:val="auto"/>
        </w:rPr>
      </w:pPr>
    </w:p>
    <w:p>
      <w:pPr>
        <w:ind w:right="60"/>
        <w:spacing w:after="0" w:line="253" w:lineRule="auto"/>
        <w:rPr>
          <w:sz w:val="20"/>
          <w:szCs w:val="20"/>
          <w:color w:val="auto"/>
        </w:rPr>
      </w:pPr>
      <w:r>
        <w:rPr>
          <w:rFonts w:ascii="Arial" w:cs="Arial" w:eastAsia="Arial" w:hAnsi="Arial"/>
          <w:sz w:val="22"/>
          <w:szCs w:val="22"/>
          <w:color w:val="auto"/>
        </w:rPr>
        <w:t>In fiscal 2019, we are excited to have a major TV brand integration in connection with our Litter for Good campaign that will drive awareness and purchases of our Cat’s Pride Fresh &amp; Light products. We expect our overall advertising expense in 2019 to be flat with fiscal 2018.</w:t>
      </w:r>
    </w:p>
    <w:p>
      <w:pPr>
        <w:spacing w:after="0" w:line="186" w:lineRule="exact"/>
        <w:rPr>
          <w:sz w:val="20"/>
          <w:szCs w:val="20"/>
          <w:color w:val="auto"/>
        </w:rPr>
      </w:pPr>
    </w:p>
    <w:p>
      <w:pPr>
        <w:ind w:right="720"/>
        <w:spacing w:after="0" w:line="292" w:lineRule="auto"/>
        <w:rPr>
          <w:sz w:val="20"/>
          <w:szCs w:val="20"/>
          <w:color w:val="auto"/>
        </w:rPr>
      </w:pPr>
      <w:r>
        <w:rPr>
          <w:rFonts w:ascii="Arial" w:cs="Arial" w:eastAsia="Arial" w:hAnsi="Arial"/>
          <w:sz w:val="21"/>
          <w:szCs w:val="21"/>
          <w:color w:val="auto"/>
        </w:rPr>
        <w:t>For more details on our financial results, please review the Form 10-K that was filed today and join us for our next earnings teleconference on Monday, October 15</w:t>
      </w:r>
      <w:r>
        <w:rPr>
          <w:rFonts w:ascii="Arial" w:cs="Arial" w:eastAsia="Arial" w:hAnsi="Arial"/>
          <w:sz w:val="27"/>
          <w:szCs w:val="27"/>
          <w:color w:val="auto"/>
          <w:vertAlign w:val="superscript"/>
        </w:rPr>
        <w:t>th</w:t>
      </w:r>
      <w:r>
        <w:rPr>
          <w:rFonts w:ascii="Arial" w:cs="Arial" w:eastAsia="Arial" w:hAnsi="Arial"/>
          <w:sz w:val="21"/>
          <w:szCs w:val="21"/>
          <w:color w:val="auto"/>
        </w:rPr>
        <w:t>. Call details are available on our website’s ‘Events’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002D69"/>
        </w:rPr>
        <w:t>(312) 321-1515</w:t>
      </w:r>
    </w:p>
    <w:p>
      <w:pPr>
        <w:sectPr>
          <w:pgSz w:w="11900" w:h="16838" w:orient="portrait"/>
          <w:cols w:equalWidth="0" w:num="1">
            <w:col w:w="11420"/>
          </w:cols>
          <w:pgMar w:left="240" w:top="1440" w:right="239" w:bottom="1440" w:gutter="0" w:footer="0" w:header="0"/>
        </w:sectPr>
      </w:pPr>
    </w:p>
    <w:bookmarkStart w:id="6" w:name="page7"/>
    <w:bookmarkEnd w:id="6"/>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860425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208915</wp:posOffset>
            </wp:positionV>
            <wp:extent cx="1475105" cy="4889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22"/>
          <w:szCs w:val="22"/>
          <w:b w:val="1"/>
          <w:bCs w:val="1"/>
          <w:color w:val="auto"/>
        </w:rPr>
        <w:t>FIVE-YEAR SUMMARY</w:t>
      </w:r>
    </w:p>
    <w:p>
      <w:pPr>
        <w:spacing w:after="0" w:line="28" w:lineRule="exact"/>
        <w:rPr>
          <w:sz w:val="20"/>
          <w:szCs w:val="20"/>
          <w:color w:val="auto"/>
        </w:rPr>
      </w:pPr>
    </w:p>
    <w:p>
      <w:pPr>
        <w:ind w:left="4520"/>
        <w:spacing w:after="0"/>
        <w:rPr>
          <w:sz w:val="20"/>
          <w:szCs w:val="20"/>
          <w:color w:val="auto"/>
        </w:rPr>
      </w:pPr>
      <w:r>
        <w:rPr>
          <w:rFonts w:ascii="Arial" w:cs="Arial" w:eastAsia="Arial" w:hAnsi="Arial"/>
          <w:sz w:val="22"/>
          <w:szCs w:val="22"/>
          <w:b w:val="1"/>
          <w:bCs w:val="1"/>
          <w:i w:val="1"/>
          <w:iCs w:val="1"/>
          <w:color w:val="auto"/>
        </w:rPr>
        <w:t>(Key Metrics as of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2"/>
          </w:tcPr>
          <w:p>
            <w:pPr>
              <w:ind w:left="240"/>
              <w:spacing w:after="0"/>
              <w:rPr>
                <w:sz w:val="20"/>
                <w:szCs w:val="20"/>
                <w:color w:val="auto"/>
              </w:rPr>
            </w:pPr>
            <w:r>
              <w:rPr>
                <w:rFonts w:ascii="Arial" w:cs="Arial" w:eastAsia="Arial" w:hAnsi="Arial"/>
                <w:sz w:val="16"/>
                <w:szCs w:val="16"/>
                <w:b w:val="1"/>
                <w:bCs w:val="1"/>
                <w:color w:val="auto"/>
              </w:rPr>
              <w:t>Fiscal 2018</w:t>
            </w:r>
          </w:p>
        </w:tc>
        <w:tc>
          <w:tcPr>
            <w:tcW w:w="360" w:type="dxa"/>
            <w:vAlign w:val="bottom"/>
          </w:tcPr>
          <w:p>
            <w:pPr>
              <w:spacing w:after="0"/>
              <w:rPr>
                <w:sz w:val="18"/>
                <w:szCs w:val="18"/>
                <w:color w:val="auto"/>
              </w:rPr>
            </w:pPr>
          </w:p>
        </w:tc>
        <w:tc>
          <w:tcPr>
            <w:tcW w:w="1520" w:type="dxa"/>
            <w:vAlign w:val="bottom"/>
            <w:gridSpan w:val="2"/>
          </w:tcPr>
          <w:p>
            <w:pPr>
              <w:ind w:left="240"/>
              <w:spacing w:after="0"/>
              <w:rPr>
                <w:sz w:val="20"/>
                <w:szCs w:val="20"/>
                <w:color w:val="auto"/>
              </w:rPr>
            </w:pPr>
            <w:r>
              <w:rPr>
                <w:rFonts w:ascii="Arial" w:cs="Arial" w:eastAsia="Arial" w:hAnsi="Arial"/>
                <w:sz w:val="16"/>
                <w:szCs w:val="16"/>
                <w:b w:val="1"/>
                <w:bCs w:val="1"/>
                <w:color w:val="auto"/>
              </w:rPr>
              <w:t>Fiscal 2017</w:t>
            </w:r>
          </w:p>
        </w:tc>
        <w:tc>
          <w:tcPr>
            <w:tcW w:w="340" w:type="dxa"/>
            <w:vAlign w:val="bottom"/>
          </w:tcPr>
          <w:p>
            <w:pPr>
              <w:spacing w:after="0"/>
              <w:rPr>
                <w:sz w:val="18"/>
                <w:szCs w:val="18"/>
                <w:color w:val="auto"/>
              </w:rPr>
            </w:pPr>
          </w:p>
        </w:tc>
        <w:tc>
          <w:tcPr>
            <w:tcW w:w="1520" w:type="dxa"/>
            <w:vAlign w:val="bottom"/>
            <w:gridSpan w:val="2"/>
          </w:tcPr>
          <w:p>
            <w:pPr>
              <w:ind w:left="260"/>
              <w:spacing w:after="0"/>
              <w:rPr>
                <w:sz w:val="20"/>
                <w:szCs w:val="20"/>
                <w:color w:val="auto"/>
              </w:rPr>
            </w:pPr>
            <w:r>
              <w:rPr>
                <w:rFonts w:ascii="Arial" w:cs="Arial" w:eastAsia="Arial" w:hAnsi="Arial"/>
                <w:sz w:val="16"/>
                <w:szCs w:val="16"/>
                <w:b w:val="1"/>
                <w:bCs w:val="1"/>
                <w:color w:val="auto"/>
              </w:rPr>
              <w:t>Fiscal 2016</w:t>
            </w:r>
          </w:p>
        </w:tc>
        <w:tc>
          <w:tcPr>
            <w:tcW w:w="360" w:type="dxa"/>
            <w:vAlign w:val="bottom"/>
          </w:tcPr>
          <w:p>
            <w:pPr>
              <w:spacing w:after="0"/>
              <w:rPr>
                <w:sz w:val="18"/>
                <w:szCs w:val="18"/>
                <w:color w:val="auto"/>
              </w:rPr>
            </w:pPr>
          </w:p>
        </w:tc>
        <w:tc>
          <w:tcPr>
            <w:tcW w:w="1520" w:type="dxa"/>
            <w:vAlign w:val="bottom"/>
            <w:gridSpan w:val="2"/>
          </w:tcPr>
          <w:p>
            <w:pPr>
              <w:ind w:left="260"/>
              <w:spacing w:after="0"/>
              <w:rPr>
                <w:sz w:val="20"/>
                <w:szCs w:val="20"/>
                <w:color w:val="auto"/>
              </w:rPr>
            </w:pPr>
            <w:r>
              <w:rPr>
                <w:rFonts w:ascii="Arial" w:cs="Arial" w:eastAsia="Arial" w:hAnsi="Arial"/>
                <w:sz w:val="16"/>
                <w:szCs w:val="16"/>
                <w:b w:val="1"/>
                <w:bCs w:val="1"/>
                <w:color w:val="auto"/>
              </w:rPr>
              <w:t>Fiscal 2015</w:t>
            </w:r>
          </w:p>
        </w:tc>
        <w:tc>
          <w:tcPr>
            <w:tcW w:w="360" w:type="dxa"/>
            <w:vAlign w:val="bottom"/>
          </w:tcPr>
          <w:p>
            <w:pPr>
              <w:spacing w:after="0"/>
              <w:rPr>
                <w:sz w:val="18"/>
                <w:szCs w:val="18"/>
                <w:color w:val="auto"/>
              </w:rPr>
            </w:pPr>
          </w:p>
        </w:tc>
        <w:tc>
          <w:tcPr>
            <w:tcW w:w="1320" w:type="dxa"/>
            <w:vAlign w:val="bottom"/>
          </w:tcPr>
          <w:p>
            <w:pPr>
              <w:jc w:val="right"/>
              <w:ind w:right="219"/>
              <w:spacing w:after="0"/>
              <w:rPr>
                <w:sz w:val="20"/>
                <w:szCs w:val="20"/>
                <w:color w:val="auto"/>
              </w:rPr>
            </w:pPr>
            <w:r>
              <w:rPr>
                <w:rFonts w:ascii="Arial" w:cs="Arial" w:eastAsia="Arial" w:hAnsi="Arial"/>
                <w:sz w:val="16"/>
                <w:szCs w:val="16"/>
                <w:b w:val="1"/>
                <w:bCs w:val="1"/>
                <w:color w:val="auto"/>
              </w:rPr>
              <w:t>Fiscal 2014</w:t>
            </w:r>
          </w:p>
        </w:tc>
      </w:tr>
      <w:tr>
        <w:trPr>
          <w:trHeight w:val="33"/>
        </w:trPr>
        <w:tc>
          <w:tcPr>
            <w:tcW w:w="2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6"/>
        </w:trPr>
        <w:tc>
          <w:tcPr>
            <w:tcW w:w="22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cash equivalents and</w:t>
            </w:r>
          </w:p>
        </w:tc>
        <w:tc>
          <w:tcPr>
            <w:tcW w:w="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23"/>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short-term investments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19,881,000</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32,671,000</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28,813,000</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22,328,000</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18,999,000</w:t>
            </w:r>
          </w:p>
        </w:tc>
      </w:tr>
      <w:tr>
        <w:trPr>
          <w:trHeight w:val="216"/>
        </w:trPr>
        <w:tc>
          <w:tcPr>
            <w:tcW w:w="2240" w:type="dxa"/>
            <w:vAlign w:val="bottom"/>
          </w:tcPr>
          <w:p>
            <w:pPr>
              <w:ind w:left="40"/>
              <w:spacing w:after="0"/>
              <w:rPr>
                <w:sz w:val="20"/>
                <w:szCs w:val="20"/>
                <w:color w:val="auto"/>
              </w:rPr>
            </w:pPr>
            <w:r>
              <w:rPr>
                <w:rFonts w:ascii="Arial" w:cs="Arial" w:eastAsia="Arial" w:hAnsi="Arial"/>
                <w:sz w:val="16"/>
                <w:szCs w:val="16"/>
                <w:b w:val="1"/>
                <w:bCs w:val="1"/>
                <w:color w:val="auto"/>
              </w:rPr>
              <w:t>Net cash provided by</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0"/>
        </w:trPr>
        <w:tc>
          <w:tcPr>
            <w:tcW w:w="2240" w:type="dxa"/>
            <w:vAlign w:val="bottom"/>
          </w:tcPr>
          <w:p>
            <w:pPr>
              <w:ind w:left="40"/>
              <w:spacing w:after="0"/>
              <w:rPr>
                <w:sz w:val="20"/>
                <w:szCs w:val="20"/>
                <w:color w:val="auto"/>
              </w:rPr>
            </w:pPr>
            <w:r>
              <w:rPr>
                <w:rFonts w:ascii="Arial" w:cs="Arial" w:eastAsia="Arial" w:hAnsi="Arial"/>
                <w:sz w:val="16"/>
                <w:szCs w:val="16"/>
                <w:b w:val="1"/>
                <w:bCs w:val="1"/>
                <w:color w:val="auto"/>
              </w:rPr>
              <w:t>operations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10,612,000</w:t>
            </w:r>
          </w:p>
        </w:tc>
        <w:tc>
          <w:tcPr>
            <w:tcW w:w="2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26,949,000</w:t>
            </w:r>
          </w:p>
        </w:tc>
        <w:tc>
          <w:tcPr>
            <w:tcW w:w="2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25,171,000</w:t>
            </w:r>
          </w:p>
        </w:tc>
        <w:tc>
          <w:tcPr>
            <w:tcW w:w="2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26,976,000</w:t>
            </w:r>
          </w:p>
        </w:tc>
        <w:tc>
          <w:tcPr>
            <w:tcW w:w="2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16,296,000</w:t>
            </w:r>
          </w:p>
        </w:tc>
      </w:tr>
      <w:tr>
        <w:trPr>
          <w:trHeight w:val="33"/>
        </w:trPr>
        <w:tc>
          <w:tcPr>
            <w:tcW w:w="2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16"/>
        </w:trPr>
        <w:tc>
          <w:tcPr>
            <w:tcW w:w="22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cash equivalents and</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03"/>
        </w:trPr>
        <w:tc>
          <w:tcPr>
            <w:tcW w:w="22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short-term investments less</w:t>
            </w:r>
          </w:p>
        </w:tc>
        <w:tc>
          <w:tcPr>
            <w:tcW w:w="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23"/>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notes payable</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10,691,000</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20,427,000</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13,515,000</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3,574,000</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(3,158,000)</w:t>
            </w:r>
          </w:p>
        </w:tc>
      </w:tr>
      <w:tr>
        <w:trPr>
          <w:trHeight w:val="216"/>
        </w:trPr>
        <w:tc>
          <w:tcPr>
            <w:tcW w:w="224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0"/>
        </w:trPr>
        <w:tc>
          <w:tcPr>
            <w:tcW w:w="2240" w:type="dxa"/>
            <w:vAlign w:val="bottom"/>
          </w:tcPr>
          <w:p>
            <w:pPr>
              <w:ind w:left="40"/>
              <w:spacing w:after="0"/>
              <w:rPr>
                <w:sz w:val="20"/>
                <w:szCs w:val="20"/>
                <w:color w:val="auto"/>
              </w:rPr>
            </w:pPr>
            <w:r>
              <w:rPr>
                <w:rFonts w:ascii="Arial" w:cs="Arial" w:eastAsia="Arial" w:hAnsi="Arial"/>
                <w:sz w:val="16"/>
                <w:szCs w:val="16"/>
                <w:b w:val="1"/>
                <w:bCs w:val="1"/>
                <w:color w:val="auto"/>
              </w:rPr>
              <w:t>Oil-Dri</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8,240,000</w:t>
            </w:r>
          </w:p>
        </w:tc>
        <w:tc>
          <w:tcPr>
            <w:tcW w:w="2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10,792,000</w:t>
            </w:r>
          </w:p>
        </w:tc>
        <w:tc>
          <w:tcPr>
            <w:tcW w:w="2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13,613,000</w:t>
            </w:r>
          </w:p>
        </w:tc>
        <w:tc>
          <w:tcPr>
            <w:tcW w:w="2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11,368,000</w:t>
            </w:r>
          </w:p>
        </w:tc>
        <w:tc>
          <w:tcPr>
            <w:tcW w:w="2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8,356,000</w:t>
            </w:r>
          </w:p>
        </w:tc>
      </w:tr>
      <w:tr>
        <w:trPr>
          <w:trHeight w:val="33"/>
        </w:trPr>
        <w:tc>
          <w:tcPr>
            <w:tcW w:w="2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16"/>
        </w:trPr>
        <w:tc>
          <w:tcPr>
            <w:tcW w:w="22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per diluted</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3"/>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share</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1.11</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1.47</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1.87</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1.59</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1.17</w:t>
            </w:r>
          </w:p>
        </w:tc>
      </w:tr>
      <w:tr>
        <w:trPr>
          <w:trHeight w:val="216"/>
        </w:trPr>
        <w:tc>
          <w:tcPr>
            <w:tcW w:w="2240" w:type="dxa"/>
            <w:vAlign w:val="bottom"/>
          </w:tcPr>
          <w:p>
            <w:pPr>
              <w:ind w:left="40"/>
              <w:spacing w:after="0"/>
              <w:rPr>
                <w:sz w:val="20"/>
                <w:szCs w:val="20"/>
                <w:color w:val="auto"/>
              </w:rPr>
            </w:pPr>
            <w:r>
              <w:rPr>
                <w:rFonts w:ascii="Arial" w:cs="Arial" w:eastAsia="Arial" w:hAnsi="Arial"/>
                <w:sz w:val="16"/>
                <w:szCs w:val="16"/>
                <w:b w:val="1"/>
                <w:bCs w:val="1"/>
                <w:color w:val="auto"/>
              </w:rPr>
              <w:t>Return on average</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0"/>
        </w:trPr>
        <w:tc>
          <w:tcPr>
            <w:tcW w:w="2240" w:type="dxa"/>
            <w:vAlign w:val="bottom"/>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360" w:type="dxa"/>
            <w:vAlign w:val="bottom"/>
          </w:tcPr>
          <w:p>
            <w:pPr>
              <w:spacing w:after="0"/>
              <w:rPr>
                <w:sz w:val="18"/>
                <w:szCs w:val="18"/>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6.4%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8.9%</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12.0%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10.6%</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8.1%</w:t>
            </w:r>
          </w:p>
        </w:tc>
      </w:tr>
      <w:tr>
        <w:trPr>
          <w:trHeight w:val="33"/>
        </w:trPr>
        <w:tc>
          <w:tcPr>
            <w:tcW w:w="2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Capital expenditures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15,074,000</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14,763,000</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10,684,000</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15,859,000</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18,566,000</w:t>
            </w:r>
          </w:p>
        </w:tc>
      </w:tr>
      <w:tr>
        <w:trPr>
          <w:trHeight w:val="237"/>
        </w:trPr>
        <w:tc>
          <w:tcPr>
            <w:tcW w:w="2240" w:type="dxa"/>
            <w:vAlign w:val="bottom"/>
          </w:tcPr>
          <w:p>
            <w:pPr>
              <w:ind w:left="40"/>
              <w:spacing w:after="0"/>
              <w:rPr>
                <w:sz w:val="20"/>
                <w:szCs w:val="20"/>
                <w:color w:val="auto"/>
              </w:rPr>
            </w:pPr>
            <w:r>
              <w:rPr>
                <w:rFonts w:ascii="Arial" w:cs="Arial" w:eastAsia="Arial" w:hAnsi="Arial"/>
                <w:sz w:val="16"/>
                <w:szCs w:val="16"/>
                <w:b w:val="1"/>
                <w:bCs w:val="1"/>
                <w:color w:val="auto"/>
              </w:rPr>
              <w:t>Dividends paid</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6,230,000</w:t>
            </w:r>
          </w:p>
        </w:tc>
        <w:tc>
          <w:tcPr>
            <w:tcW w:w="2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5,926,000</w:t>
            </w:r>
          </w:p>
        </w:tc>
        <w:tc>
          <w:tcPr>
            <w:tcW w:w="2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5,600,000</w:t>
            </w:r>
          </w:p>
        </w:tc>
        <w:tc>
          <w:tcPr>
            <w:tcW w:w="2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5,247,000</w:t>
            </w:r>
          </w:p>
        </w:tc>
        <w:tc>
          <w:tcPr>
            <w:tcW w:w="2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4,965,000</w:t>
            </w:r>
          </w:p>
        </w:tc>
      </w:tr>
      <w:tr>
        <w:trPr>
          <w:trHeight w:val="33"/>
        </w:trPr>
        <w:tc>
          <w:tcPr>
            <w:tcW w:w="2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16"/>
        </w:trPr>
        <w:tc>
          <w:tcPr>
            <w:tcW w:w="22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Dividends paid per</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0"/>
        </w:trPr>
        <w:tc>
          <w:tcPr>
            <w:tcW w:w="22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Common Stock share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0.92</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0.88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0.84</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0.80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0.76</w:t>
            </w:r>
          </w:p>
        </w:tc>
      </w:tr>
      <w:tr>
        <w:trPr>
          <w:trHeight w:val="33"/>
        </w:trPr>
        <w:tc>
          <w:tcPr>
            <w:tcW w:w="2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17"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i w:val="1"/>
          <w:iCs w:val="1"/>
          <w:color w:val="auto"/>
        </w:rPr>
        <w:t xml:space="preserve">While Oil-Dri’s founding product was granular clay floor absorbents, it has since greatly diversified its portfolio. The Company’s mission to </w:t>
      </w:r>
      <w:r>
        <w:rPr>
          <w:rFonts w:ascii="Arial" w:cs="Arial" w:eastAsia="Arial" w:hAnsi="Arial"/>
          <w:sz w:val="16"/>
          <w:szCs w:val="16"/>
          <w:i w:val="1"/>
          <w:iCs w:val="1"/>
          <w:color w:val="auto"/>
        </w:rPr>
        <w:t>“</w:t>
      </w:r>
      <w:r>
        <w:rPr>
          <w:rFonts w:ascii="Arial" w:cs="Arial" w:eastAsia="Arial" w:hAnsi="Arial"/>
          <w:sz w:val="18"/>
          <w:szCs w:val="18"/>
          <w:i w:val="1"/>
          <w:iCs w:val="1"/>
          <w:color w:val="auto"/>
        </w:rPr>
        <w:t>Create Value from Sorbent Minerals</w:t>
      </w:r>
      <w:r>
        <w:rPr>
          <w:rFonts w:ascii="Arial" w:cs="Arial" w:eastAsia="Arial" w:hAnsi="Arial"/>
          <w:sz w:val="16"/>
          <w:szCs w:val="16"/>
          <w:i w:val="1"/>
          <w:iCs w:val="1"/>
          <w:color w:val="auto"/>
        </w:rPr>
        <w:t>”</w:t>
      </w:r>
      <w:r>
        <w:rPr>
          <w:rFonts w:ascii="Arial" w:cs="Arial" w:eastAsia="Arial" w:hAnsi="Arial"/>
          <w:sz w:val="18"/>
          <w:szCs w:val="18"/>
          <w:i w:val="1"/>
          <w:iCs w:val="1"/>
          <w:color w:val="auto"/>
        </w:rPr>
        <w:t xml:space="preserve"> is supported by its wide array of consumer and business to business product offerings. In 2016, Oil-Dri celebrated its seventy-fifth year of business and looks forward to the next milestone.</w:t>
      </w:r>
    </w:p>
    <w:p>
      <w:pPr>
        <w:spacing w:after="0" w:line="204"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 xml:space="preserve">The Company will host its fourth quarter fiscal 2018 earnings teleconference on </w:t>
      </w:r>
      <w:r>
        <w:rPr>
          <w:rFonts w:ascii="Arial" w:cs="Arial" w:eastAsia="Arial" w:hAnsi="Arial"/>
          <w:sz w:val="18"/>
          <w:szCs w:val="18"/>
          <w:b w:val="1"/>
          <w:bCs w:val="1"/>
          <w:color w:val="auto"/>
        </w:rPr>
        <w:t>Monday, October 15, 2018 at 10:00am Central Time</w:t>
      </w:r>
      <w:r>
        <w:rPr>
          <w:rFonts w:ascii="Arial" w:cs="Arial" w:eastAsia="Arial" w:hAnsi="Arial"/>
          <w:sz w:val="18"/>
          <w:szCs w:val="18"/>
          <w:color w:val="auto"/>
        </w:rPr>
        <w:t xml:space="preserve">, and its first quarter fiscal 2019 earnings teleconference on </w:t>
      </w:r>
      <w:r>
        <w:rPr>
          <w:rFonts w:ascii="Arial" w:cs="Arial" w:eastAsia="Arial" w:hAnsi="Arial"/>
          <w:sz w:val="18"/>
          <w:szCs w:val="18"/>
          <w:b w:val="1"/>
          <w:bCs w:val="1"/>
          <w:color w:val="auto"/>
        </w:rPr>
        <w:t>Monday, December 10, 2018 at 10:00 am Central Time</w:t>
      </w:r>
      <w:r>
        <w:rPr>
          <w:rFonts w:ascii="Arial" w:cs="Arial" w:eastAsia="Arial" w:hAnsi="Arial"/>
          <w:sz w:val="18"/>
          <w:szCs w:val="18"/>
          <w:color w:val="auto"/>
        </w:rPr>
        <w:t>. All teleconference dial-in details will be communicated via web alert approximately one week prior to each call.</w:t>
      </w:r>
    </w:p>
    <w:p>
      <w:pPr>
        <w:spacing w:after="0" w:line="203"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 xml:space="preserve">Oil-Dri will host its Annual Meeting of Stockholders on </w:t>
      </w:r>
      <w:r>
        <w:rPr>
          <w:rFonts w:ascii="Arial" w:cs="Arial" w:eastAsia="Arial" w:hAnsi="Arial"/>
          <w:sz w:val="18"/>
          <w:szCs w:val="18"/>
          <w:b w:val="1"/>
          <w:bCs w:val="1"/>
          <w:color w:val="auto"/>
        </w:rPr>
        <w:t>Tuesday, December 11, 2018 at 9:30 am Central Time</w:t>
      </w:r>
      <w:r>
        <w:rPr>
          <w:rFonts w:ascii="Arial" w:cs="Arial" w:eastAsia="Arial" w:hAnsi="Arial"/>
          <w:sz w:val="18"/>
          <w:szCs w:val="18"/>
          <w:color w:val="auto"/>
        </w:rPr>
        <w:t xml:space="preserve">. The meeting will be held at </w:t>
      </w:r>
      <w:r>
        <w:rPr>
          <w:rFonts w:ascii="Arial" w:cs="Arial" w:eastAsia="Arial" w:hAnsi="Arial"/>
          <w:sz w:val="18"/>
          <w:szCs w:val="18"/>
          <w:b w:val="1"/>
          <w:bCs w:val="1"/>
          <w:color w:val="auto"/>
        </w:rPr>
        <w:t>The</w:t>
      </w:r>
      <w:r>
        <w:rPr>
          <w:rFonts w:ascii="Arial" w:cs="Arial" w:eastAsia="Arial" w:hAnsi="Arial"/>
          <w:sz w:val="18"/>
          <w:szCs w:val="18"/>
          <w:color w:val="auto"/>
        </w:rPr>
        <w:t xml:space="preserve"> </w:t>
      </w:r>
      <w:r>
        <w:rPr>
          <w:rFonts w:ascii="Arial" w:cs="Arial" w:eastAsia="Arial" w:hAnsi="Arial"/>
          <w:sz w:val="18"/>
          <w:szCs w:val="18"/>
          <w:b w:val="1"/>
          <w:bCs w:val="1"/>
          <w:color w:val="auto"/>
        </w:rPr>
        <w:t>University of Chicago Booth School of Business, Gleacher Center, 450 Cityfront Plaza Drive, Chicago, IL 60611</w:t>
      </w:r>
      <w:r>
        <w:rPr>
          <w:rFonts w:ascii="Arial" w:cs="Arial" w:eastAsia="Arial" w:hAnsi="Arial"/>
          <w:sz w:val="18"/>
          <w:szCs w:val="18"/>
          <w:color w:val="auto"/>
        </w:rPr>
        <w:t>. The record date for voting eligibility</w:t>
      </w:r>
      <w:r>
        <w:rPr>
          <w:rFonts w:ascii="Arial" w:cs="Arial" w:eastAsia="Arial" w:hAnsi="Arial"/>
          <w:sz w:val="18"/>
          <w:szCs w:val="18"/>
          <w:b w:val="1"/>
          <w:bCs w:val="1"/>
          <w:color w:val="auto"/>
        </w:rPr>
        <w:t xml:space="preserve"> </w:t>
      </w:r>
      <w:r>
        <w:rPr>
          <w:rFonts w:ascii="Arial" w:cs="Arial" w:eastAsia="Arial" w:hAnsi="Arial"/>
          <w:sz w:val="18"/>
          <w:szCs w:val="18"/>
          <w:color w:val="auto"/>
        </w:rPr>
        <w:t>at the Annual Meeting is October 15, 2018.</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321-1515</w:t>
      </w:r>
    </w:p>
    <w:p>
      <w:pPr>
        <w:sectPr>
          <w:pgSz w:w="11900" w:h="16838" w:orient="portrait"/>
          <w:cols w:equalWidth="0" w:num="1">
            <w:col w:w="11420"/>
          </w:cols>
          <w:pgMar w:left="240" w:top="1440" w:right="239" w:bottom="1440" w:gutter="0" w:footer="0" w:header="0"/>
        </w:sectPr>
      </w:pPr>
    </w:p>
    <w:bookmarkStart w:id="7" w:name="page8"/>
    <w:bookmarkEnd w:id="7"/>
    <w:p>
      <w:pPr>
        <w:spacing w:after="0" w:line="1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860425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208915</wp:posOffset>
            </wp:positionV>
            <wp:extent cx="1475105" cy="4889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ind w:right="40"/>
        <w:spacing w:after="0" w:line="275" w:lineRule="auto"/>
        <w:rPr>
          <w:sz w:val="20"/>
          <w:szCs w:val="20"/>
          <w:color w:val="auto"/>
        </w:rPr>
      </w:pPr>
      <w:r>
        <w:rPr>
          <w:rFonts w:ascii="Arial" w:cs="Arial" w:eastAsia="Arial" w:hAnsi="Arial"/>
          <w:sz w:val="16"/>
          <w:szCs w:val="16"/>
          <w:i w:val="1"/>
          <w:iCs w:val="1"/>
          <w:color w:val="auto"/>
        </w:rPr>
        <w:t>“Oil-Dri”, “Agsorb”, “Amlan”, “Calibrin”, “Cat’s Pride”, “Ultra-Clear”, and “Varium” are registered trademarks of Oil-Dri Corporation of America. “Litter for Good” is a trademark of Oil-Dri Corporation of America.</w:t>
      </w:r>
    </w:p>
    <w:p>
      <w:pPr>
        <w:spacing w:after="0" w:line="200" w:lineRule="exact"/>
        <w:rPr>
          <w:sz w:val="20"/>
          <w:szCs w:val="20"/>
          <w:color w:val="auto"/>
        </w:rPr>
      </w:pPr>
    </w:p>
    <w:p>
      <w:pPr>
        <w:spacing w:after="0" w:line="252" w:lineRule="auto"/>
        <w:rPr>
          <w:sz w:val="20"/>
          <w:szCs w:val="20"/>
          <w:color w:val="auto"/>
        </w:rPr>
      </w:pPr>
      <w:r>
        <w:rPr>
          <w:rFonts w:ascii="Arial" w:cs="Arial" w:eastAsia="Arial" w:hAnsi="Arial"/>
          <w:sz w:val="16"/>
          <w:szCs w:val="16"/>
          <w:i w:val="1"/>
          <w:iCs w:val="1"/>
          <w:color w:val="auto"/>
        </w:rPr>
        <w:t>Certain statements in this press release may contain forward-looking statements that are based on our current expectations, estimates, forecasts and projections about our future performance, our business, our beliefs, and our management’s assumptions.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or variations of such words and similar expressions are intended to identify such forward-looking statements, which are made pursuant to the safe harbor provisions of the Private Securities Litigation Reform Act of 1995.</w:t>
      </w:r>
    </w:p>
    <w:p>
      <w:pPr>
        <w:spacing w:after="0" w:line="218" w:lineRule="exact"/>
        <w:rPr>
          <w:sz w:val="20"/>
          <w:szCs w:val="20"/>
          <w:color w:val="auto"/>
        </w:rPr>
      </w:pPr>
    </w:p>
    <w:p>
      <w:pPr>
        <w:ind w:right="60"/>
        <w:spacing w:after="0" w:line="269" w:lineRule="auto"/>
        <w:rPr>
          <w:sz w:val="20"/>
          <w:szCs w:val="20"/>
          <w:color w:val="auto"/>
        </w:rPr>
      </w:pPr>
      <w:r>
        <w:rPr>
          <w:rFonts w:ascii="Arial" w:cs="Arial" w:eastAsia="Arial" w:hAnsi="Arial"/>
          <w:sz w:val="15"/>
          <w:szCs w:val="15"/>
          <w:i w:val="1"/>
          <w:iCs w:val="1"/>
          <w:color w:val="auto"/>
        </w:rPr>
        <w:t>Such statements are subject to certain risks, uncertainties and assumptions that could cause actual results to differ materially including, but not limited to, the dependence of our future growth and financial performance on successful new product introductions, intense competition in our markets, volatility of our quarterly results, risks associated with acquisitions, our dependence on a limited number of customers for a large portion of our net sales and other risks, uncertainties and assumptions that are described in Item 1A (Risk Factors) of our most recent Annual Report on Form 10-K and other reports we file with the Securities and Exchange Commission. Should one or more of these or other risks or uncertainties materialize, or should underlying assumptions prove incorrect, our actual results may vary materially from those anticipated, intended, expected, believed, estimated, projected or planned. You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002D69"/>
        </w:rPr>
        <w:t>(312) 321-1515</w:t>
      </w:r>
    </w:p>
    <w:p>
      <w:pPr>
        <w:sectPr>
          <w:pgSz w:w="11900" w:h="16838" w:orient="portrait"/>
          <w:cols w:equalWidth="0" w:num="1">
            <w:col w:w="11400"/>
          </w:cols>
          <w:pgMar w:left="240" w:top="1440" w:right="259" w:bottom="1440" w:gutter="0" w:footer="0" w:header="0"/>
        </w:sectPr>
      </w:pPr>
    </w:p>
    <w:bookmarkStart w:id="8" w:name="page9"/>
    <w:bookmarkEnd w:id="8"/>
    <w:p>
      <w:pPr>
        <w:spacing w:after="0" w:line="3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860425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208915</wp:posOffset>
            </wp:positionV>
            <wp:extent cx="1475105" cy="4889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CONSOLIDATED STATEMENTS OF INCOME</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540" w:type="dxa"/>
            <w:vAlign w:val="bottom"/>
          </w:tcPr>
          <w:p>
            <w:pPr>
              <w:ind w:left="40"/>
              <w:spacing w:after="0"/>
              <w:rPr>
                <w:sz w:val="20"/>
                <w:szCs w:val="20"/>
                <w:color w:val="auto"/>
              </w:rPr>
            </w:pPr>
            <w:r>
              <w:rPr>
                <w:rFonts w:ascii="Arial" w:cs="Arial" w:eastAsia="Arial" w:hAnsi="Arial"/>
                <w:sz w:val="18"/>
                <w:szCs w:val="18"/>
                <w:color w:val="auto"/>
              </w:rPr>
              <w:t>(quarter unaudited)</w:t>
            </w: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60" w:type="dxa"/>
            <w:vAlign w:val="bottom"/>
            <w:gridSpan w:val="5"/>
          </w:tcPr>
          <w:p>
            <w:pPr>
              <w:ind w:left="20"/>
              <w:spacing w:after="0"/>
              <w:rPr>
                <w:sz w:val="20"/>
                <w:szCs w:val="20"/>
                <w:color w:val="auto"/>
              </w:rPr>
            </w:pPr>
            <w:r>
              <w:rPr>
                <w:rFonts w:ascii="Arial" w:cs="Arial" w:eastAsia="Arial" w:hAnsi="Arial"/>
                <w:sz w:val="18"/>
                <w:szCs w:val="18"/>
                <w:color w:val="auto"/>
                <w:w w:val="90"/>
              </w:rPr>
              <w:t>(in thousands, except per share amounts)</w:t>
            </w: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5"/>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60" w:type="dxa"/>
            <w:vAlign w:val="bottom"/>
            <w:gridSpan w:val="5"/>
          </w:tcPr>
          <w:p>
            <w:pPr>
              <w:ind w:left="300"/>
              <w:spacing w:after="0"/>
              <w:rPr>
                <w:sz w:val="20"/>
                <w:szCs w:val="20"/>
                <w:color w:val="auto"/>
              </w:rPr>
            </w:pPr>
            <w:r>
              <w:rPr>
                <w:rFonts w:ascii="Arial" w:cs="Arial" w:eastAsia="Arial" w:hAnsi="Arial"/>
                <w:sz w:val="18"/>
                <w:szCs w:val="18"/>
                <w:b w:val="1"/>
                <w:bCs w:val="1"/>
                <w:color w:val="auto"/>
              </w:rPr>
              <w:t>Fourth Quarter Ended July 31,</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580" w:type="dxa"/>
            <w:vAlign w:val="bottom"/>
            <w:gridSpan w:val="2"/>
          </w:tcPr>
          <w:p>
            <w:pPr>
              <w:ind w:left="320"/>
              <w:spacing w:after="0"/>
              <w:rPr>
                <w:sz w:val="20"/>
                <w:szCs w:val="20"/>
                <w:color w:val="auto"/>
              </w:rPr>
            </w:pPr>
            <w:r>
              <w:rPr>
                <w:rFonts w:ascii="Arial" w:cs="Arial" w:eastAsia="Arial" w:hAnsi="Arial"/>
                <w:sz w:val="18"/>
                <w:szCs w:val="18"/>
                <w:b w:val="1"/>
                <w:bCs w:val="1"/>
                <w:color w:val="auto"/>
              </w:rPr>
              <w:t>% of Sales</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360" w:type="dxa"/>
            <w:vAlign w:val="bottom"/>
          </w:tcPr>
          <w:p>
            <w:pPr>
              <w:jc w:val="right"/>
              <w:ind w:right="149"/>
              <w:spacing w:after="0"/>
              <w:rPr>
                <w:sz w:val="20"/>
                <w:szCs w:val="20"/>
                <w:color w:val="auto"/>
              </w:rPr>
            </w:pPr>
            <w:r>
              <w:rPr>
                <w:rFonts w:ascii="Arial" w:cs="Arial" w:eastAsia="Arial" w:hAnsi="Arial"/>
                <w:sz w:val="18"/>
                <w:szCs w:val="18"/>
                <w:b w:val="1"/>
                <w:bCs w:val="1"/>
                <w:color w:val="auto"/>
              </w:rPr>
              <w:t>% of Sales</w:t>
            </w:r>
          </w:p>
        </w:tc>
        <w:tc>
          <w:tcPr>
            <w:tcW w:w="0" w:type="dxa"/>
            <w:vAlign w:val="bottom"/>
          </w:tcPr>
          <w:p>
            <w:pPr>
              <w:spacing w:after="0"/>
              <w:rPr>
                <w:sz w:val="1"/>
                <w:szCs w:val="1"/>
                <w:color w:val="auto"/>
              </w:rPr>
            </w:pPr>
          </w:p>
        </w:tc>
      </w:tr>
      <w:tr>
        <w:trPr>
          <w:trHeight w:val="27"/>
        </w:trPr>
        <w:tc>
          <w:tcPr>
            <w:tcW w:w="55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40" w:type="dxa"/>
            <w:vAlign w:val="bottom"/>
            <w:vMerge w:val="continue"/>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65,613</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100.0 %</w:t>
            </w:r>
          </w:p>
        </w:tc>
        <w:tc>
          <w:tcPr>
            <w:tcW w:w="2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65,776</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 of Sales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(49,963)</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(49,695)</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37"/>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Gross Profit</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15,650</w:t>
            </w:r>
          </w:p>
        </w:tc>
        <w:tc>
          <w:tcPr>
            <w:tcW w:w="22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23.9 %</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16,081</w:t>
            </w:r>
          </w:p>
        </w:tc>
        <w:tc>
          <w:tcPr>
            <w:tcW w:w="22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24.4 %</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Selling, General and Administrative Expenses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(12,767)</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(13,230)</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37"/>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2,883</w:t>
            </w:r>
          </w:p>
        </w:tc>
        <w:tc>
          <w:tcPr>
            <w:tcW w:w="22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4.4 %</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2,851</w:t>
            </w:r>
          </w:p>
        </w:tc>
        <w:tc>
          <w:tcPr>
            <w:tcW w:w="22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Other (Loss) Income</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169</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2,661</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2,854</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Income Tax Benefit (Expense)</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1"/>
                <w:szCs w:val="21"/>
                <w:color w:val="auto"/>
              </w:rPr>
            </w:pPr>
          </w:p>
        </w:tc>
        <w:tc>
          <w:tcPr>
            <w:tcW w:w="1580" w:type="dxa"/>
            <w:vAlign w:val="bottom"/>
            <w:gridSpan w:val="2"/>
          </w:tcPr>
          <w:p>
            <w:pPr>
              <w:jc w:val="center"/>
              <w:ind w:left="589"/>
              <w:spacing w:after="0"/>
              <w:rPr>
                <w:sz w:val="20"/>
                <w:szCs w:val="20"/>
                <w:color w:val="auto"/>
              </w:rPr>
            </w:pPr>
            <w:r>
              <w:rPr>
                <w:rFonts w:ascii="Arial" w:cs="Arial" w:eastAsia="Arial" w:hAnsi="Arial"/>
                <w:sz w:val="18"/>
                <w:szCs w:val="18"/>
                <w:color w:val="auto"/>
                <w:w w:val="97"/>
              </w:rPr>
              <w:t>— %</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(1,532)</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2,683</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1,322</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Net Loss Attributable to Noncontrolling Interests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1"/>
                <w:szCs w:val="21"/>
                <w:color w:val="auto"/>
              </w:rPr>
            </w:pPr>
          </w:p>
        </w:tc>
        <w:tc>
          <w:tcPr>
            <w:tcW w:w="15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4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Oil-Dri</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2,701</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1,322</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0"/>
        </w:trPr>
        <w:tc>
          <w:tcPr>
            <w:tcW w:w="55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Basic Common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0.40</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0.20</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280"/>
              <w:spacing w:after="0"/>
              <w:rPr>
                <w:sz w:val="20"/>
                <w:szCs w:val="20"/>
                <w:color w:val="auto"/>
              </w:rPr>
            </w:pPr>
            <w:r>
              <w:rPr>
                <w:rFonts w:ascii="Arial" w:cs="Arial" w:eastAsia="Arial" w:hAnsi="Arial"/>
                <w:sz w:val="18"/>
                <w:szCs w:val="18"/>
                <w:b w:val="1"/>
                <w:bCs w:val="1"/>
                <w:color w:val="auto"/>
              </w:rPr>
              <w:t>Basic Class B Common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0.30</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0.15</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Diluted Common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0.36</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0.18</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Basic Common</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5,049</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5,024</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280"/>
              <w:spacing w:after="0"/>
              <w:rPr>
                <w:sz w:val="20"/>
                <w:szCs w:val="20"/>
                <w:color w:val="auto"/>
              </w:rPr>
            </w:pPr>
            <w:r>
              <w:rPr>
                <w:rFonts w:ascii="Arial" w:cs="Arial" w:eastAsia="Arial" w:hAnsi="Arial"/>
                <w:sz w:val="18"/>
                <w:szCs w:val="18"/>
                <w:b w:val="1"/>
                <w:bCs w:val="1"/>
                <w:color w:val="auto"/>
              </w:rPr>
              <w:t>Basic Class B Common</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2,091</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2,088</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Diluted Common</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7,239</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7,179</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5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060" w:type="dxa"/>
            <w:vAlign w:val="bottom"/>
            <w:tcBorders>
              <w:top w:val="single" w:sz="8" w:color="auto"/>
            </w:tcBorders>
            <w:gridSpan w:val="5"/>
          </w:tcPr>
          <w:p>
            <w:pPr>
              <w:ind w:left="320"/>
              <w:spacing w:after="0"/>
              <w:rPr>
                <w:sz w:val="20"/>
                <w:szCs w:val="20"/>
                <w:color w:val="auto"/>
              </w:rPr>
            </w:pPr>
            <w:r>
              <w:rPr>
                <w:rFonts w:ascii="Arial" w:cs="Arial" w:eastAsia="Arial" w:hAnsi="Arial"/>
                <w:sz w:val="18"/>
                <w:szCs w:val="18"/>
                <w:b w:val="1"/>
                <w:bCs w:val="1"/>
                <w:color w:val="auto"/>
              </w:rPr>
              <w:t>Twelve Months Ended July 31,</w:t>
            </w:r>
          </w:p>
        </w:tc>
        <w:tc>
          <w:tcPr>
            <w:tcW w:w="13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580" w:type="dxa"/>
            <w:vAlign w:val="bottom"/>
            <w:gridSpan w:val="2"/>
          </w:tcPr>
          <w:p>
            <w:pPr>
              <w:ind w:left="320"/>
              <w:spacing w:after="0"/>
              <w:rPr>
                <w:sz w:val="20"/>
                <w:szCs w:val="20"/>
                <w:color w:val="auto"/>
              </w:rPr>
            </w:pPr>
            <w:r>
              <w:rPr>
                <w:rFonts w:ascii="Arial" w:cs="Arial" w:eastAsia="Arial" w:hAnsi="Arial"/>
                <w:sz w:val="18"/>
                <w:szCs w:val="18"/>
                <w:b w:val="1"/>
                <w:bCs w:val="1"/>
                <w:color w:val="auto"/>
              </w:rPr>
              <w:t>% of Sales</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360" w:type="dxa"/>
            <w:vAlign w:val="bottom"/>
          </w:tcPr>
          <w:p>
            <w:pPr>
              <w:jc w:val="right"/>
              <w:ind w:right="149"/>
              <w:spacing w:after="0"/>
              <w:rPr>
                <w:sz w:val="20"/>
                <w:szCs w:val="20"/>
                <w:color w:val="auto"/>
              </w:rPr>
            </w:pPr>
            <w:r>
              <w:rPr>
                <w:rFonts w:ascii="Arial" w:cs="Arial" w:eastAsia="Arial" w:hAnsi="Arial"/>
                <w:sz w:val="18"/>
                <w:szCs w:val="18"/>
                <w:b w:val="1"/>
                <w:bCs w:val="1"/>
                <w:color w:val="auto"/>
              </w:rPr>
              <w:t>% of Sales</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266,000</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262,307</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Cost of Sales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(193,998)</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(72.9)%</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(188,595)</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72,002</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27.1 %</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73,712</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28.1 %</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Selling, General and Administrative Expenses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(57,332)</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(58,482)</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14,670</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15,230</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Interest Expense</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(676)</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(888)</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872</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37"/>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14,866</w:t>
            </w:r>
          </w:p>
        </w:tc>
        <w:tc>
          <w:tcPr>
            <w:tcW w:w="22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5.6 %</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14,545</w:t>
            </w:r>
          </w:p>
        </w:tc>
        <w:tc>
          <w:tcPr>
            <w:tcW w:w="22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(6,644)</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(3,753)</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8,222</w:t>
            </w:r>
          </w:p>
        </w:tc>
        <w:tc>
          <w:tcPr>
            <w:tcW w:w="22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3.1 %</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10,792</w:t>
            </w:r>
          </w:p>
        </w:tc>
        <w:tc>
          <w:tcPr>
            <w:tcW w:w="22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Attributable to Noncontrolling Interests</w:t>
            </w:r>
          </w:p>
        </w:tc>
        <w:tc>
          <w:tcPr>
            <w:tcW w:w="2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gridSpan w:val="2"/>
            <w:shd w:val="clear" w:color="auto" w:fill="CCEEFF"/>
          </w:tcPr>
          <w:p>
            <w:pPr>
              <w:jc w:val="center"/>
              <w:ind w:left="589"/>
              <w:spacing w:after="0"/>
              <w:rPr>
                <w:sz w:val="20"/>
                <w:szCs w:val="20"/>
                <w:color w:val="auto"/>
              </w:rPr>
            </w:pPr>
            <w:r>
              <w:rPr>
                <w:rFonts w:ascii="Arial" w:cs="Arial" w:eastAsia="Arial" w:hAnsi="Arial"/>
                <w:sz w:val="20"/>
                <w:szCs w:val="20"/>
                <w:color w:val="auto"/>
                <w:w w:val="96"/>
              </w:rPr>
              <w:t>— %</w:t>
            </w:r>
          </w:p>
        </w:tc>
        <w:tc>
          <w:tcPr>
            <w:tcW w:w="2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 %</w:t>
            </w:r>
          </w:p>
        </w:tc>
        <w:tc>
          <w:tcPr>
            <w:tcW w:w="0" w:type="dxa"/>
            <w:vAlign w:val="bottom"/>
          </w:tcPr>
          <w:p>
            <w:pPr>
              <w:spacing w:after="0"/>
              <w:rPr>
                <w:sz w:val="1"/>
                <w:szCs w:val="1"/>
                <w:color w:val="auto"/>
              </w:rPr>
            </w:pPr>
          </w:p>
        </w:tc>
      </w:tr>
      <w:tr>
        <w:trPr>
          <w:trHeight w:val="311"/>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 Attributable to Oil-Dri</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8,240</w:t>
            </w:r>
          </w:p>
        </w:tc>
        <w:tc>
          <w:tcPr>
            <w:tcW w:w="220" w:type="dxa"/>
            <w:vAlign w:val="bottom"/>
            <w:tcBorders>
              <w:bottom w:val="single" w:sz="8" w:color="CCEEFF"/>
            </w:tcBorders>
          </w:tcPr>
          <w:p>
            <w:pPr>
              <w:spacing w:after="0"/>
              <w:rPr>
                <w:sz w:val="24"/>
                <w:szCs w:val="24"/>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3.1 %</w:t>
            </w:r>
          </w:p>
        </w:tc>
        <w:tc>
          <w:tcPr>
            <w:tcW w:w="2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10,792</w:t>
            </w:r>
          </w:p>
        </w:tc>
        <w:tc>
          <w:tcPr>
            <w:tcW w:w="220" w:type="dxa"/>
            <w:vAlign w:val="bottom"/>
            <w:tcBorders>
              <w:bottom w:val="single" w:sz="8" w:color="CCEEFF"/>
            </w:tcBorders>
          </w:tcPr>
          <w:p>
            <w:pPr>
              <w:spacing w:after="0"/>
              <w:rPr>
                <w:sz w:val="24"/>
                <w:szCs w:val="24"/>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4.2 %</w:t>
            </w:r>
          </w:p>
        </w:tc>
        <w:tc>
          <w:tcPr>
            <w:tcW w:w="0" w:type="dxa"/>
            <w:vAlign w:val="bottom"/>
          </w:tcPr>
          <w:p>
            <w:pPr>
              <w:spacing w:after="0"/>
              <w:rPr>
                <w:sz w:val="1"/>
                <w:szCs w:val="1"/>
                <w:color w:val="auto"/>
              </w:rPr>
            </w:pPr>
          </w:p>
        </w:tc>
      </w:tr>
      <w:tr>
        <w:trPr>
          <w:trHeight w:val="237"/>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280"/>
              <w:spacing w:after="0"/>
              <w:rPr>
                <w:sz w:val="20"/>
                <w:szCs w:val="20"/>
                <w:color w:val="auto"/>
              </w:rPr>
            </w:pPr>
            <w:r>
              <w:rPr>
                <w:rFonts w:ascii="Arial" w:cs="Arial" w:eastAsia="Arial" w:hAnsi="Arial"/>
                <w:sz w:val="18"/>
                <w:szCs w:val="18"/>
                <w:b w:val="1"/>
                <w:bCs w:val="1"/>
                <w:color w:val="auto"/>
              </w:rPr>
              <w:t>Basic Common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1.60</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Basic Class B Common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0.91</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280"/>
              <w:spacing w:after="0"/>
              <w:rPr>
                <w:sz w:val="20"/>
                <w:szCs w:val="20"/>
                <w:color w:val="auto"/>
              </w:rPr>
            </w:pPr>
            <w:r>
              <w:rPr>
                <w:rFonts w:ascii="Arial" w:cs="Arial" w:eastAsia="Arial" w:hAnsi="Arial"/>
                <w:sz w:val="18"/>
                <w:szCs w:val="18"/>
                <w:b w:val="1"/>
                <w:bCs w:val="1"/>
                <w:color w:val="auto"/>
              </w:rPr>
              <w:t>Diluted Common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1.47</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280"/>
              <w:spacing w:after="0"/>
              <w:rPr>
                <w:sz w:val="20"/>
                <w:szCs w:val="20"/>
                <w:color w:val="auto"/>
              </w:rPr>
            </w:pPr>
            <w:r>
              <w:rPr>
                <w:rFonts w:ascii="Arial" w:cs="Arial" w:eastAsia="Arial" w:hAnsi="Arial"/>
                <w:sz w:val="18"/>
                <w:szCs w:val="18"/>
                <w:b w:val="1"/>
                <w:bCs w:val="1"/>
                <w:color w:val="auto"/>
              </w:rPr>
              <w:t>Basic Common</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5,036</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5,017</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Basic Class B Common</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2,097</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2,083</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280"/>
              <w:spacing w:after="0"/>
              <w:rPr>
                <w:sz w:val="20"/>
                <w:szCs w:val="20"/>
                <w:color w:val="auto"/>
              </w:rPr>
            </w:pPr>
            <w:r>
              <w:rPr>
                <w:rFonts w:ascii="Arial" w:cs="Arial" w:eastAsia="Arial" w:hAnsi="Arial"/>
                <w:sz w:val="18"/>
                <w:szCs w:val="18"/>
                <w:b w:val="1"/>
                <w:bCs w:val="1"/>
                <w:color w:val="auto"/>
              </w:rPr>
              <w:t>Diluted Common</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7,222</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7,158</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321-1515</w:t>
      </w:r>
    </w:p>
    <w:p>
      <w:pPr>
        <w:sectPr>
          <w:pgSz w:w="11900" w:h="16838" w:orient="portrait"/>
          <w:cols w:equalWidth="0" w:num="1">
            <w:col w:w="11420"/>
          </w:cols>
          <w:pgMar w:left="240" w:top="1440" w:right="239" w:bottom="246" w:gutter="0" w:footer="0" w:header="0"/>
        </w:sectPr>
      </w:pPr>
    </w:p>
    <w:bookmarkStart w:id="9" w:name="page10"/>
    <w:bookmarkEnd w:id="9"/>
    <w:p>
      <w:pPr>
        <w:spacing w:after="0" w:line="3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860425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208915</wp:posOffset>
            </wp:positionV>
            <wp:extent cx="1475105" cy="4889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CONSOLIDATED BALANCE SHEETS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thousands, except per share amounts)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As of July 31,</w:t>
            </w:r>
          </w:p>
        </w:tc>
        <w:tc>
          <w:tcPr>
            <w:tcW w:w="1280" w:type="dxa"/>
            <w:vAlign w:val="bottom"/>
          </w:tcPr>
          <w:p>
            <w:pPr>
              <w:spacing w:after="0"/>
              <w:rPr>
                <w:sz w:val="20"/>
                <w:szCs w:val="20"/>
                <w:color w:val="auto"/>
              </w:rPr>
            </w:pP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4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8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Cash and Cash Equivalents</w:t>
            </w:r>
          </w:p>
        </w:tc>
        <w:tc>
          <w:tcPr>
            <w:tcW w:w="3180" w:type="dxa"/>
            <w:vAlign w:val="bottom"/>
          </w:tcPr>
          <w:p>
            <w:pPr>
              <w:spacing w:after="0"/>
              <w:rPr>
                <w:sz w:val="21"/>
                <w:szCs w:val="21"/>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12,757</w:t>
            </w:r>
          </w:p>
        </w:tc>
        <w:tc>
          <w:tcPr>
            <w:tcW w:w="34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9,095</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Short-term Investments</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7,124</w:t>
            </w:r>
          </w:p>
        </w:tc>
        <w:tc>
          <w:tcPr>
            <w:tcW w:w="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23,576</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Accounts Receivable, Net</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33,602</w:t>
            </w: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32,750</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Inventories</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22,521</w:t>
            </w:r>
          </w:p>
        </w:tc>
        <w:tc>
          <w:tcPr>
            <w:tcW w:w="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22,615</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Prepaid Expenses (1)</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7,010</w:t>
            </w: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6,194</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42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b w:val="1"/>
                <w:bCs w:val="1"/>
                <w:color w:val="auto"/>
              </w:rPr>
              <w:t>Total Current Assets</w:t>
            </w:r>
          </w:p>
        </w:tc>
        <w:tc>
          <w:tcPr>
            <w:tcW w:w="3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83,014</w:t>
            </w:r>
          </w:p>
        </w:tc>
        <w:tc>
          <w:tcPr>
            <w:tcW w:w="3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94,230</w:t>
            </w:r>
          </w:p>
        </w:tc>
      </w:tr>
      <w:tr>
        <w:trPr>
          <w:trHeight w:val="237"/>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31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86,706</w:t>
            </w:r>
          </w:p>
        </w:tc>
        <w:tc>
          <w:tcPr>
            <w:tcW w:w="34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84,033</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 (1)</w:t>
            </w:r>
          </w:p>
        </w:tc>
        <w:tc>
          <w:tcPr>
            <w:tcW w:w="3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24,962</w:t>
            </w:r>
          </w:p>
        </w:tc>
        <w:tc>
          <w:tcPr>
            <w:tcW w:w="3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34,312</w:t>
            </w:r>
          </w:p>
        </w:tc>
      </w:tr>
      <w:tr>
        <w:trPr>
          <w:trHeight w:val="297"/>
        </w:trPr>
        <w:tc>
          <w:tcPr>
            <w:tcW w:w="42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3180" w:type="dxa"/>
            <w:vAlign w:val="bottom"/>
            <w:tcBorders>
              <w:bottom w:val="single" w:sz="8" w:color="CCEEFF"/>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2"/>
              </w:rPr>
              <w:t>194,682</w:t>
            </w:r>
          </w:p>
        </w:tc>
        <w:tc>
          <w:tcPr>
            <w:tcW w:w="34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212,575</w:t>
            </w:r>
          </w:p>
        </w:tc>
      </w:tr>
      <w:tr>
        <w:trPr>
          <w:trHeight w:val="284"/>
        </w:trPr>
        <w:tc>
          <w:tcPr>
            <w:tcW w:w="4260" w:type="dxa"/>
            <w:vAlign w:val="bottom"/>
            <w:shd w:val="clear" w:color="auto" w:fill="CCEEFF"/>
          </w:tcPr>
          <w:p>
            <w:pPr>
              <w:spacing w:after="0"/>
              <w:rPr>
                <w:sz w:val="24"/>
                <w:szCs w:val="24"/>
                <w:color w:val="auto"/>
              </w:rPr>
            </w:pPr>
          </w:p>
        </w:tc>
        <w:tc>
          <w:tcPr>
            <w:tcW w:w="3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Current Maturities of Notes Payable</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3,083</w:t>
            </w:r>
          </w:p>
        </w:tc>
        <w:tc>
          <w:tcPr>
            <w:tcW w:w="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3,083</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Accounts Payable</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6,543</w:t>
            </w: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9,594</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Dividends Payable</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1,627</w:t>
            </w:r>
          </w:p>
        </w:tc>
        <w:tc>
          <w:tcPr>
            <w:tcW w:w="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1,553</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Accrued Expenses</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19,696</w:t>
            </w: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18,724</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42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b w:val="1"/>
                <w:bCs w:val="1"/>
                <w:color w:val="auto"/>
              </w:rPr>
              <w:t>Total Current Liabilities</w:t>
            </w:r>
          </w:p>
        </w:tc>
        <w:tc>
          <w:tcPr>
            <w:tcW w:w="3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30,949</w:t>
            </w:r>
          </w:p>
        </w:tc>
        <w:tc>
          <w:tcPr>
            <w:tcW w:w="3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32,954</w:t>
            </w:r>
          </w:p>
        </w:tc>
      </w:tr>
      <w:tr>
        <w:trPr>
          <w:trHeight w:val="237"/>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Noncurrent Liabilities</w:t>
            </w:r>
          </w:p>
        </w:tc>
        <w:tc>
          <w:tcPr>
            <w:tcW w:w="31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Notes Payable</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6,107</w:t>
            </w:r>
          </w:p>
        </w:tc>
        <w:tc>
          <w:tcPr>
            <w:tcW w:w="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9,161</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Other Noncurrent Liabilities</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25,741</w:t>
            </w: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44,423</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42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b w:val="1"/>
                <w:bCs w:val="1"/>
                <w:color w:val="auto"/>
              </w:rPr>
              <w:t>Total Noncurrent Liabilities</w:t>
            </w:r>
          </w:p>
        </w:tc>
        <w:tc>
          <w:tcPr>
            <w:tcW w:w="3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31,848</w:t>
            </w:r>
          </w:p>
        </w:tc>
        <w:tc>
          <w:tcPr>
            <w:tcW w:w="3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53,584</w:t>
            </w:r>
          </w:p>
        </w:tc>
      </w:tr>
      <w:tr>
        <w:trPr>
          <w:trHeight w:val="237"/>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31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131,885</w:t>
            </w:r>
          </w:p>
        </w:tc>
        <w:tc>
          <w:tcPr>
            <w:tcW w:w="34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126,037</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3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194,682</w:t>
            </w:r>
          </w:p>
        </w:tc>
        <w:tc>
          <w:tcPr>
            <w:tcW w:w="3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212,575</w:t>
            </w:r>
          </w:p>
        </w:tc>
      </w:tr>
      <w:tr>
        <w:trPr>
          <w:trHeight w:val="20"/>
        </w:trPr>
        <w:tc>
          <w:tcPr>
            <w:tcW w:w="42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84"/>
        </w:trPr>
        <w:tc>
          <w:tcPr>
            <w:tcW w:w="42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Book Value Per Share Outstanding</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18.49</w:t>
            </w:r>
          </w:p>
        </w:tc>
        <w:tc>
          <w:tcPr>
            <w:tcW w:w="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17.75</w:t>
            </w:r>
          </w:p>
        </w:tc>
      </w:tr>
      <w:tr>
        <w:trPr>
          <w:trHeight w:val="297"/>
        </w:trPr>
        <w:tc>
          <w:tcPr>
            <w:tcW w:w="42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Acquisitions of:</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w:t>
            </w:r>
          </w:p>
        </w:tc>
        <w:tc>
          <w:tcPr>
            <w:tcW w:w="3180" w:type="dxa"/>
            <w:vAlign w:val="bottom"/>
          </w:tcPr>
          <w:p>
            <w:pPr>
              <w:ind w:left="1020"/>
              <w:spacing w:after="0"/>
              <w:rPr>
                <w:sz w:val="20"/>
                <w:szCs w:val="20"/>
                <w:color w:val="auto"/>
              </w:rPr>
            </w:pPr>
            <w:r>
              <w:rPr>
                <w:rFonts w:ascii="Arial" w:cs="Arial" w:eastAsia="Arial" w:hAnsi="Arial"/>
                <w:sz w:val="18"/>
                <w:szCs w:val="18"/>
                <w:b w:val="1"/>
                <w:bCs w:val="1"/>
                <w:color w:val="auto"/>
              </w:rPr>
              <w:t>Fourth Quarter</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4,541</w:t>
            </w:r>
          </w:p>
        </w:tc>
        <w:tc>
          <w:tcPr>
            <w:tcW w:w="34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4,345</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b w:val="1"/>
                <w:bCs w:val="1"/>
                <w:color w:val="auto"/>
              </w:rPr>
              <w:t>Year To Date</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15,074</w:t>
            </w:r>
          </w:p>
        </w:tc>
        <w:tc>
          <w:tcPr>
            <w:tcW w:w="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14,763</w:t>
            </w: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Depreciation and Amortization Charges</w:t>
            </w:r>
          </w:p>
        </w:tc>
        <w:tc>
          <w:tcPr>
            <w:tcW w:w="3180" w:type="dxa"/>
            <w:vAlign w:val="bottom"/>
          </w:tcPr>
          <w:p>
            <w:pPr>
              <w:ind w:left="1020"/>
              <w:spacing w:after="0"/>
              <w:rPr>
                <w:sz w:val="20"/>
                <w:szCs w:val="20"/>
                <w:color w:val="auto"/>
              </w:rPr>
            </w:pPr>
            <w:r>
              <w:rPr>
                <w:rFonts w:ascii="Arial" w:cs="Arial" w:eastAsia="Arial" w:hAnsi="Arial"/>
                <w:sz w:val="18"/>
                <w:szCs w:val="18"/>
                <w:b w:val="1"/>
                <w:bCs w:val="1"/>
                <w:color w:val="auto"/>
              </w:rPr>
              <w:t>Fourth Quarter</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3,179</w:t>
            </w:r>
          </w:p>
        </w:tc>
        <w:tc>
          <w:tcPr>
            <w:tcW w:w="34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3,219</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4260" w:type="dxa"/>
            <w:vAlign w:val="bottom"/>
            <w:shd w:val="clear" w:color="auto" w:fill="CCEEFF"/>
          </w:tcPr>
          <w:p>
            <w:pPr>
              <w:spacing w:after="0"/>
              <w:rPr>
                <w:sz w:val="21"/>
                <w:szCs w:val="21"/>
                <w:color w:val="auto"/>
              </w:rPr>
            </w:pPr>
          </w:p>
        </w:tc>
        <w:tc>
          <w:tcPr>
            <w:tcW w:w="3180" w:type="dxa"/>
            <w:vAlign w:val="bottom"/>
            <w:shd w:val="clear" w:color="auto" w:fill="CCEEFF"/>
          </w:tcPr>
          <w:p>
            <w:pPr>
              <w:ind w:left="1020"/>
              <w:spacing w:after="0"/>
              <w:rPr>
                <w:sz w:val="20"/>
                <w:szCs w:val="20"/>
                <w:color w:val="auto"/>
              </w:rPr>
            </w:pPr>
            <w:r>
              <w:rPr>
                <w:rFonts w:ascii="Arial" w:cs="Arial" w:eastAsia="Arial" w:hAnsi="Arial"/>
                <w:sz w:val="18"/>
                <w:szCs w:val="18"/>
                <w:b w:val="1"/>
                <w:bCs w:val="1"/>
                <w:color w:val="auto"/>
              </w:rPr>
              <w:t>Year To Date</w:t>
            </w: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12,756</w:t>
            </w:r>
          </w:p>
        </w:tc>
        <w:tc>
          <w:tcPr>
            <w:tcW w:w="34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12,772</w:t>
            </w:r>
          </w:p>
        </w:tc>
      </w:tr>
      <w:tr>
        <w:trPr>
          <w:trHeight w:val="27"/>
        </w:trPr>
        <w:tc>
          <w:tcPr>
            <w:tcW w:w="4260" w:type="dxa"/>
            <w:vAlign w:val="bottom"/>
            <w:shd w:val="clear" w:color="auto" w:fill="CCEEFF"/>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74" w:lineRule="exact"/>
        <w:rPr>
          <w:sz w:val="20"/>
          <w:szCs w:val="20"/>
          <w:color w:val="auto"/>
        </w:rPr>
      </w:pPr>
    </w:p>
    <w:p>
      <w:pPr>
        <w:ind w:right="520" w:firstLine="8"/>
        <w:spacing w:after="0" w:line="275" w:lineRule="auto"/>
        <w:tabs>
          <w:tab w:leader="none" w:pos="229"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Prior year amounts have been retrospectively adjusted to conform to the current year presentation of current deferred income taxes required by new guidance under Accounting Standards Codification (</w:t>
      </w:r>
      <w:r>
        <w:rPr>
          <w:rFonts w:ascii="Arial" w:cs="Arial" w:eastAsia="Arial" w:hAnsi="Arial"/>
          <w:sz w:val="16"/>
          <w:szCs w:val="16"/>
          <w:color w:val="auto"/>
        </w:rPr>
        <w:t>“</w:t>
      </w:r>
      <w:r>
        <w:rPr>
          <w:rFonts w:ascii="Arial" w:cs="Arial" w:eastAsia="Arial" w:hAnsi="Arial"/>
          <w:sz w:val="16"/>
          <w:szCs w:val="16"/>
          <w:i w:val="1"/>
          <w:iCs w:val="1"/>
          <w:color w:val="auto"/>
        </w:rPr>
        <w:t>ASC</w:t>
      </w:r>
      <w:r>
        <w:rPr>
          <w:rFonts w:ascii="Arial" w:cs="Arial" w:eastAsia="Arial" w:hAnsi="Arial"/>
          <w:sz w:val="16"/>
          <w:szCs w:val="16"/>
          <w:color w:val="auto"/>
        </w:rPr>
        <w:t>”</w:t>
      </w:r>
      <w:r>
        <w:rPr>
          <w:rFonts w:ascii="Arial" w:cs="Arial" w:eastAsia="Arial" w:hAnsi="Arial"/>
          <w:sz w:val="16"/>
          <w:szCs w:val="16"/>
          <w:i w:val="1"/>
          <w:iCs w:val="1"/>
          <w:color w:val="auto"/>
        </w:rPr>
        <w:t>) 740, Balance Sheet Classification of Deferred Taxes.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321-1515</w:t>
      </w:r>
    </w:p>
    <w:p>
      <w:pPr>
        <w:sectPr>
          <w:pgSz w:w="11900" w:h="16838" w:orient="portrait"/>
          <w:cols w:equalWidth="0" w:num="1">
            <w:col w:w="11420"/>
          </w:cols>
          <w:pgMar w:left="240" w:top="1440" w:right="239" w:bottom="1440" w:gutter="0" w:footer="0" w:header="0"/>
        </w:sectPr>
      </w:pPr>
    </w:p>
    <w:bookmarkStart w:id="10" w:name="page11"/>
    <w:bookmarkEnd w:id="10"/>
    <w:p>
      <w:pPr>
        <w:spacing w:after="0" w:line="3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860425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208915</wp:posOffset>
            </wp:positionV>
            <wp:extent cx="1475105" cy="4889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thousands)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328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For the Twelve Months Ended</w:t>
            </w:r>
          </w:p>
        </w:tc>
        <w:tc>
          <w:tcPr>
            <w:tcW w:w="700" w:type="dxa"/>
            <w:vAlign w:val="bottom"/>
          </w:tcPr>
          <w:p>
            <w:pPr>
              <w:spacing w:after="0"/>
              <w:rPr>
                <w:sz w:val="20"/>
                <w:szCs w:val="20"/>
                <w:color w:val="auto"/>
              </w:rPr>
            </w:pPr>
          </w:p>
        </w:tc>
      </w:tr>
      <w:tr>
        <w:trPr>
          <w:trHeight w:val="270"/>
        </w:trPr>
        <w:tc>
          <w:tcPr>
            <w:tcW w:w="74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160" w:type="dxa"/>
            <w:vAlign w:val="bottom"/>
            <w:gridSpan w:val="3"/>
          </w:tcPr>
          <w:p>
            <w:pPr>
              <w:jc w:val="right"/>
              <w:ind w:right="890"/>
              <w:spacing w:after="0"/>
              <w:rPr>
                <w:sz w:val="20"/>
                <w:szCs w:val="20"/>
                <w:color w:val="auto"/>
              </w:rPr>
            </w:pPr>
            <w:r>
              <w:rPr>
                <w:rFonts w:ascii="Arial" w:cs="Arial" w:eastAsia="Arial" w:hAnsi="Arial"/>
                <w:sz w:val="18"/>
                <w:szCs w:val="18"/>
                <w:b w:val="1"/>
                <w:bCs w:val="1"/>
                <w:color w:val="auto"/>
              </w:rPr>
              <w:t>July 31,</w:t>
            </w:r>
          </w:p>
        </w:tc>
        <w:tc>
          <w:tcPr>
            <w:tcW w:w="700" w:type="dxa"/>
            <w:vAlign w:val="bottom"/>
          </w:tcPr>
          <w:p>
            <w:pPr>
              <w:spacing w:after="0"/>
              <w:rPr>
                <w:sz w:val="23"/>
                <w:szCs w:val="23"/>
                <w:color w:val="auto"/>
              </w:rPr>
            </w:pPr>
          </w:p>
        </w:tc>
      </w:tr>
      <w:tr>
        <w:trPr>
          <w:trHeight w:val="27"/>
        </w:trPr>
        <w:tc>
          <w:tcPr>
            <w:tcW w:w="74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700" w:type="dxa"/>
            <w:vAlign w:val="bottom"/>
          </w:tcPr>
          <w:p>
            <w:pPr>
              <w:spacing w:after="0"/>
              <w:rPr>
                <w:sz w:val="20"/>
                <w:szCs w:val="20"/>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8,222</w:t>
            </w:r>
          </w:p>
        </w:tc>
        <w:tc>
          <w:tcPr>
            <w:tcW w:w="340" w:type="dxa"/>
            <w:vAlign w:val="bottom"/>
          </w:tcPr>
          <w:p>
            <w:pPr>
              <w:spacing w:after="0"/>
              <w:rPr>
                <w:sz w:val="21"/>
                <w:szCs w:val="21"/>
                <w:color w:val="auto"/>
              </w:rPr>
            </w:pP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10,792</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Adjustments to reconcile net income to net cash</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provided by operating activities, net of acquisition:</w:t>
            </w:r>
          </w:p>
        </w:tc>
        <w:tc>
          <w:tcPr>
            <w:tcW w:w="1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Depreciation and Amortization</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12,756</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12,772</w:t>
            </w:r>
          </w:p>
        </w:tc>
      </w:tr>
      <w:tr>
        <w:trPr>
          <w:trHeight w:val="243"/>
        </w:trPr>
        <w:tc>
          <w:tcPr>
            <w:tcW w:w="7440" w:type="dxa"/>
            <w:vAlign w:val="bottom"/>
          </w:tcPr>
          <w:p>
            <w:pPr>
              <w:ind w:left="260"/>
              <w:spacing w:after="0"/>
              <w:rPr>
                <w:sz w:val="20"/>
                <w:szCs w:val="20"/>
                <w:color w:val="auto"/>
              </w:rPr>
            </w:pPr>
            <w:r>
              <w:rPr>
                <w:rFonts w:ascii="Arial" w:cs="Arial" w:eastAsia="Arial" w:hAnsi="Arial"/>
                <w:sz w:val="18"/>
                <w:szCs w:val="18"/>
                <w:b w:val="1"/>
                <w:bCs w:val="1"/>
                <w:color w:val="auto"/>
              </w:rPr>
              <w:t>(Increase) in Accounts Receivable</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(522)</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(2,331)</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Decrease in Inventories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666</w:t>
            </w:r>
          </w:p>
        </w:tc>
      </w:tr>
      <w:tr>
        <w:trPr>
          <w:trHeight w:val="243"/>
        </w:trPr>
        <w:tc>
          <w:tcPr>
            <w:tcW w:w="7440" w:type="dxa"/>
            <w:vAlign w:val="bottom"/>
          </w:tcPr>
          <w:p>
            <w:pPr>
              <w:ind w:left="260"/>
              <w:spacing w:after="0"/>
              <w:rPr>
                <w:sz w:val="20"/>
                <w:szCs w:val="20"/>
                <w:color w:val="auto"/>
              </w:rPr>
            </w:pPr>
            <w:r>
              <w:rPr>
                <w:rFonts w:ascii="Arial" w:cs="Arial" w:eastAsia="Arial" w:hAnsi="Arial"/>
                <w:sz w:val="18"/>
                <w:szCs w:val="18"/>
                <w:b w:val="1"/>
                <w:bCs w:val="1"/>
                <w:color w:val="auto"/>
              </w:rPr>
              <w:t>(Decrease) Increase in Accounts Payable</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(2,436)</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2,423</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Increase (Decrease) in Accrued Expenses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w:t>
            </w:r>
          </w:p>
        </w:tc>
      </w:tr>
      <w:tr>
        <w:trPr>
          <w:trHeight w:val="243"/>
        </w:trPr>
        <w:tc>
          <w:tcPr>
            <w:tcW w:w="7440" w:type="dxa"/>
            <w:vAlign w:val="bottom"/>
          </w:tcPr>
          <w:p>
            <w:pPr>
              <w:ind w:left="260"/>
              <w:spacing w:after="0"/>
              <w:rPr>
                <w:sz w:val="20"/>
                <w:szCs w:val="20"/>
                <w:color w:val="auto"/>
              </w:rPr>
            </w:pPr>
            <w:r>
              <w:rPr>
                <w:rFonts w:ascii="Arial" w:cs="Arial" w:eastAsia="Arial" w:hAnsi="Arial"/>
                <w:sz w:val="18"/>
                <w:szCs w:val="18"/>
                <w:b w:val="1"/>
                <w:bCs w:val="1"/>
                <w:color w:val="auto"/>
              </w:rPr>
              <w:t>(Decrease) Increase in Pension and Postretirement Benefits</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(11,048)</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209</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Other</w:t>
            </w: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2,644</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3,263</w:t>
            </w:r>
          </w:p>
        </w:tc>
      </w:tr>
      <w:tr>
        <w:trPr>
          <w:trHeight w:val="237"/>
        </w:trPr>
        <w:tc>
          <w:tcPr>
            <w:tcW w:w="7440" w:type="dxa"/>
            <w:vAlign w:val="bottom"/>
          </w:tcPr>
          <w:p>
            <w:pPr>
              <w:ind w:left="500"/>
              <w:spacing w:after="0"/>
              <w:rPr>
                <w:sz w:val="20"/>
                <w:szCs w:val="20"/>
                <w:color w:val="auto"/>
              </w:rPr>
            </w:pPr>
            <w:r>
              <w:rPr>
                <w:rFonts w:ascii="Arial" w:cs="Arial" w:eastAsia="Arial" w:hAnsi="Arial"/>
                <w:sz w:val="18"/>
                <w:szCs w:val="18"/>
                <w:b w:val="1"/>
                <w:bCs w:val="1"/>
                <w:color w:val="auto"/>
              </w:rPr>
              <w:t>Total Adjustments</w:t>
            </w: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2,390</w:t>
            </w:r>
          </w:p>
        </w:tc>
        <w:tc>
          <w:tcPr>
            <w:tcW w:w="34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16,157</w:t>
            </w:r>
          </w:p>
        </w:tc>
      </w:tr>
      <w:tr>
        <w:trPr>
          <w:trHeight w:val="27"/>
        </w:trPr>
        <w:tc>
          <w:tcPr>
            <w:tcW w:w="74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1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10,612</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26,949</w:t>
            </w:r>
          </w:p>
        </w:tc>
      </w:tr>
      <w:tr>
        <w:trPr>
          <w:trHeight w:val="291"/>
        </w:trPr>
        <w:tc>
          <w:tcPr>
            <w:tcW w:w="744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b w:val="1"/>
                <w:bCs w:val="1"/>
                <w:color w:val="auto"/>
              </w:rPr>
              <w:t>Capital Expenditures</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(15,074)</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(14,763)</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Net Purchase of Investment Securities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16,581</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(13,345)</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b w:val="1"/>
                <w:bCs w:val="1"/>
                <w:color w:val="auto"/>
              </w:rPr>
              <w:t>Other</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1,065</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64</w:t>
            </w:r>
          </w:p>
        </w:tc>
      </w:tr>
      <w:tr>
        <w:trPr>
          <w:trHeight w:val="27"/>
        </w:trPr>
        <w:tc>
          <w:tcPr>
            <w:tcW w:w="74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2,572</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(28,044)</w:t>
            </w:r>
          </w:p>
        </w:tc>
      </w:tr>
      <w:tr>
        <w:trPr>
          <w:trHeight w:val="291"/>
        </w:trPr>
        <w:tc>
          <w:tcPr>
            <w:tcW w:w="744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b w:val="1"/>
                <w:bCs w:val="1"/>
                <w:color w:val="auto"/>
              </w:rPr>
              <w:t>Principal Payments on Long-Term Debt</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(3,083)</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(3,083)</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Dividends Paid</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(6,230)</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(5,926)</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b w:val="1"/>
                <w:bCs w:val="1"/>
                <w:color w:val="auto"/>
              </w:rPr>
              <w:t>Purchase of Treasury Stock</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Other</w:t>
            </w:r>
          </w:p>
        </w:tc>
        <w:tc>
          <w:tcPr>
            <w:tcW w:w="1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594</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(9,339)</w:t>
            </w:r>
          </w:p>
        </w:tc>
        <w:tc>
          <w:tcPr>
            <w:tcW w:w="34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(8,550)</w:t>
            </w:r>
          </w:p>
        </w:tc>
      </w:tr>
      <w:tr>
        <w:trPr>
          <w:trHeight w:val="27"/>
        </w:trPr>
        <w:tc>
          <w:tcPr>
            <w:tcW w:w="74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91"/>
        </w:trPr>
        <w:tc>
          <w:tcPr>
            <w:tcW w:w="74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Effect of exchange rate changes on cash and cash equivalents</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(183)</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111</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97"/>
        </w:trPr>
        <w:tc>
          <w:tcPr>
            <w:tcW w:w="74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3,662</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(9,534)</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9,095</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18,629</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112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12,757</w:t>
            </w:r>
          </w:p>
        </w:tc>
        <w:tc>
          <w:tcPr>
            <w:tcW w:w="34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9,095</w:t>
            </w:r>
          </w:p>
        </w:tc>
      </w:tr>
      <w:tr>
        <w:trPr>
          <w:trHeight w:val="20"/>
        </w:trPr>
        <w:tc>
          <w:tcPr>
            <w:tcW w:w="74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321-1515</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2020-01-11T21:48:59Z</dcterms:created>
  <dcterms:modified xsi:type="dcterms:W3CDTF">2020-01-11T21:48:59Z</dcterms:modified>
</cp:coreProperties>
</file>