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1" w:lineRule="exact"/>
        <w:rPr>
          <w:sz w:val="24"/>
          <w:szCs w:val="24"/>
          <w:color w:val="auto"/>
        </w:rPr>
      </w:pPr>
    </w:p>
    <w:p>
      <w:pPr>
        <w:jc w:val="center"/>
        <w:ind w:left="1980" w:right="1980"/>
        <w:spacing w:after="0" w:line="464" w:lineRule="auto"/>
        <w:rPr>
          <w:sz w:val="20"/>
          <w:szCs w:val="20"/>
          <w:color w:val="auto"/>
        </w:rPr>
      </w:pPr>
      <w:r>
        <w:rPr>
          <w:rFonts w:ascii="Arial" w:cs="Arial" w:eastAsia="Arial" w:hAnsi="Arial"/>
          <w:sz w:val="25"/>
          <w:szCs w:val="25"/>
          <w:color w:val="auto"/>
        </w:rPr>
        <w:t xml:space="preserve">x </w:t>
      </w:r>
      <w:r>
        <w:rPr>
          <w:rFonts w:ascii="Arial" w:cs="Arial" w:eastAsia="Arial" w:hAnsi="Arial"/>
          <w:sz w:val="25"/>
          <w:szCs w:val="25"/>
          <w:b w:val="1"/>
          <w:bCs w:val="1"/>
          <w:color w:val="auto"/>
        </w:rPr>
        <w:t>ANNUAL REPORT PURSUANT TO SECTION 13 OR 15(d)</w:t>
      </w:r>
      <w:r>
        <w:rPr>
          <w:rFonts w:ascii="Arial" w:cs="Arial" w:eastAsia="Arial" w:hAnsi="Arial"/>
          <w:sz w:val="25"/>
          <w:szCs w:val="25"/>
          <w:color w:val="auto"/>
        </w:rPr>
        <w:t xml:space="preserve"> </w:t>
      </w:r>
      <w:r>
        <w:rPr>
          <w:rFonts w:ascii="Arial" w:cs="Arial" w:eastAsia="Arial" w:hAnsi="Arial"/>
          <w:sz w:val="25"/>
          <w:szCs w:val="25"/>
          <w:b w:val="1"/>
          <w:bCs w:val="1"/>
          <w:color w:val="auto"/>
        </w:rPr>
        <w:t>OF THE SECURITIES EXCHANGE ACT OF 1934 For the fiscal year ended July 31, 2017 OR</w:t>
      </w:r>
    </w:p>
    <w:p>
      <w:pPr>
        <w:spacing w:after="0" w:line="385" w:lineRule="exact"/>
        <w:rPr>
          <w:sz w:val="24"/>
          <w:szCs w:val="24"/>
          <w:color w:val="auto"/>
        </w:rPr>
      </w:pPr>
    </w:p>
    <w:p>
      <w:pPr>
        <w:ind w:left="2240" w:hanging="248"/>
        <w:spacing w:after="0"/>
        <w:tabs>
          <w:tab w:leader="none" w:pos="2240" w:val="left"/>
        </w:tabs>
        <w:numPr>
          <w:ilvl w:val="0"/>
          <w:numId w:val="1"/>
        </w:numPr>
        <w:rPr>
          <w:rFonts w:ascii="MS PGothic" w:cs="MS PGothic" w:eastAsia="MS PGothic" w:hAnsi="MS PGothic"/>
          <w:sz w:val="21"/>
          <w:szCs w:val="21"/>
          <w:color w:val="auto"/>
        </w:rPr>
      </w:pPr>
      <w:r>
        <w:rPr>
          <w:rFonts w:ascii="Arial" w:cs="Arial" w:eastAsia="Arial" w:hAnsi="Arial"/>
          <w:sz w:val="24"/>
          <w:szCs w:val="24"/>
          <w:b w:val="1"/>
          <w:bCs w:val="1"/>
          <w:color w:val="auto"/>
        </w:rPr>
        <w:t>TRANSITION REPORT PURSUANT TO SECTION 13 OR 15 (d)</w:t>
      </w:r>
    </w:p>
    <w:p>
      <w:pPr>
        <w:spacing w:after="0" w:line="250" w:lineRule="exact"/>
        <w:rPr>
          <w:rFonts w:ascii="MS PGothic" w:cs="MS PGothic" w:eastAsia="MS PGothic" w:hAnsi="MS PGothic"/>
          <w:sz w:val="21"/>
          <w:szCs w:val="21"/>
          <w:color w:val="auto"/>
        </w:rPr>
      </w:pPr>
    </w:p>
    <w:p>
      <w:pPr>
        <w:ind w:left="290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OF THE SECURITIES EXCHANGE ACT OF 1934</w:t>
      </w:r>
    </w:p>
    <w:p>
      <w:pPr>
        <w:spacing w:after="0" w:line="225" w:lineRule="exact"/>
        <w:rPr>
          <w:rFonts w:ascii="MS PGothic" w:cs="MS PGothic" w:eastAsia="MS PGothic" w:hAnsi="MS PGothic"/>
          <w:sz w:val="21"/>
          <w:szCs w:val="21"/>
          <w:color w:val="auto"/>
        </w:rPr>
      </w:pPr>
    </w:p>
    <w:p>
      <w:pPr>
        <w:ind w:left="32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For the Transition Period from _____ to _____</w:t>
      </w:r>
    </w:p>
    <w:p>
      <w:pPr>
        <w:spacing w:after="0" w:line="225" w:lineRule="exact"/>
        <w:rPr>
          <w:rFonts w:ascii="MS PGothic" w:cs="MS PGothic" w:eastAsia="MS PGothic" w:hAnsi="MS PGothic"/>
          <w:sz w:val="21"/>
          <w:szCs w:val="21"/>
          <w:color w:val="auto"/>
        </w:rPr>
      </w:pPr>
    </w:p>
    <w:p>
      <w:pPr>
        <w:ind w:left="40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___________________________</w:t>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001-12622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OIL-DRI CORPORATION OF AMERICA</w:t>
      </w:r>
    </w:p>
    <w:p>
      <w:pPr>
        <w:sectPr>
          <w:pgSz w:w="11900" w:h="16838" w:orient="portrait"/>
          <w:cols w:equalWidth="0" w:num="1">
            <w:col w:w="11420"/>
          </w:cols>
          <w:pgMar w:left="240" w:top="468" w:right="239" w:bottom="1440" w:gutter="0" w:footer="0" w:header="0"/>
        </w:sectPr>
      </w:pPr>
    </w:p>
    <w:p>
      <w:pPr>
        <w:spacing w:after="0" w:line="398"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36-2048898</w:t>
      </w:r>
    </w:p>
    <w:p>
      <w:pPr>
        <w:spacing w:after="0" w:line="90" w:lineRule="exact"/>
        <w:rPr>
          <w:sz w:val="24"/>
          <w:szCs w:val="24"/>
          <w:color w:val="auto"/>
        </w:rPr>
      </w:pPr>
    </w:p>
    <w:p>
      <w:pPr>
        <w:sectPr>
          <w:pgSz w:w="11900" w:h="16838" w:orient="portrait"/>
          <w:cols w:equalWidth="0" w:num="2">
            <w:col w:w="7420" w:space="720"/>
            <w:col w:w="3280"/>
          </w:cols>
          <w:pgMar w:left="240" w:top="468"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75" w:lineRule="exact"/>
        <w:rPr>
          <w:sz w:val="24"/>
          <w:szCs w:val="24"/>
          <w:color w:val="auto"/>
        </w:rPr>
      </w:pPr>
    </w:p>
    <w:p>
      <w:pPr>
        <w:sectPr>
          <w:pgSz w:w="11900" w:h="16838" w:orient="portrait"/>
          <w:cols w:equalWidth="0" w:num="2">
            <w:col w:w="6580" w:space="720"/>
            <w:col w:w="4120"/>
          </w:cols>
          <w:pgMar w:left="240" w:top="468"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468"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North Michigan Avenue, Suite 400, Chicago, Illinois 60611-4213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321-1515</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Title of Each Class</w:t>
            </w:r>
          </w:p>
        </w:tc>
        <w:tc>
          <w:tcPr>
            <w:tcW w:w="58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jc w:val="center"/>
              <w:ind w:left="30"/>
              <w:spacing w:after="0"/>
              <w:rPr>
                <w:sz w:val="20"/>
                <w:szCs w:val="20"/>
                <w:color w:val="auto"/>
              </w:rPr>
            </w:pPr>
            <w:r>
              <w:rPr>
                <w:rFonts w:ascii="Arial" w:cs="Arial" w:eastAsia="Arial" w:hAnsi="Arial"/>
                <w:sz w:val="18"/>
                <w:szCs w:val="18"/>
                <w:color w:val="auto"/>
                <w:w w:val="89"/>
              </w:rPr>
              <w:t>Common Stock, par value $0.10 per share</w:t>
            </w:r>
          </w:p>
        </w:tc>
        <w:tc>
          <w:tcPr>
            <w:tcW w:w="5820" w:type="dxa"/>
            <w:vAlign w:val="bottom"/>
          </w:tcPr>
          <w:p>
            <w:pPr>
              <w:jc w:val="center"/>
              <w:ind w:left="30"/>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58"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3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60" w:type="dxa"/>
            <w:vAlign w:val="bottom"/>
          </w:tcPr>
          <w:p>
            <w:pPr>
              <w:ind w:left="1200"/>
              <w:spacing w:after="0"/>
              <w:rPr>
                <w:sz w:val="20"/>
                <w:szCs w:val="20"/>
                <w:color w:val="auto"/>
              </w:rPr>
            </w:pPr>
            <w:r>
              <w:rPr>
                <w:rFonts w:ascii="Arial" w:cs="Arial" w:eastAsia="Arial" w:hAnsi="Arial"/>
                <w:sz w:val="18"/>
                <w:szCs w:val="18"/>
                <w:color w:val="auto"/>
              </w:rPr>
              <w:t>o</w:t>
            </w:r>
          </w:p>
        </w:tc>
        <w:tc>
          <w:tcPr>
            <w:tcW w:w="392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31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60" w:type="dxa"/>
            <w:vAlign w:val="bottom"/>
          </w:tcPr>
          <w:p>
            <w:pPr>
              <w:ind w:left="1200"/>
              <w:spacing w:after="0"/>
              <w:rPr>
                <w:sz w:val="20"/>
                <w:szCs w:val="20"/>
                <w:color w:val="auto"/>
              </w:rPr>
            </w:pPr>
            <w:r>
              <w:rPr>
                <w:rFonts w:ascii="Arial" w:cs="Arial" w:eastAsia="Arial" w:hAnsi="Arial"/>
                <w:sz w:val="18"/>
                <w:szCs w:val="18"/>
                <w:color w:val="auto"/>
              </w:rPr>
              <w:t>o</w:t>
            </w:r>
          </w:p>
        </w:tc>
        <w:tc>
          <w:tcPr>
            <w:tcW w:w="392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rPr>
                <w:sz w:val="20"/>
                <w:szCs w:val="20"/>
                <w:color w:val="auto"/>
              </w:rPr>
            </w:pPr>
            <w:r>
              <w:rPr>
                <w:rFonts w:ascii="Arial" w:cs="Arial" w:eastAsia="Arial" w:hAnsi="Arial"/>
                <w:sz w:val="18"/>
                <w:szCs w:val="18"/>
                <w:color w:val="auto"/>
              </w:rPr>
              <w:t>o</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60" w:type="dxa"/>
            <w:vAlign w:val="bottom"/>
          </w:tcPr>
          <w:p>
            <w:pPr>
              <w:ind w:left="1200"/>
              <w:spacing w:after="0"/>
              <w:rPr>
                <w:sz w:val="20"/>
                <w:szCs w:val="20"/>
                <w:color w:val="auto"/>
              </w:rPr>
            </w:pPr>
            <w:r>
              <w:rPr>
                <w:rFonts w:ascii="Arial" w:cs="Arial" w:eastAsia="Arial" w:hAnsi="Arial"/>
                <w:sz w:val="18"/>
                <w:szCs w:val="18"/>
                <w:color w:val="auto"/>
              </w:rPr>
              <w:t>o</w:t>
            </w:r>
          </w:p>
        </w:tc>
        <w:tc>
          <w:tcPr>
            <w:tcW w:w="392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(Do not check if a smaller reporting company)</w:t>
      </w:r>
    </w:p>
    <w:p>
      <w:pPr>
        <w:spacing w:after="0" w:line="252" w:lineRule="exact"/>
        <w:rPr>
          <w:sz w:val="20"/>
          <w:szCs w:val="20"/>
          <w:color w:val="auto"/>
        </w:rPr>
      </w:pPr>
    </w:p>
    <w:p>
      <w:pPr>
        <w:jc w:val="both"/>
        <w:ind w:firstLine="4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January 31, 2017 was $166,622,000.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30, 2017:</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 5,107,796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B Stock – 2,188,771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A Common Stock – 0 shares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documents are incorporated by reference: Oil-Dri’s Proxy Statement for its 2017 Annual Meeting of Stockholders (“Proxy Statement”), which will be filed with the Securities and Exchange Commission (“SEC”) not later than November 28, 2017 (120 days after the end of Oil-Dri’s fiscal year ended July 31, 2017), is incorporated into Part III of this Annual Report on Form 10-K, as indicated herein.</w:t>
      </w:r>
    </w:p>
    <w:p>
      <w:pPr>
        <w:sectPr>
          <w:pgSz w:w="11900" w:h="16838" w:orient="portrait"/>
          <w:cols w:equalWidth="0" w:num="1">
            <w:col w:w="11420"/>
          </w:cols>
          <w:pgMar w:left="240" w:top="58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8520" w:type="dxa"/>
            <w:vAlign w:val="bottom"/>
          </w:tcPr>
          <w:p>
            <w:pPr>
              <w:jc w:val="center"/>
              <w:ind w:left="1651"/>
              <w:spacing w:after="0"/>
              <w:rPr>
                <w:sz w:val="20"/>
                <w:szCs w:val="20"/>
                <w:color w:val="auto"/>
              </w:rPr>
            </w:pPr>
            <w:r>
              <w:rPr>
                <w:rFonts w:ascii="Arial" w:cs="Arial" w:eastAsia="Arial" w:hAnsi="Arial"/>
                <w:sz w:val="18"/>
                <w:szCs w:val="18"/>
                <w:b w:val="1"/>
                <w:bCs w:val="1"/>
                <w:color w:val="auto"/>
                <w:w w:val="98"/>
              </w:rPr>
              <w:t>CONTENTS</w:t>
            </w: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32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Item</w:t>
            </w:r>
          </w:p>
        </w:tc>
        <w:tc>
          <w:tcPr>
            <w:tcW w:w="21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color w:val="auto"/>
              </w:rPr>
              <w:t>Page</w:t>
            </w: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51"/>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210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1B.</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52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0000FF"/>
              </w:rPr>
              <w:t>Mine Safety Disclosure</w:t>
            </w:r>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40" w:type="dxa"/>
            <w:vAlign w:val="bottom"/>
            <w:shd w:val="clear" w:color="auto" w:fill="CCEEFF"/>
          </w:tcPr>
          <w:p>
            <w:pPr>
              <w:spacing w:after="0"/>
              <w:rPr>
                <w:sz w:val="21"/>
                <w:szCs w:val="21"/>
                <w:color w:val="auto"/>
              </w:rPr>
            </w:pPr>
          </w:p>
        </w:tc>
      </w:tr>
      <w:tr>
        <w:trPr>
          <w:trHeight w:val="203"/>
        </w:trPr>
        <w:tc>
          <w:tcPr>
            <w:tcW w:w="320" w:type="dxa"/>
            <w:vAlign w:val="bottom"/>
            <w:tcBorders>
              <w:top w:val="single" w:sz="8" w:color="CCEEFF"/>
            </w:tcBorders>
          </w:tcPr>
          <w:p>
            <w:pPr>
              <w:spacing w:after="0"/>
              <w:rPr>
                <w:sz w:val="17"/>
                <w:szCs w:val="17"/>
                <w:color w:val="auto"/>
              </w:rPr>
            </w:pPr>
          </w:p>
        </w:tc>
        <w:tc>
          <w:tcPr>
            <w:tcW w:w="852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51"/>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320" w:type="dxa"/>
            <w:vAlign w:val="bottom"/>
            <w:shd w:val="clear" w:color="auto" w:fill="CCEEFF"/>
          </w:tcPr>
          <w:p>
            <w:pPr>
              <w:spacing w:after="0"/>
              <w:rPr>
                <w:sz w:val="19"/>
                <w:szCs w:val="19"/>
                <w:color w:val="auto"/>
              </w:rPr>
            </w:pPr>
          </w:p>
        </w:tc>
        <w:tc>
          <w:tcPr>
            <w:tcW w:w="8520" w:type="dxa"/>
            <w:vAlign w:val="bottom"/>
            <w:shd w:val="clear" w:color="auto" w:fill="CCEEFF"/>
          </w:tcPr>
          <w:p>
            <w:pPr>
              <w:ind w:left="900"/>
              <w:spacing w:after="0"/>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 Purchases of</w:t>
              </w:r>
            </w:hyperlink>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5</w:t>
            </w:r>
          </w:p>
        </w:tc>
        <w:tc>
          <w:tcPr>
            <w:tcW w:w="8520" w:type="dxa"/>
            <w:vAlign w:val="bottom"/>
            <w:shd w:val="clear" w:color="auto" w:fill="CCEEFF"/>
          </w:tcPr>
          <w:p>
            <w:pPr>
              <w:ind w:left="900"/>
              <w:spacing w:after="0" w:line="190" w:lineRule="exact"/>
              <w:rPr>
                <w:rFonts w:ascii="Arial" w:cs="Arial" w:eastAsia="Arial" w:hAnsi="Arial"/>
                <w:sz w:val="18"/>
                <w:szCs w:val="18"/>
                <w:color w:val="0000EE"/>
              </w:rPr>
            </w:pPr>
            <w:hyperlink w:anchor="page22">
              <w:r>
                <w:rPr>
                  <w:rFonts w:ascii="Arial" w:cs="Arial" w:eastAsia="Arial" w:hAnsi="Arial"/>
                  <w:sz w:val="18"/>
                  <w:szCs w:val="18"/>
                  <w:color w:val="0000EE"/>
                </w:rPr>
                <w:t>Equity Securities</w:t>
              </w:r>
            </w:hyperlink>
          </w:p>
        </w:tc>
        <w:tc>
          <w:tcPr>
            <w:tcW w:w="2060" w:type="dxa"/>
            <w:vAlign w:val="bottom"/>
            <w:gridSpan w:val="3"/>
            <w:shd w:val="clear" w:color="auto" w:fill="CCEEFF"/>
          </w:tcPr>
          <w:p>
            <w:pPr>
              <w:jc w:val="right"/>
              <w:spacing w:after="0" w:line="190"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40" w:type="dxa"/>
            <w:vAlign w:val="bottom"/>
            <w:shd w:val="clear" w:color="auto" w:fill="CCEEFF"/>
          </w:tcPr>
          <w:p>
            <w:pPr>
              <w:spacing w:after="0"/>
              <w:rPr>
                <w:sz w:val="20"/>
                <w:szCs w:val="20"/>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Financial Statements and Supplementary Data</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spacing w:after="0"/>
              <w:rPr>
                <w:sz w:val="21"/>
                <w:szCs w:val="21"/>
                <w:color w:val="auto"/>
              </w:rPr>
            </w:pP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Management's Report on Internal Control Over Financial Reporting</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spacing w:after="0"/>
              <w:rPr>
                <w:sz w:val="21"/>
                <w:szCs w:val="21"/>
                <w:color w:val="auto"/>
              </w:rPr>
            </w:pP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Changes in and Disagreements with Accountants on Accounting and Financial Disclosure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9B.</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40" w:type="dxa"/>
            <w:vAlign w:val="bottom"/>
            <w:shd w:val="clear" w:color="auto" w:fill="CCEEFF"/>
          </w:tcPr>
          <w:p>
            <w:pPr>
              <w:spacing w:after="0"/>
              <w:rPr>
                <w:sz w:val="21"/>
                <w:szCs w:val="21"/>
                <w:color w:val="auto"/>
              </w:rPr>
            </w:pPr>
          </w:p>
        </w:tc>
      </w:tr>
      <w:tr>
        <w:trPr>
          <w:trHeight w:val="203"/>
        </w:trPr>
        <w:tc>
          <w:tcPr>
            <w:tcW w:w="320" w:type="dxa"/>
            <w:vAlign w:val="bottom"/>
            <w:tcBorders>
              <w:top w:val="single" w:sz="8" w:color="CCEEFF"/>
            </w:tcBorders>
          </w:tcPr>
          <w:p>
            <w:pPr>
              <w:spacing w:after="0"/>
              <w:rPr>
                <w:sz w:val="17"/>
                <w:szCs w:val="17"/>
                <w:color w:val="auto"/>
              </w:rPr>
            </w:pPr>
          </w:p>
        </w:tc>
        <w:tc>
          <w:tcPr>
            <w:tcW w:w="852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71"/>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29"/>
        </w:trPr>
        <w:tc>
          <w:tcPr>
            <w:tcW w:w="320" w:type="dxa"/>
            <w:vAlign w:val="bottom"/>
            <w:shd w:val="clear" w:color="auto" w:fill="CCEEFF"/>
          </w:tcPr>
          <w:p>
            <w:pPr>
              <w:spacing w:after="0"/>
              <w:rPr>
                <w:sz w:val="19"/>
                <w:szCs w:val="19"/>
                <w:color w:val="auto"/>
              </w:rPr>
            </w:pPr>
          </w:p>
        </w:tc>
        <w:tc>
          <w:tcPr>
            <w:tcW w:w="8520" w:type="dxa"/>
            <w:vAlign w:val="bottom"/>
            <w:shd w:val="clear" w:color="auto" w:fill="CCEEFF"/>
          </w:tcPr>
          <w:p>
            <w:pPr>
              <w:ind w:left="900"/>
              <w:spacing w:after="0"/>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w:t>
              </w:r>
            </w:hyperlink>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12</w:t>
            </w:r>
          </w:p>
        </w:tc>
        <w:tc>
          <w:tcPr>
            <w:tcW w:w="8520" w:type="dxa"/>
            <w:vAlign w:val="bottom"/>
            <w:shd w:val="clear" w:color="auto" w:fill="CCEEFF"/>
          </w:tcPr>
          <w:p>
            <w:pPr>
              <w:ind w:left="900"/>
              <w:spacing w:after="0" w:line="190" w:lineRule="exact"/>
              <w:rPr>
                <w:rFonts w:ascii="Arial" w:cs="Arial" w:eastAsia="Arial" w:hAnsi="Arial"/>
                <w:sz w:val="18"/>
                <w:szCs w:val="18"/>
                <w:color w:val="0000EE"/>
              </w:rPr>
            </w:pPr>
            <w:hyperlink w:anchor="page71">
              <w:r>
                <w:rPr>
                  <w:rFonts w:ascii="Arial" w:cs="Arial" w:eastAsia="Arial" w:hAnsi="Arial"/>
                  <w:sz w:val="18"/>
                  <w:szCs w:val="18"/>
                  <w:color w:val="0000EE"/>
                </w:rPr>
                <w:t>Matters</w:t>
              </w:r>
            </w:hyperlink>
          </w:p>
        </w:tc>
        <w:tc>
          <w:tcPr>
            <w:tcW w:w="2060" w:type="dxa"/>
            <w:vAlign w:val="bottom"/>
            <w:gridSpan w:val="3"/>
            <w:shd w:val="clear" w:color="auto" w:fill="CCEEFF"/>
          </w:tcPr>
          <w:p>
            <w:pPr>
              <w:jc w:val="right"/>
              <w:spacing w:after="0" w:line="190"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0"/>
                <w:szCs w:val="20"/>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03"/>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17"/>
                <w:szCs w:val="17"/>
                <w:color w:val="auto"/>
              </w:rPr>
            </w:pPr>
          </w:p>
        </w:tc>
      </w:tr>
      <w:tr>
        <w:trPr>
          <w:trHeight w:val="48"/>
        </w:trPr>
        <w:tc>
          <w:tcPr>
            <w:tcW w:w="320" w:type="dxa"/>
            <w:vAlign w:val="bottom"/>
            <w:tcBorders>
              <w:top w:val="single" w:sz="8" w:color="CCEEFF"/>
            </w:tcBorders>
            <w:shd w:val="clear" w:color="auto" w:fill="CCEEFF"/>
          </w:tcPr>
          <w:p>
            <w:pPr>
              <w:spacing w:after="0"/>
              <w:rPr>
                <w:sz w:val="4"/>
                <w:szCs w:val="4"/>
                <w:color w:val="auto"/>
              </w:rPr>
            </w:pPr>
          </w:p>
        </w:tc>
        <w:tc>
          <w:tcPr>
            <w:tcW w:w="85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940"/>
          </w:cols>
          <w:pgMar w:left="500" w:top="364" w:right="459" w:bottom="1440"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40"/>
          </w:cols>
          <w:pgMar w:left="500" w:top="364" w:right="459" w:bottom="1440" w:gutter="0" w:footer="0" w:header="0"/>
          <w:type w:val="continuous"/>
        </w:sectPr>
      </w:pPr>
    </w:p>
    <w:bookmarkStart w:id="3" w:name="page4"/>
    <w:bookmarkEnd w:id="3"/>
    <w:tbl>
      <w:tblPr>
        <w:tblLayout w:type="fixed"/>
        <w:tblInd w:w="26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7940" w:type="dxa"/>
            <w:vAlign w:val="bottom"/>
          </w:tcPr>
          <w:p>
            <w:pPr>
              <w:jc w:val="center"/>
              <w:ind w:left="2070"/>
              <w:spacing w:after="0"/>
              <w:rPr>
                <w:sz w:val="20"/>
                <w:szCs w:val="20"/>
                <w:color w:val="auto"/>
              </w:rPr>
            </w:pPr>
            <w:r>
              <w:rPr>
                <w:rFonts w:ascii="Arial" w:cs="Arial" w:eastAsia="Arial" w:hAnsi="Arial"/>
                <w:sz w:val="18"/>
                <w:szCs w:val="18"/>
                <w:b w:val="1"/>
                <w:bCs w:val="1"/>
                <w:color w:val="auto"/>
              </w:rPr>
              <w:t>CONTENTS (CONTINUED)</w:t>
            </w: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4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Item</w:t>
            </w:r>
          </w:p>
        </w:tc>
        <w:tc>
          <w:tcPr>
            <w:tcW w:w="260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color w:val="auto"/>
              </w:rPr>
              <w:t>Page</w:t>
            </w: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jc w:val="center"/>
              <w:ind w:left="2090"/>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IV</w:t>
              </w:r>
            </w:hyperlink>
          </w:p>
        </w:tc>
        <w:tc>
          <w:tcPr>
            <w:tcW w:w="2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40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4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89"/>
              </w:rPr>
              <w:t>15</w:t>
            </w: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Exhibits and Financial Statement Schedule</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Schedule II - Valuation and Qualifying Accounts</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Exhibit Index</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c>
          <w:tcPr>
            <w:tcW w:w="40" w:type="dxa"/>
            <w:vAlign w:val="bottom"/>
            <w:shd w:val="clear" w:color="auto" w:fill="CCEEFF"/>
          </w:tcPr>
          <w:p>
            <w:pPr>
              <w:spacing w:after="0"/>
              <w:rPr>
                <w:sz w:val="21"/>
                <w:szCs w:val="21"/>
                <w:color w:val="auto"/>
              </w:rPr>
            </w:pPr>
          </w:p>
        </w:tc>
      </w:tr>
      <w:tr>
        <w:trPr>
          <w:trHeight w:val="432"/>
        </w:trPr>
        <w:tc>
          <w:tcPr>
            <w:tcW w:w="400" w:type="dxa"/>
            <w:vAlign w:val="bottom"/>
            <w:tcBorders>
              <w:top w:val="single" w:sz="8" w:color="CCEEFF"/>
            </w:tcBorders>
          </w:tcPr>
          <w:p>
            <w:pPr>
              <w:spacing w:after="0"/>
              <w:rPr>
                <w:sz w:val="24"/>
                <w:szCs w:val="24"/>
                <w:color w:val="auto"/>
              </w:rPr>
            </w:pPr>
          </w:p>
        </w:tc>
        <w:tc>
          <w:tcPr>
            <w:tcW w:w="7940" w:type="dxa"/>
            <w:vAlign w:val="bottom"/>
            <w:tcBorders>
              <w:top w:val="single" w:sz="8" w:color="CCEEFF"/>
            </w:tcBorders>
          </w:tcPr>
          <w:p>
            <w:pPr>
              <w:jc w:val="center"/>
              <w:ind w:left="2090"/>
              <w:spacing w:after="0"/>
              <w:rPr>
                <w:sz w:val="20"/>
                <w:szCs w:val="20"/>
                <w:color w:val="auto"/>
              </w:rPr>
            </w:pPr>
            <w:r>
              <w:rPr>
                <w:rFonts w:ascii="Arial" w:cs="Arial" w:eastAsia="Arial" w:hAnsi="Arial"/>
                <w:sz w:val="18"/>
                <w:szCs w:val="18"/>
                <w:b w:val="1"/>
                <w:bCs w:val="1"/>
                <w:color w:val="auto"/>
              </w:rPr>
              <w:t>FORWARD-LOOKING STATEMENTS</w:t>
            </w:r>
          </w:p>
        </w:tc>
        <w:tc>
          <w:tcPr>
            <w:tcW w:w="238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Certain statements in this report, including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below and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7"/>
          <w:szCs w:val="17"/>
          <w:color w:val="auto"/>
        </w:rPr>
        <w:t>Agsorb, Amlan, Calibrin, Cat’s Pride, ConditionAde, Flo-Fre, Fresh &amp; Light, Fresh &amp; Light Ultimate Care, Jonny Cat, KatKit, Oil-Dri, Pel-Unite, Perform, Pro Mound, Pro's Choice Sports Field Products, Pure-Flo, Rapid Dry, Select, Terra-Green, Ultra-Clear and Verge are all U.S. registered trademarks of Oil-Dri Corporation of America or of its subsidiaries. Saular is a Canadian registered trademark of Oil-Dri Corporation of America. MD-09 and Varium are trademarks of Oil-Dri Corporation of America. Fresh Step is a registered trademark of The Clorox Company (“Clorox”).</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0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1969, Oil-Dri Corporation of America was incorporated in Delaware as the successor to an Illinois corporation incorporated in 1946; the Illinois corporation was the successor to a partnership that commenced business in 1941. Except as otherwise indicated herein or as the context otherwise requires, references to “Oil-Dri,” the “Company,” “we,” “us” or “our” refer to Oil-Dri Corporation of America and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Consolidated net income was $10,792,000, or $1.47 per diluted share, for the fiscal year 2017, a 21% decrease from net income of $13,613,000, or $1.87 per diluted share, for fiscal year 2016.</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sales were flat for the fiscal year ended July 31, 2017 compared to the prior fiscal year ended July 31, 2016. Income from operations was also relatively even with the prior year due to increased cost of sales that were primarily offset by lower selling, general and administrative expenses. Higher manufacturing costs drove the cost of sales increase, while lower advertising costs reduced selling, general and administrative expenses. A significantly higher tax rate reduced net income in fiscal year 2017 compared to the prior year. The lower tax rate in fiscal year 2016 was driven by the full release of the valuation allowance associated with the deferred tax asset for domestic Alternative Minimum Tax (</w:t>
      </w:r>
      <w:r>
        <w:rPr>
          <w:rFonts w:ascii="Arial" w:cs="Arial" w:eastAsia="Arial" w:hAnsi="Arial"/>
          <w:sz w:val="17"/>
          <w:szCs w:val="17"/>
          <w:i w:val="1"/>
          <w:iCs w:val="1"/>
          <w:color w:val="auto"/>
        </w:rPr>
        <w:t>“</w:t>
      </w:r>
      <w:r>
        <w:rPr>
          <w:rFonts w:ascii="Arial" w:cs="Arial" w:eastAsia="Arial" w:hAnsi="Arial"/>
          <w:sz w:val="17"/>
          <w:szCs w:val="17"/>
          <w:color w:val="auto"/>
        </w:rPr>
        <w:t>AMT</w:t>
      </w:r>
      <w:r>
        <w:rPr>
          <w:rFonts w:ascii="Arial" w:cs="Arial" w:eastAsia="Arial" w:hAnsi="Arial"/>
          <w:sz w:val="17"/>
          <w:szCs w:val="17"/>
          <w:i w:val="1"/>
          <w:iCs w:val="1"/>
          <w:color w:val="auto"/>
        </w:rPr>
        <w:t>”</w:t>
      </w:r>
      <w:r>
        <w:rPr>
          <w:rFonts w:ascii="Arial" w:cs="Arial" w:eastAsia="Arial" w:hAnsi="Arial"/>
          <w:sz w:val="17"/>
          <w:szCs w:val="17"/>
          <w:color w:val="auto"/>
        </w:rPr>
        <w:t>) credits.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balance sheet as of July 31, 2017 remained strong. Total cash, cash equivalents and short-term investments increased from fiscal year-end 2016 even as we invested in capital at our plants, spent funds for the enterprise resource planning system implementation and related infrastructure improvements, paid higher dividends and reduced our notes payable. The noncurrent liability for our pension and postretirement benefits decreased significantly due primarily to a higher discount rate required for the actuarial determination of these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Oil-Dri is a leader in developing, manufacturing and/or marketing sorbent products. Our sorbent products are principally produced from hydrated aluminosilicate minerals, primarily consisting of calcium bentonite, attapulgite and diatomaceous shale, which we refer to collectively as our “clay” or our “minerals.” Our sorbent technologies include absorbent and adsorbent products. Absorbents, like sponges, draw liquids up into their many pores. Examples of our absorbent clay products are Cat’s Pride and Jonny Cat branded premium cat litter, as well as other private label cat litters. Additional examples are our Oil-Dri branded floor absorbents, Amlan branded animal health and nutrition solutions for livestock, and Agsorb and Verge agricultural chemical carriers. Adsorbent products attract impurities in liquids, such as metals and surfactants, and form low-level chemical bonds. Examples of our adsorbent products are Pure-Flo, Perform and Select bleaching clay products, which act as a filtration media for edible oils, fats and tallows. Also, our Ultra-Clear product serves as a purification aid for petroleum-based oils and by-products. We also sell some nonclay-based products, such as our Oil-Dri synthetic sorbents used for industrial cleanup. Our principal products are described in more detail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 and Horticultural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produce a wide range of functional granules and powders that enhance the performance of agricultural products. Our mineral-based absorbent products serve as crop protection chemical carriers, drying agents, and growing media. Our brands include: Agsorb, an agricultural chemical carrier and drying agent; Verge, an engineered granule agricultural chemical carrier; Flo-Fre, a highly absorbent microgranule flowability aid; and Terra-Green, a growing media supplement.</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Agsorb and Verge carriers are used as alternatives to agricultural sprays. The clay granules absorb active ingredients and are then delivered directly into, or on top of, the ground providing a more precise application than chemical sprays. Verge carriers are spherical, uniform-sized granules with very low dust. Agsorb drying agent is blended into fertilizer-pesticide blends applied by farmers to absorb moisture and improve flowability. Agsorb also acts as a flowability aid for fertilizers and chemicals used in the lawn and garden market. Flo-Fre microgranules are used by grain processors and other large handlers of bulk products to soak up excess moisture, which prevents caking. We employ technical sales people to market these products in the United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Animal Health and Nutrition Products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produce, or use contract processors to produce, Amlan brand name and private label products that manage the health and improve productivity of species in the livestock and aquaculture industries. For example, our products provide a number of solutions to health challenges of swine, poultry, shrimp and dairy cattle. Our Calibrin and ConditionAde products are used in animal feed to help animals defend against a broad spectrum of biotoxins. Our new Varium product was introduced in fiscal year 2016 to promote intestinal health in poultry. Our MD-09 moisture manager product is another feed additive for the reduction of wet droppings in poultry. In addition, our Pel-Unite and Pel-Unite Plus products are specialized animal feed pellet binders.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animal health and nutrition products are sold primarily through a network of distributors to livestock producers, feed mill operators, nutritionists and veterinarians in the United States, Latin America, Africa, the Middle East and Asia. The sales force for our subsidiary located in Shenzhen, China also sells these products, as further described in Foreign Operations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Bleaching Clay and Purification Aid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produce an array of products for bleaching, purification and filtration applications which are used around the world by edible oil processors, as well as by refiners of jet fuel and other petroleum-based products. Bleaching clays are used by edible oil processors to adsorb soluble contaminants that create oxidation problems. Our Pure-Flo and Perform bleaching clays remove impurities, such as trace metals, chlorophyll and color bodies, in various types of edible oils. Perform products provide increased activity for hard-to-bleach oils. Our Select adsorbents are used to remove contaminants in vegetable oil processing and can also be used to prepare oil prior to the creation of biodiesel fuel. Our Ultra-Clear product is used as a purification and filtration medium for jet fuel and other petroleum-based products. These products are sold in the United States and in international markets by our team of technical sales employees, distributors and sales agents.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 Litter Products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produce two types of mineral-based cat litter products, scoopable and traditional coarse non-clumping litters, both of which have absorbent and odor controlling characteristics. Scoopable litters have the additional characteristic of clumping when exposed to moisture, allowing the consumer to selectively dispose of the used portion of the litter. Scoopable litter products are further differentiated between lightweight and heavyweight. Lightweight scoopable litters offer superior performance with the added convenience of being lighter to carry and pour.</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Branded products</w:t>
      </w:r>
      <w:r>
        <w:rPr>
          <w:rFonts w:ascii="Arial" w:cs="Arial" w:eastAsia="Arial" w:hAnsi="Arial"/>
          <w:sz w:val="18"/>
          <w:szCs w:val="18"/>
          <w:color w:val="auto"/>
        </w:rPr>
        <w:t>. Our scoopable and non-clumping litters are sold under our Cat’s Pride and Jonny Cat brand names. Our Cat's Pride Fresh &amp; Light</w:t>
      </w:r>
      <w:r>
        <w:rPr>
          <w:rFonts w:ascii="Arial" w:cs="Arial" w:eastAsia="Arial" w:hAnsi="Arial"/>
          <w:sz w:val="18"/>
          <w:szCs w:val="18"/>
          <w:i w:val="1"/>
          <w:iCs w:val="1"/>
          <w:color w:val="auto"/>
        </w:rPr>
        <w:t xml:space="preserve"> </w:t>
      </w:r>
      <w:r>
        <w:rPr>
          <w:rFonts w:ascii="Arial" w:cs="Arial" w:eastAsia="Arial" w:hAnsi="Arial"/>
          <w:sz w:val="18"/>
          <w:szCs w:val="18"/>
          <w:color w:val="auto"/>
        </w:rPr>
        <w:t>litters created the lightweight segment of the scoopable litter market. In addition, we offer our non-clumping litter in a pre-packaged, disposable tray under the Cat’s Pride KatKit and Jonny Cat brands. Moreover, we offer litter box liners under the Cat's Pride and Jonny Cat product lines. These products are sold through independent food brokers and by our sales force to major grocery, drug, dollar store, mass-merchandiser and pet outlets, as well as through e-commerce.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Private label products. </w:t>
      </w:r>
      <w:r>
        <w:rPr>
          <w:rFonts w:ascii="Arial" w:cs="Arial" w:eastAsia="Arial" w:hAnsi="Arial"/>
          <w:sz w:val="18"/>
          <w:szCs w:val="18"/>
          <w:color w:val="auto"/>
        </w:rPr>
        <w:t>We also produce private label scoopable and non-clumping cat litters for certain customers. We added scoopable lightweight</w:t>
      </w:r>
      <w:r>
        <w:rPr>
          <w:rFonts w:ascii="Arial" w:cs="Arial" w:eastAsia="Arial" w:hAnsi="Arial"/>
          <w:sz w:val="18"/>
          <w:szCs w:val="18"/>
          <w:i w:val="1"/>
          <w:iCs w:val="1"/>
          <w:color w:val="auto"/>
        </w:rPr>
        <w:t xml:space="preserve"> </w:t>
      </w:r>
      <w:r>
        <w:rPr>
          <w:rFonts w:ascii="Arial" w:cs="Arial" w:eastAsia="Arial" w:hAnsi="Arial"/>
          <w:sz w:val="18"/>
          <w:szCs w:val="18"/>
          <w:color w:val="auto"/>
        </w:rPr>
        <w:t>cat litters to our private label offerings during fiscal year 2015.</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Co-packaged products. </w:t>
      </w:r>
      <w:r>
        <w:rPr>
          <w:rFonts w:ascii="Arial" w:cs="Arial" w:eastAsia="Arial" w:hAnsi="Arial"/>
          <w:sz w:val="17"/>
          <w:szCs w:val="17"/>
          <w:color w:val="auto"/>
        </w:rPr>
        <w:t>We have two long-term supply arrangements (one of which is material to our business) under which we manufacture branded</w:t>
      </w:r>
      <w:r>
        <w:rPr>
          <w:rFonts w:ascii="Arial" w:cs="Arial" w:eastAsia="Arial" w:hAnsi="Arial"/>
          <w:sz w:val="17"/>
          <w:szCs w:val="17"/>
          <w:i w:val="1"/>
          <w:iCs w:val="1"/>
          <w:color w:val="auto"/>
        </w:rPr>
        <w:t xml:space="preserve"> </w:t>
      </w:r>
      <w:r>
        <w:rPr>
          <w:rFonts w:ascii="Arial" w:cs="Arial" w:eastAsia="Arial" w:hAnsi="Arial"/>
          <w:sz w:val="17"/>
          <w:szCs w:val="17"/>
          <w:color w:val="auto"/>
        </w:rPr>
        <w:t>non-clumping litters for other marketers. Under these co-manufacturing relationships, the marketer controls all aspects of sales, marketing, and distribution, as well as the odor control formula, and we are responsible for manufacturing. The long-term supply agreement that is material to our business is with Clorox, under which we have the exclusive right to supply Clorox’s requirements for Fresh Step coarse cat litter up to certain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Automotive Products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manufacture and/or sell products made from clay, polypropylene and recycled cotton materials that absorb oil, acid, paint, ink, water and other liquids. These products have industrial, automotive and home applications. Our clay-based sorbent products, such as Oil-Dri branded and private label floor absorbents, are used for floor maintenance in industrial applications to provide a non-slip and non-flammable surface for workers. These floor absorbents are also used in automotive repair facilities, car dealerships and other industrial applications, as well as for home use in garages and driveways. Our Oil-Dri branded polypropylene-based and cotton-based products are sold in various forms, such as pads, rolls, socks, booms and spill kits.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jc w:val="both"/>
        <w:ind w:firstLine="648"/>
        <w:spacing w:after="0" w:line="264" w:lineRule="auto"/>
        <w:rPr>
          <w:sz w:val="20"/>
          <w:szCs w:val="20"/>
          <w:color w:val="auto"/>
        </w:rPr>
      </w:pPr>
      <w:r>
        <w:rPr>
          <w:rFonts w:ascii="Arial" w:cs="Arial" w:eastAsia="Arial" w:hAnsi="Arial"/>
          <w:sz w:val="18"/>
          <w:szCs w:val="18"/>
          <w:color w:val="auto"/>
        </w:rPr>
        <w:t>Industrial and automotive sorbent products are sold through distribution networks that includes industrial, auto parts, safety, sanitary supply, chemical and paper distributors. These products are also sold through environmental service companies, mass-merchandisers, catalogs and through e-commerce.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Sports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manufacture and sell both branded and private label sports products. Pro’s Choice Sports Field Products are used on baseball, softball, football and soccer fields. Pro’s Choice soil conditioners are used in field construction or as top dressing to improve drainage, suppress dust and improve field performance. Pro Mound packing clay is used to construct pitcher’s mounds, catcher's stations and batter’s boxes. Rapid Dry drying agent is used to wick away excess water from the infield. Sports products are used at all levels of play, including professional, college and high school and on municipal fields. These products are sold through a network of distributors specializing in sports turf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EGMENTS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two reportable operating segments for financial reporting derived from the different characteristics of our two major customer groups: Retail and Wholesale Products Group and Business to Business Products Group.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Certain financial information on both segments is contained in Note 2 of the Notes to the Consolidated Financial Statements and is incorporated herein by reference.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manage our business, allocate resources or generate revenue data by product line. Any of our products may be sold in one or both of our operating segments. Information concerning total revenue of classes of similar products accounting for more than 10% of consolidated revenues in any of the last three fiscal years is not separately provided because it would be impracticable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Amlan Trading (Shenzhen) Company, Ltd., located in Shenzhen, China, is dedicated to animal health and provides natural disease management solutions for livestock. This subsidiary sells animal health and nutrition products under our Amlan brand name and under private label arrangements.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Canada ULC,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(U.K.) Limited, is a manufacturer, distributor and marketer of industrial floor absorbents, bleaching earth and cat litter. These products are marketed in the United Kingdom and Western Europe. Oil-Dri (U.K.) Limited also sells synthetic polypropylene sorbent materials and plastic containment products.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wholly-owned subsidiary, Oil-Dri SARL, is a Swiss company that performs various management, customer service and administrative functions for some of the international customers of our domestic operations.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foreign operations are subject to the normal risks of doing business overseas, such as currency fluctuations, restrictions on the transfer of funds and import/export duties. Our operating results have not historically been materially impacted by these foreign currency fluctuations. See Item 7A “Quantitative and Qualitative Disclosures About Market Risk” for further information about our foreign markets risks. Certain financial information about our foreign operations is contained in Note 2 of the Notes to the Consolidated Financial Statements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USTOMERS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to Wal-Mart Stores, Inc. (“Walmart”) and its affiliates accounted for approximately 20%, 19% and 18% of our total net sales for fiscal years 2017, 2016 and 2015, respectively. Walmart is a customer in our Retail and Wholesale Products Group. There are no customers in the Business to Business Products Group with sales equal to or greater than 10% of our total sales; however, sales to Clorox (a customer in our Business to Business Products Group) and its affiliates accounted for approximately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7" w:name="page8"/>
    <w:bookmarkEnd w:id="7"/>
    <w:p>
      <w:pPr>
        <w:jc w:val="both"/>
        <w:spacing w:after="0" w:line="271" w:lineRule="auto"/>
        <w:rPr>
          <w:sz w:val="20"/>
          <w:szCs w:val="20"/>
          <w:color w:val="auto"/>
        </w:rPr>
      </w:pPr>
      <w:r>
        <w:rPr>
          <w:rFonts w:ascii="Arial" w:cs="Arial" w:eastAsia="Arial" w:hAnsi="Arial"/>
          <w:sz w:val="18"/>
          <w:szCs w:val="18"/>
          <w:color w:val="auto"/>
        </w:rPr>
        <w:t>6% of total net sales for each of fiscal years 2017, 2016 and 2015. The degree of margin contribution of our significant customers in the Business to Business Products Group varies, with certain customers having a greater effect on our operating results</w:t>
      </w:r>
      <w:r>
        <w:rPr>
          <w:rFonts w:ascii="Arial" w:cs="Arial" w:eastAsia="Arial" w:hAnsi="Arial"/>
          <w:sz w:val="14"/>
          <w:szCs w:val="14"/>
          <w:color w:val="auto"/>
        </w:rPr>
        <w:t>.</w:t>
      </w:r>
      <w:r>
        <w:rPr>
          <w:rFonts w:ascii="Arial" w:cs="Arial" w:eastAsia="Arial" w:hAnsi="Arial"/>
          <w:sz w:val="18"/>
          <w:szCs w:val="18"/>
          <w:color w:val="auto"/>
        </w:rPr>
        <w:t xml:space="preserve"> The loss of any customer other than those described in this paragraph would not be expected to have a material adverse effect on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Product performance, price, brand recognition, customer service, technical support, and distribution resources are the principal methods of competition in our markets and competition historically has been very vigorous. Advertising, promotion, merchandising and packaging also have a significant impact on retail consumer purchasing decisions, which primarily affects our Retail and Wholesale Products Group. Most of the principal competitors for our Retail and Wholesale Products Group have substantially greater financial resources or market presence than we do and have established brands. These competitors may be able to spend more aggressively on advertising and promotional activities, introduce competing products more quickly and respond more effectively to changing business and economic conditions than us.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our Retail and Wholesale Products Group, we have five principal competitors, including one which is also our customer. The overall cat litter market has been relatively stable in recent years. The overwhelming majority of all cat litter is mineral based, including both scoopable and coarse non-clumping litters. Cat litters based on alternative strata such as paper, various agricultural waste products and silica gels have niche positions. Scoopable products have a majority of the cat litter market share followed by coarse non-clumping litters. The growing market share for scoopable cat litter has primarily offset the declining share for coarse non-clumping products.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is significant competition to attract cat litter consumers across multi-outlet channels, including grocery, mass-merchandiser, dollar, pet and drug stores, as well as through e-commerce. Competition for the scoopable litter market has been particularly intense with new product offerings and increased advertising and promotions by our competitors and by us. We launched an integrated marketing campaign to promote our new Cat's Pride Fresh &amp; Light Ultimate Care lightweight scoopable cat litter products in fiscal year 2016, and we continued this campaign during fiscal year 2017. We provide our customers with product innovation, a nation-wide distribution network and strong customer service. Our exceptional sales and research and development teams give us a further advantage over smaller and regional manufacturers.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Business to Business Products Group, we have seven principal competitors. Our bleaching clay and fluid purification products are sold in a highly cost competitive global marketplace. Performance is a primary competitive factor for these products. The animal health portion of this segment also operates in a global marketplace with price and performance competition from multi-national and local competitors. Competition for our crop protection products is primarily based on price, but competitor differentiation also exists in the ability to meet customer product specifications and enhancements in engineered granule technologies.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ATENTS</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U.S. patents are currently granted for a term of 20 years from the date the patent application is filed. We have obtained or applied for patents for certain of our processes and products sold to customers in both the Retail and Wholesale Products Group and the Business to Business Products Group. Our patents are highly important to our business and we vigorously protect them from apparent infringement, although no single patent is considered material to the business as a whole. See Item 3 </w:t>
      </w:r>
      <w:r>
        <w:rPr>
          <w:rFonts w:ascii="Arial" w:cs="Arial" w:eastAsia="Arial" w:hAnsi="Arial"/>
          <w:sz w:val="17"/>
          <w:szCs w:val="17"/>
          <w:i w:val="1"/>
          <w:iCs w:val="1"/>
          <w:color w:val="auto"/>
        </w:rPr>
        <w:t>“</w:t>
      </w:r>
      <w:r>
        <w:rPr>
          <w:rFonts w:ascii="Arial" w:cs="Arial" w:eastAsia="Arial" w:hAnsi="Arial"/>
          <w:sz w:val="17"/>
          <w:szCs w:val="17"/>
          <w:color w:val="auto"/>
        </w:rPr>
        <w:t>Legal Proceedings</w:t>
      </w:r>
      <w:r>
        <w:rPr>
          <w:rFonts w:ascii="Arial" w:cs="Arial" w:eastAsia="Arial" w:hAnsi="Arial"/>
          <w:sz w:val="17"/>
          <w:szCs w:val="17"/>
          <w:i w:val="1"/>
          <w:iCs w:val="1"/>
          <w:color w:val="auto"/>
        </w:rPr>
        <w:t>”</w:t>
      </w:r>
      <w:r>
        <w:rPr>
          <w:rFonts w:ascii="Arial" w:cs="Arial" w:eastAsia="Arial" w:hAnsi="Arial"/>
          <w:sz w:val="17"/>
          <w:szCs w:val="17"/>
          <w:color w:val="auto"/>
        </w:rPr>
        <w:t xml:space="preserve"> for more information about specific legal matters related to our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ACKLOG</w:t>
      </w:r>
      <w:r>
        <w:rPr>
          <w:rFonts w:ascii="Arial" w:cs="Arial" w:eastAsia="Arial" w:hAnsi="Arial"/>
          <w:sz w:val="18"/>
          <w:szCs w:val="18"/>
          <w:b w:val="1"/>
          <w:bCs w:val="1"/>
          <w:color w:val="auto"/>
        </w:rPr>
        <w:t>; S</w:t>
      </w:r>
      <w:r>
        <w:rPr>
          <w:rFonts w:ascii="Arial" w:cs="Arial" w:eastAsia="Arial" w:hAnsi="Arial"/>
          <w:sz w:val="14"/>
          <w:szCs w:val="14"/>
          <w:b w:val="1"/>
          <w:bCs w:val="1"/>
          <w:color w:val="auto"/>
        </w:rPr>
        <w:t>EASONALITY</w:t>
      </w:r>
    </w:p>
    <w:p>
      <w:pPr>
        <w:spacing w:after="0" w:line="24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July 31, 2017, 2016 and 2015, the value of our backlog of orders were approximately $9,817,000, $8,735,000 and $9,617,000, respectively. This value was determined by the number of tons on backlog order and the net selling prices. All backlog orders are expected to be filled within the next 12 months. We consider our business, taken as a whole, to be moderately seasonal; however, business activities of certain customers (such as agricultural chemical manufacturers) are subject to such seasonal factors as crop acreage planted, product formulation cycles and weather conditions.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FFECTS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NFLATION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and Item 7A “Quantitative and Qualitative Disclosures About Market Risk”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ESERVES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mine our clay on leased or owned land near our manufacturing facilities in Mississippi, Georgia, Illinois and California; we also have reserves in Nevada, Oregon and Tennessee. We estimate that our proven mineral reserves as of July 31, 2017 were approximately 143,224,000 tons in aggregate and our probable reserves were approximately 134,643,000 tons in aggregate, for a total of 277,867,000 tons of mineral reserves. Based on our rate of consumption during fiscal year 2017, and without regard to any of our reserves in Nevada, Oregon and Tennessee, we consider our proven reserves adequate to supply our needs for over 40 years. Although we consider these reserves to be extremely valuable to our business, only a small portion of the reserves, those which were acquired in acquisitions, was reflected at cost on our balance sheet.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our policy to attempt to add to reserves in most years, but not necessarily in every year, an amount at least equal to the amount of reserves consumed in that year. We have a program of exploration for additional reserves and, although reserves have been acquired,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2017, we utilized these reserves to produce substantially all of the sorbent products that we sold.</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geologists and mineral specialists who estimate and evaluate existing and potential reserves in terms of quality, quantity and availability.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conducted mining operations in Ripley, Mississippi since 1963, in Ochlocknee, Georgia since 1968, in Blue Mountain, Mississippi since 1989, in Mounds, Illinois since 1998 and in Taft, California since 2002. Our clay is surface mined on a year-round basis, generally using large earth moving scrapers, bulldozers, or excavators and off-road trucks to remove overburden (non-usable material), and then loaded into dump trucks with backhoes or front end loaders for movement to the processing facilities. The mining and hauling of our clay is performed by us and by independent contractors. Our current operating mines range in distance from immediately adjacent to approximately 13 miles from the related processing plants. Processing facilities are generally accessed from the mining areas by private roads and in some instances by public highways. Each of our processing facilities maintains inventories of unprocessed clay of approximately one week of production requirements. See Item 2 “Properties” below for additional information regarding our mining properties and operations.</w:t>
      </w:r>
    </w:p>
    <w:p>
      <w:pPr>
        <w:spacing w:after="0" w:line="19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schedule summarizes the net book value of land and other plant and equipment for each of our manufacturing facilities as of July 31, 2017 (in thousands):</w:t>
      </w:r>
    </w:p>
    <w:p>
      <w:pPr>
        <w:spacing w:after="0" w:line="112" w:lineRule="exact"/>
        <w:rPr>
          <w:sz w:val="20"/>
          <w:szCs w:val="20"/>
          <w:color w:val="auto"/>
        </w:rPr>
      </w:pPr>
    </w:p>
    <w:tbl>
      <w:tblPr>
        <w:tblLayout w:type="fixed"/>
        <w:tblInd w:w="252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Land &amp; Mineral</w:t>
            </w:r>
          </w:p>
        </w:tc>
        <w:tc>
          <w:tcPr>
            <w:tcW w:w="22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Plant and</w:t>
            </w:r>
          </w:p>
        </w:tc>
      </w:tr>
      <w:tr>
        <w:trPr>
          <w:trHeight w:val="234"/>
        </w:trPr>
        <w:tc>
          <w:tcPr>
            <w:tcW w:w="3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Rights</w:t>
            </w:r>
          </w:p>
        </w:tc>
        <w:tc>
          <w:tcPr>
            <w:tcW w:w="22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Equipment</w:t>
            </w:r>
          </w:p>
        </w:tc>
      </w:tr>
      <w:tr>
        <w:trPr>
          <w:trHeight w:val="27"/>
        </w:trPr>
        <w:tc>
          <w:tcPr>
            <w:tcW w:w="3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8"/>
                <w:szCs w:val="18"/>
                <w:color w:val="auto"/>
              </w:rPr>
              <w:t>Ochlocknee, Georgia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8,822</w:t>
            </w:r>
          </w:p>
        </w:tc>
        <w:tc>
          <w:tcPr>
            <w:tcW w:w="2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29,974</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Ripley, Mississippi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11,823</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Mounds, Illinois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1,637</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2,258</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Blue Mountain, Mississippi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10,557</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Taft, California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1,506</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3,989</w:t>
            </w:r>
          </w:p>
        </w:tc>
      </w:tr>
      <w:tr>
        <w:trPr>
          <w:trHeight w:val="702"/>
        </w:trPr>
        <w:tc>
          <w:tcPr>
            <w:tcW w:w="3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9</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fiscal year 2017, we employed approximately 783 persons, 43 of whom were employed by our foreign subsidiaries. We believe our corporate offices, research and development center and manufacturing facilities are adequately staffed and no material labor shortages are anticipated. Approximately 55 of our employees in the U.S. and approximately 18 of our employees in Canada are represented by labor unions, with whom we have entered into separate collective bargaining agreements. We consider our employee relations to be satisfactory.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NVIRONMENTAL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mining and manufacturing operations and facilities in Georgia, Mississippi, California and Illinois are required to comply with state surface mining and environmental protection statutes. These domestic locations and our Canadian operations are subject to various federal, state and local statutes, regulations and ordinances which govern the discharge of materials, water and waste into the environment or otherwise regulate our operations. In recent years, environmental regulation has grown increasingly stringent, a trend that we expect will continue. We endeavor to be in compliance at all times and in all material respects with all applicable environmental controls and regulations. As a result, expenditures relating to environmental compliance have increased over the years; however, these expenditures have not been material. As part of our ongoing environmental compliance activities, we incur expenses in connection with reclaiming mining sites. Historically, reclamation expenses have not had a material effect on our cost of sales.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environmental requirements related to our mining and manufacturing operations and facilities, there has been increased federal and state regulation with respect to the content, labeling, use, and disposal after use of various products that we sell. We endeavor to be in compliance at all times and in all material respects with those regulations and to assist our customers in that compliance.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that, despite all commercially reasonable efforts, we will always be in compliance in all material respects with all applicable environmental regulations or with requirements regarding the content, labeling, use, and disposal after use of our products; nor can we assure that from time to time enforcement of such requirements will not have a material adverse effect on our business. See Item 1A “Risk Factors” below for a discussion of these and other risks to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NERGY</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primarily used natural gas in the processing kilns to dry our clay products during fiscal year 2017. See Item 7A “Quantitative and Qualitative Disclosures About Market Risk” below for more information about commodity risk with respect to our energy use.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our research and development facility in Vernon Hills, Illinois, we develop new products and applications and improve existing products. The facility’s staff (and various consultants they engage from time to time) may consist of geologists, mineralogists, chemists, microbiologists and doctors of veterinary medicine. In the past several years, our research efforts have resulted in a number of new sorbent products and processes. The facility produces prototype samples and tests new products for customer trial and evaluation. No significant research and development was customer sponsored, and all research and development costs are expensed in the period in which incurred. See Note 1 of the Notes to the Consolidated Financial Statements for further information about research and development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VAILABLE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on Form 10-K, as well as our Quarterly Reports on Form 10-Q, Current Reports on Form 8-K and any amendments to all of the foregoing reports, are made available free of charge on or through the “Investor Information” section of our website at www.oildri.com as soon as reasonably practicable after such reports are electronically filed with or furnished to the SEC.</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 Information” section of our website at www.oildri.com. The information on our website in not included as a part of, nor incorporated by reference into, this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financial performance depend in large part on successful new product introductions.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significant portion of our net sales comes from the sale of products in mature categories, some of which have had little or no volume growth or have had volume declines in recent fiscal years. A significant part of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may occur even after substantial effort and expense on our part. Even in the case of a successful launch of a new product, the ultimate benefit we realize may be uncertain if the new product “cannibalizes” sales of our existing products beyond expected levels.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markets are highly competitive and we expect that both direct and indirect competition will increase in the future. Our overall competitive position depends on a number of factors including price, customer service, marketing, advertising and trade spending, technical support, product quality and delivery. Some of our competitors, particularly in the sale of cat litter (the largest product in our Retail and Wholesale Products Group), have substantially greater financial resources and market presence with established brands. The competition in the future may, in some cases, lead to price reductions, increased promotional spending, or loss of market share or product distribution, any of which could materially and adversely affect our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periodic results may be volatile.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Factors that may affect our quarterly operating results include:</w:t>
      </w:r>
    </w:p>
    <w:p>
      <w:pPr>
        <w:spacing w:after="0" w:line="173" w:lineRule="exact"/>
        <w:rPr>
          <w:sz w:val="20"/>
          <w:szCs w:val="20"/>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fluctuating demand for our products and services;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size and timing of sales of our products and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mix of products with varying profitability sold in a given quarter;</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costs including raw materials, energy, transportation, packaging, overburden removal, trade spending and marketing, wages and other employee-related expenses such as health care costs, and other costs;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anticipate and adapt to rapidly changing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implement price increases and surcharges, as well as other changes in our pricing policies or those of our competitors;</w:t>
      </w:r>
    </w:p>
    <w:p>
      <w:pPr>
        <w:spacing w:after="0" w:line="20" w:lineRule="exact"/>
        <w:rPr>
          <w:rFonts w:ascii="Arial" w:cs="Arial" w:eastAsia="Arial" w:hAnsi="Arial"/>
          <w:sz w:val="17"/>
          <w:szCs w:val="17"/>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purchasing patterns by our customers, including due to weather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major customers and other debtors to meet their obligations to us as they come due;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manage regulatory, intellectual property, tax and legal matters;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and regulatory judgments and charges, settlements, or other litigation and regulatory-related costs;</w:t>
      </w:r>
    </w:p>
    <w:p>
      <w:pPr>
        <w:spacing w:after="0" w:line="9" w:lineRule="exact"/>
        <w:rPr>
          <w:rFonts w:ascii="Arial" w:cs="Arial" w:eastAsia="Arial" w:hAnsi="Arial"/>
          <w:sz w:val="18"/>
          <w:szCs w:val="18"/>
          <w:color w:val="auto"/>
        </w:rPr>
      </w:pPr>
    </w:p>
    <w:p>
      <w:pPr>
        <w:ind w:left="500" w:right="2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overall tax rate of our business, which may be affected by a number of factors, including the use of tax attributes, the financial results of our international subsidiaries and the timing, size and integration of acquisitions we may make from time to time;</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incurrence of restructuring, impairment or other charges;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specific economic conditions in our industry and the industries of our customers.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Accordingly, we believe that quarter-to-quarter comparisons of our operating results are not necessarily meaningful. Investors should not rely on the results of one quarter as an indication of our future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a number of risks, any of which could cause us not to realize the anticipated benefits.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spacing w:after="0" w:line="171" w:lineRule="exact"/>
        <w:rPr>
          <w:sz w:val="20"/>
          <w:szCs w:val="20"/>
          <w:color w:val="auto"/>
        </w:rPr>
      </w:pPr>
    </w:p>
    <w:p>
      <w:pPr>
        <w:ind w:left="500" w:hanging="168"/>
        <w:spacing w:after="0" w:line="274"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customers, management and employees of an acquired business;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identified operating and financial synergies anticipated to result from an acquisition;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that could arise from the integration of the acquired business; and</w:t>
      </w:r>
    </w:p>
    <w:p>
      <w:pPr>
        <w:spacing w:after="0" w:line="9"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business, industry or general economic conditions that affect the assumptions underlying our rationale for pursuing the acquisition.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one or more of these factors could cause us not to realize the benefits we anticipate to result from an acquisition. Moreover, acquisition opportunities we pursue could materially affect our liquidity and capital resources and may require us to incur indebtedness, seek equity capital or both. In addition, future acquisitions could result in our assuming more long-term liabilities relative to the value of the acquired assets than we have assumed in our previous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customers for a large portion of our net sales.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limited number of customers account for a large percentage of our net sales, as described in Item 1 “Business” above. The loss of, or a substantial decrease in the volume of, purchases by Walmart, Clorox or any of our other top customers would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21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or trade concessions, or the failure to make them to retain customers, could adversely affect our sales and profitability.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products we sell are subject to significant price competition. From time to time, we may need to reduce the prices for some of our products to respond to competitive and customer pressures and to maintain market share. These pressures are often exacerbated during an economic downturn.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energy and other commodity prices would increase our operating costs, and we may be unable to pass all these increases on to our customers in the form of higher prices and surcharges.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our energy and other commodity costs increase disproportionately to our net sales, our earnings could be significantly reduced. Increases in our operating costs may reduce our profitability if we are unable to pass all the increases in energy and other commodity prices on to our customers through price increases or surcharges. Sustained price increases or surcharges in turn may lead to declines in volume, and while we seek to project tradeoffs between price increases and surcharges, on the one hand, and volume, on the other, there can be no assurance that our projections will prove to be accurate.</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volatility in the price and availability of natural gas, as well as other sources of energy. From time to time, we may use forward purchase contracts or financial instruments to hedge the volatility of a portion of our energy costs. The success or failure of any such hedging transactions depends on a number of factors, including our ability to anticipate and manage volatility in energy prices, the general demand for fuel by the manufacturing sector, seasonality and the weather patterns throughout the United States and the world.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prices of other commodities such as paper, plastic resins, synthetic rubber and steel significantly influence the costs of packaging, replacement parts and equipment we use in the manufacture of our products and the maintenance of our facilities. As a result, increases in the prices of these commodities generally increase the costs of the related materials we use. These increased materials costs present the same types of risks as described above with respect to increased energy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affected by supply, capacity, information technology and logistics disruptions or the costs incurred to avoid these disruptions.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Supply, capacity, information technology and logistics disruptions could adversely affect our ability to manufacture, package or transport our products. Some of our products require raw materials that are provided by a limited number of suppliers, or are demanded by other industries or are simply not available at times. Also, some of our products are manufactured on equipment at or near its capacity thus limiting our ability to sell additional volumes of such products until more capacity is obtained. Moreover, disruptions, failures, cyber-attacks or privacy breaches in the information technology or phone systems of us or our customers could adversely affect our communications and business operations. Furthermore, technology enhancements to prevent business interruptions could require increased spending. In addition, an increase in truck or ocean freight costs may reduce our profitability if we are unable to pass such increases on to our customers through price increases or surcharges, and a decrease in transportation availability may affect our ability to deliver our products to our customers and consequently decrease customer satisfaction and future orders.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implementing our new enterprise resource planning system.</w:t>
      </w:r>
    </w:p>
    <w:p>
      <w:pPr>
        <w:spacing w:after="0" w:line="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engaged in a multi-year implementation of a new enterprise resource planning system (“ERP”). The ERP is designed to accurately maintain our books and records and provide information important to the operation of our business to our management team. The ERP will continue to require significant investment of human and financial resources. In implementing the ERP, we may experience significant delays, increased costs and other difficulties. Any significant disruption or deficiency in the design and implementation of the ERP could adversely affect our ability to process orders, ship product, send invoices and track payments, fulfill contractual obligations or otherwise operate our business. While we have invested significant resources in planning and project management, significant implementation issues may arise.</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inventory strategy by our customers as well as other external factors could adversely affect our sales and increase our inventory risk.</w:t>
      </w:r>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customers in both our Retail and Wholesale Products Group and our Business to Business Products Group have changed inventory levels as part of managing their working capital requirements. Any change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value of our inventory may decline as a result of surplus inventory, packaging changes driven by regulatory requirements or market refreshment,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value or saleability of our inventory; however, there is no guaranty that these arrangements will be sufficient to avoid write-offs in excess of our reserves.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matters create potential compliance and other liability risks.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storage and disposal of materials on the environment, and the effects that mining has on air or groundwater quality and water availability. We believe we have obtained all material permits and licenses required to conduct our present operations. We will, however, need additional permits and renewals of permits in the future.</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in complying with environmental, health and safety laws and regulations. In recent years, regulation of environmental, health and safety matters has grown increasingly stringent, a trend that we expect will continue. Substantial penalties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There can be no assurance that future events, including changes in any environmental requirements and the costs associated with complying with such requirements, will not have a material adverse effect on 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regulatory matters described above, our operations are subject to various federal, state, local and foreign laws and regulations relating to the mining, manufacture, packaging, labeling, content, storage, distribution and advertising of our products and the conduct of our business operations. For example, in the United States, some of our products, product claims, labeling and advertising are regulated by the Food and Drug Administration, the Consumer Product Safety Commission, the Occupational Health and Safety Administration, the Environmental Protection Agency and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If these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permits and registrations in the future.</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can be no assurance that future customer requirements concerning the content or manufacturing of our products will not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mining operations for a majority of our supply of sorbent minerals.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earthquakes, tornadoes, hurricanes, heavy rains and flooding, equipment failures and other unexpected maintenance problems, variations in the amount of rock and soil overlying our reserves, variations in geological conditions, fires and other accidents, fluctuations in the price or availability of supplies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acquiring adequate additional reserves in the future.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 of our products.</w:t>
      </w:r>
    </w:p>
    <w:p>
      <w:pPr>
        <w:spacing w:after="0" w:line="18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rely on intellectual property rights based on trademark, trade secret, patent and copyright laws to protect our brands, products and packaging for our products.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The failure to perfect or successfully assert our intellectual property rights could make us less competitive and could have a material adverse effect on our business, operating results, and financial condition.</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 See Item 3 “Legal Proceedings” for more information about specific legal matters related to our patents.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any key member of our senior management team may impede the implementation of our business plans in a timely manner.</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execution of our business plans depends in part upon the continued service of our senior management team, who possess unique and extensive industry knowledge and experience. The loss or other unavailability of one or more of the key members of our senior management team could adversely impact our ability to manage our operations effectively and/or pursue our business strategy. No Company-owned life insurance coverage has been obtained on these team members.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face risks as a result of our international sales and business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derived approximately 24% of our consolidated net sales from sales outside of the United States in fiscal year 2017. Our ability to sell our products and conduct our operations outside of the United States is subject to a number of risks. Local economic, political and labor conditions in each country could adversely affect demand for our products or disrupt our operations in these markets, particularly when local political and economic conditions are unstable. In addition, international sales and operations are subject to currency exchange fluctuations, fund transfer and trade restrictions and import/export duties, and international operations are subject to foreign regulatory requirements and issues, including with respect to environmental matters. Any of these matters could result in sudden, and potentially prolonged, changes in demand for our products. Also, we may have difficulty enforcing agreements and collecting accounts receivable through a foreign country’s legal system.</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adverse safety events or product liability claims that may be costly, create adverse publicity and may add further governmental regulation.</w:t>
      </w:r>
    </w:p>
    <w:p>
      <w:pPr>
        <w:spacing w:after="0" w:line="2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indemnification obligations, imposition of fines or criminal penalties or other governmental actions. Any of these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or change our product formulations in response to governmental action.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2017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assure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the Company and thus limit the ability of other stockholders to influence corporate matters. Beneficial ownership of Common Stock and Class B Stock by the Jaffee Investment Partnership, L.P. and its affiliates (including Richard M. Jaffee, our Chairman, and Daniel S. Jaffee, his son and our President and Chief Executive Officer)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a “controlled company” under the New York Stock Exchange Corporate Governance Standards. As a controlled company, we may rely on exemptions from certain NYSE corporate governance requirements that otherwise would be applicable, including the requirements:</w:t>
      </w:r>
    </w:p>
    <w:p>
      <w:pPr>
        <w:spacing w:after="0" w:line="170" w:lineRule="exact"/>
        <w:rPr>
          <w:sz w:val="20"/>
          <w:szCs w:val="20"/>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a majority of the board of directors consists of independent directors;</w:t>
      </w:r>
    </w:p>
    <w:p>
      <w:pPr>
        <w:spacing w:after="0" w:line="23"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have a nominating and governance committee comprised entirely of independent directors with a written charter addressing the committee’s purpose and responsibilities;</w:t>
      </w:r>
    </w:p>
    <w:p>
      <w:pPr>
        <w:ind w:left="500" w:hanging="168"/>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have a compensation committee comprised entirely of independent directors with a written charter addressing the committee’s purpose and responsibilities;</w:t>
      </w: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include in our proxy statements certain information regarding compensation consultants and related conflicts of interest;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we conduct an annual performance evaluation of the nominating and corporate governance and compensation committees.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previously relied on these exemptions (although we are not currently relying on the first exemption listed above), and we intend to continue to rely on them in the future, as applicable. As a result, you may not have the same benefits and information available to stockholders of NYSE-listed companies that are subject to all of the NYSE corporate governance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recent periods, there has been volatility in the market price for our Common Stock. Furthermore, the market price of our Common Stock could fluctuate substantially in the future in response to a number of factors, including the following:</w:t>
      </w:r>
    </w:p>
    <w:p>
      <w:pPr>
        <w:spacing w:after="0" w:line="170" w:lineRule="exact"/>
        <w:rPr>
          <w:sz w:val="20"/>
          <w:szCs w:val="20"/>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conditions in the economy, the financial markets, or the industries in which we operate;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alliances or joint ventures by us, our customers, suppliers or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introduction of new products or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price of energy sources and other raw materials;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developments affecting us, our industries, customers or competitors.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effect on the market prices of securities issued by many companies for reasons unrelated to their operating performance. These broad market fluctuations may materially adversely affect our Common Stock price, regardless of our operating results. Given its relatively small public float, number of stockholders and average daily trading volume, our Common Stock may be relatively more susceptible to volatility arising from any of these factors. There can be no assurance that the price of our Common Stock will increase in the future or be maintained at its recent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depress its market price.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Furthermore, i</w:t>
      </w:r>
      <w:r>
        <w:rPr>
          <w:rFonts w:ascii="Arial" w:cs="Arial" w:eastAsia="Arial" w:hAnsi="Arial"/>
          <w:sz w:val="17"/>
          <w:szCs w:val="17"/>
          <w:color w:val="010101"/>
        </w:rPr>
        <w:t>n response to recent public focus on dual class capital structures, certain stock index providers are implementing limitations on the</w:t>
      </w:r>
      <w:r>
        <w:rPr>
          <w:rFonts w:ascii="Arial" w:cs="Arial" w:eastAsia="Arial" w:hAnsi="Arial"/>
          <w:sz w:val="17"/>
          <w:szCs w:val="17"/>
          <w:color w:val="auto"/>
        </w:rPr>
        <w:t xml:space="preserve"> </w:t>
      </w:r>
      <w:r>
        <w:rPr>
          <w:rFonts w:ascii="Arial" w:cs="Arial" w:eastAsia="Arial" w:hAnsi="Arial"/>
          <w:sz w:val="17"/>
          <w:szCs w:val="17"/>
          <w:color w:val="010101"/>
        </w:rPr>
        <w:t>inclusion of dual class share structures in their indices. If these restrictions increase, they may impact who buys and holds our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ITEM 2 – PROPERTIES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9"/>
          </w:tcPr>
          <w:p>
            <w:pPr>
              <w:ind w:left="400"/>
              <w:spacing w:after="0"/>
              <w:rPr>
                <w:sz w:val="20"/>
                <w:szCs w:val="20"/>
                <w:color w:val="auto"/>
              </w:rPr>
            </w:pPr>
            <w:r>
              <w:rPr>
                <w:rFonts w:ascii="Arial" w:cs="Arial" w:eastAsia="Arial" w:hAnsi="Arial"/>
                <w:sz w:val="18"/>
                <w:szCs w:val="18"/>
                <w:b w:val="1"/>
                <w:bCs w:val="1"/>
                <w:color w:val="auto"/>
              </w:rPr>
              <w:t>Real Property Holdings and Mineral Reserves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Land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Land</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Land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Unpatented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Proven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Probable</w:t>
            </w:r>
          </w:p>
        </w:tc>
        <w:tc>
          <w:tcPr>
            <w:tcW w:w="100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Leased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Claims</w:t>
            </w: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Reserves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Reserves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0"/>
        </w:trPr>
        <w:tc>
          <w:tcPr>
            <w:tcW w:w="6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gridSpan w:val="4"/>
          </w:tcPr>
          <w:p>
            <w:pPr>
              <w:ind w:left="20"/>
              <w:spacing w:after="0"/>
              <w:rPr>
                <w:sz w:val="20"/>
                <w:szCs w:val="20"/>
                <w:color w:val="auto"/>
              </w:rPr>
            </w:pPr>
            <w:r>
              <w:rPr>
                <w:rFonts w:ascii="Arial" w:cs="Arial" w:eastAsia="Arial" w:hAnsi="Arial"/>
                <w:sz w:val="18"/>
                <w:szCs w:val="18"/>
                <w:b w:val="1"/>
                <w:bCs w:val="1"/>
                <w:color w:val="auto"/>
              </w:rPr>
              <w:t>(acres)</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60" w:type="dxa"/>
            <w:vAlign w:val="bottom"/>
            <w:gridSpan w:val="4"/>
          </w:tcPr>
          <w:p>
            <w:pPr>
              <w:ind w:left="1120"/>
              <w:spacing w:after="0"/>
              <w:rPr>
                <w:sz w:val="20"/>
                <w:szCs w:val="20"/>
                <w:color w:val="auto"/>
              </w:rPr>
            </w:pPr>
            <w:r>
              <w:rPr>
                <w:rFonts w:ascii="Arial" w:cs="Arial" w:eastAsia="Arial" w:hAnsi="Arial"/>
                <w:sz w:val="18"/>
                <w:szCs w:val="18"/>
                <w:b w:val="1"/>
                <w:bCs w:val="1"/>
                <w:color w:val="auto"/>
                <w:w w:val="90"/>
              </w:rPr>
              <w:t>(thousands of tons)</w:t>
            </w:r>
          </w:p>
        </w:tc>
        <w:tc>
          <w:tcPr>
            <w:tcW w:w="1000" w:type="dxa"/>
            <w:vAlign w:val="bottom"/>
          </w:tcPr>
          <w:p>
            <w:pPr>
              <w:spacing w:after="0"/>
              <w:rPr>
                <w:sz w:val="23"/>
                <w:szCs w:val="23"/>
                <w:color w:val="auto"/>
              </w:rPr>
            </w:pP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1,825</w:t>
            </w:r>
          </w:p>
        </w:tc>
        <w:tc>
          <w:tcPr>
            <w:tcW w:w="2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11,226</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15,248</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57,450</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Illinois</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4,405</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Mississippi</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76,590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91,857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168,447</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Nevada</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23,316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26,292</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Tennessee</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620" w:type="dxa"/>
            <w:vAlign w:val="bottom"/>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20" w:type="dxa"/>
            <w:vAlign w:val="bottom"/>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8,018</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12,006</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143,224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134,643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277,867</w:t>
            </w:r>
          </w:p>
        </w:tc>
      </w:tr>
      <w:tr>
        <w:trPr>
          <w:trHeight w:val="20"/>
        </w:trPr>
        <w:tc>
          <w:tcPr>
            <w:tcW w:w="6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Mississippi, Georgia, Tennessee, Nevada, California and Illinois properties are primarily mineral in nature, except our research and development facility which is included in the Illinois owned land. We mine sorbent minerals primarily consisting of calcium bentonite, attapulgite and diatomaceous shale. We use geologists and mineral specialists who prepared the estimated reserves of these minerals in the table above. See also Item 1 “Business” above for further information about our reserves. The locations in the table above collectively produced approximately 753,000 tons of finished product in fiscal year 2017, 784,000 tons in fiscal year 2016 and 808,000 tons in fiscal year 2015. Parcels of such land are also sites of manufacturing facilities operated by us. We own approximately one acre of land in Laval, Quebec, Canada, which is the site of the processing, packaging and distribution facility for our Canadian subsidiary</w:t>
      </w:r>
      <w:r>
        <w:rPr>
          <w:rFonts w:ascii="Arial" w:cs="Arial" w:eastAsia="Arial" w:hAnsi="Arial"/>
          <w:sz w:val="18"/>
          <w:szCs w:val="18"/>
          <w:b w:val="1"/>
          <w:bCs w:val="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mining operations are conducted on land that we own or lease.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2026 to 2097.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 See also Item 1 “Business” above for further information on our reserves.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ANUFACTURING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ETHODS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 and Hauling</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13 miles.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LVM Clay: RVM clay is fed from storage tanks into the LVM kiln where the moisture content is further reduced. The clay then proceeds into a rotary cooler, then on to a screening circuit which separates the clay into the desired particle sizes.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certain other products may go through further processing or the application of fragrances and additives. For example, certain fluid purification and animal health products are processed into a powder form. We also use a proprietary process for our engineered granules to create spherical, uniform-sized granules.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Packaging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Once the clay has been dried to the desired level it will be sized and packaged. Our products have various package sizes and types ranging from bags, boxes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clay manufacturing and non-clay production facilities on property owned or leased by us as shown on the map below:</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17145</wp:posOffset>
            </wp:positionV>
            <wp:extent cx="3790315" cy="3987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90315" cy="398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980"/>
              <w:spacing w:after="0"/>
              <w:rPr>
                <w:sz w:val="20"/>
                <w:szCs w:val="20"/>
                <w:color w:val="auto"/>
              </w:rPr>
            </w:pPr>
            <w:r>
              <w:rPr>
                <w:rFonts w:ascii="Arial" w:cs="Arial" w:eastAsia="Arial" w:hAnsi="Arial"/>
                <w:sz w:val="18"/>
                <w:szCs w:val="18"/>
                <w:b w:val="1"/>
                <w:bCs w:val="1"/>
                <w:color w:val="auto"/>
              </w:rPr>
              <w:t>Location</w:t>
            </w:r>
          </w:p>
        </w:tc>
        <w:tc>
          <w:tcPr>
            <w:tcW w:w="148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Owned/Leased</w:t>
            </w:r>
          </w:p>
        </w:tc>
        <w:tc>
          <w:tcPr>
            <w:tcW w:w="7600" w:type="dxa"/>
            <w:vAlign w:val="bottom"/>
          </w:tcPr>
          <w:p>
            <w:pPr>
              <w:ind w:left="3460"/>
              <w:spacing w:after="0"/>
              <w:rPr>
                <w:sz w:val="20"/>
                <w:szCs w:val="20"/>
                <w:color w:val="auto"/>
              </w:rPr>
            </w:pPr>
            <w:r>
              <w:rPr>
                <w:rFonts w:ascii="Arial" w:cs="Arial" w:eastAsia="Arial" w:hAnsi="Arial"/>
                <w:sz w:val="18"/>
                <w:szCs w:val="18"/>
                <w:b w:val="1"/>
                <w:bCs w:val="1"/>
                <w:color w:val="auto"/>
              </w:rPr>
              <w:t>Function</w:t>
            </w:r>
          </w:p>
        </w:tc>
      </w:tr>
      <w:tr>
        <w:trPr>
          <w:trHeight w:val="27"/>
        </w:trPr>
        <w:tc>
          <w:tcPr>
            <w:tcW w:w="2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8"/>
                <w:szCs w:val="18"/>
                <w:color w:val="auto"/>
              </w:rPr>
              <w:t>Alpharetta, Georgia</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Pr>
          <w:p>
            <w:pPr>
              <w:ind w:left="20"/>
              <w:spacing w:after="0"/>
              <w:rPr>
                <w:sz w:val="20"/>
                <w:szCs w:val="20"/>
                <w:color w:val="auto"/>
              </w:rPr>
            </w:pPr>
            <w:r>
              <w:rPr>
                <w:rFonts w:ascii="Arial" w:cs="Arial" w:eastAsia="Arial" w:hAnsi="Arial"/>
                <w:sz w:val="18"/>
                <w:szCs w:val="18"/>
                <w:color w:val="auto"/>
              </w:rPr>
              <w:t>Non-clay manufacturing and packaging, sales, customer service</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Blue Mountain, Mississippi</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Chicago, Illinois</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Pr>
          <w:p>
            <w:pPr>
              <w:ind w:left="20"/>
              <w:spacing w:after="0"/>
              <w:rPr>
                <w:sz w:val="20"/>
                <w:szCs w:val="20"/>
                <w:color w:val="auto"/>
              </w:rPr>
            </w:pPr>
            <w:r>
              <w:rPr>
                <w:rFonts w:ascii="Arial" w:cs="Arial" w:eastAsia="Arial" w:hAnsi="Arial"/>
                <w:sz w:val="18"/>
                <w:szCs w:val="18"/>
                <w:color w:val="auto"/>
              </w:rPr>
              <w:t>Principal executive office</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Coppet, Switzerland</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service office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Laval, Quebec, Canada</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Non-clay manufacturing and clay and non-clay packaging, sales</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Mounds, Illinois</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Ochlocknee, Georgia</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Ripley, Mississippi</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Shenzhen, China</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Pr>
          <w:p>
            <w:pPr>
              <w:ind w:left="20"/>
              <w:spacing w:after="0"/>
              <w:rPr>
                <w:sz w:val="20"/>
                <w:szCs w:val="20"/>
                <w:color w:val="auto"/>
              </w:rPr>
            </w:pPr>
            <w:r>
              <w:rPr>
                <w:rFonts w:ascii="Arial" w:cs="Arial" w:eastAsia="Arial" w:hAnsi="Arial"/>
                <w:sz w:val="18"/>
                <w:szCs w:val="18"/>
                <w:color w:val="auto"/>
              </w:rPr>
              <w:t>Sales office, customer service</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Taft, California</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Vernon Hills, Illinois</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43"/>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Wisbech, United Kingdom</w:t>
            </w:r>
          </w:p>
        </w:tc>
        <w:tc>
          <w:tcPr>
            <w:tcW w:w="148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Non-clay manufacturing and clay and non-clay packaging, sales, customer service</w:t>
            </w:r>
          </w:p>
        </w:tc>
      </w:tr>
      <w:tr>
        <w:trPr>
          <w:trHeight w:val="27"/>
        </w:trPr>
        <w:tc>
          <w:tcPr>
            <w:tcW w:w="2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7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 mortgages on the real property we own. The leases for the Alpharetta, Georgia facility and the Shenzhen, China office both expire in 2018. The Wisbech, United Kingdom facility lease expires in 2032 and the Chicago, Illinois corporate office lease expires in 2033. The lease for the Coppet, Switzerland office is on a year-to-year basis. We consider that our properties are generally in good condition, well maintained and suitable and adequate to carry on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 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lawsuits, we believe that none of the pending proceedings will have a material adverse effect on our business, financial condition, results of operations or cash flows; however, some proceedings, particularly the matters described below, could have a more significant impact than others.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3, 2015, we brought suit in the United States District Court for the Northern District of Illinois, Eastern Division, against Nestlé Purina PetCare Company (“Nestlé”) seeking monetary damages and injunctive relief based on Nestlé’s alleged infringement of a patent held by us. In response, Nestlé filed a petition for Inter Partes Review (“IPR”) with the Patent Trial and Appeal Board (“PTAB”) of the United States Patent and Trademark Office to challenge certain of the claims in our patent. Nestlé obtained a stay of the lawsuit in district court until the PTAB agreed to consider Nestlé’s petition and issued its substantive decision on the IPR’s patent challenges.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PTAB agreed to consider Nestlé’s petition, and on June 20, 2016, issued an order stating that Nestlé had not shown by a preponderance of the evidence that any of the challenged claims in our patent are unpatentable. In July 2016, Nestlé filed a motion for reconsideration of the PTAB’s decision, which was denied in February 2017 and has since been appealed by Nestlé. The stay of our lawsuit in district court was lifted, but Nestlé sought another stay until the pending appeal is decided. Nestlé’s request for a stay was denied on March 24, 2017.</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Due to the nature and current legal standing of the litigation with Nestlé, we cannot estimate the possible damages, if any, and the total expense associated with the lawsuit. Although no assurances can be given as to the result of the lawsuit, based on the present status, management does not believe that such result will have a material adverse effect on our financial condition or results of operations.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on September 23, 2016, we brought another suit in the United States District Court for the Northern District of Illinois, Eastern Division, against Nestlé seeking monetary damages and injunctive relief based on Nestlé’s alleged infringement of a patent issued to us in 2016. Nestle brought counterclaims in response to this lawsuit. The parties agreed to dismiss the lawsuit and counterclaims on June 16,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is traded on the NYSE under the symbol ODC. There is no established trading market for our Class B Stock. There are no shares of Class A Common Stock currently outstanding. See Note 6 of the Notes to the Consolidated Financial Statements for a description of our Common Stock, Class B Stock and Class A Common Stock. The number of holders of record of Common Stock and Class B Stock on September 29, 2017 were 636 and 29, respectively, as reported by our transfer agent. In the last three years, we have not sold any securities which were not registered under the Securities Act of 1933.</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 for our Common Stock listed on the NYSE and dividends per share declared on our Common Stock and Class B Stock.</w:t>
      </w:r>
    </w:p>
    <w:p>
      <w:pPr>
        <w:spacing w:after="0" w:line="112"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tcPr>
          <w:p>
            <w:pPr>
              <w:ind w:left="26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8"/>
                <w:szCs w:val="18"/>
                <w:color w:val="auto"/>
              </w:rPr>
            </w:pPr>
          </w:p>
        </w:tc>
        <w:tc>
          <w:tcPr>
            <w:tcW w:w="22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Cash Dividends</w:t>
            </w:r>
          </w:p>
        </w:tc>
      </w:tr>
      <w:tr>
        <w:trPr>
          <w:trHeight w:val="234"/>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5"/>
          </w:tcPr>
          <w:p>
            <w:pPr>
              <w:ind w:left="380"/>
              <w:spacing w:after="0"/>
              <w:rPr>
                <w:sz w:val="20"/>
                <w:szCs w:val="20"/>
                <w:color w:val="auto"/>
              </w:rPr>
            </w:pPr>
            <w:r>
              <w:rPr>
                <w:rFonts w:ascii="Arial" w:cs="Arial" w:eastAsia="Arial" w:hAnsi="Arial"/>
                <w:sz w:val="18"/>
                <w:szCs w:val="18"/>
                <w:b w:val="1"/>
                <w:bCs w:val="1"/>
                <w:color w:val="auto"/>
              </w:rPr>
              <w:t>Price Range</w:t>
            </w:r>
          </w:p>
        </w:tc>
        <w:tc>
          <w:tcPr>
            <w:tcW w:w="160" w:type="dxa"/>
            <w:vAlign w:val="bottom"/>
          </w:tcPr>
          <w:p>
            <w:pPr>
              <w:spacing w:after="0"/>
              <w:rPr>
                <w:sz w:val="20"/>
                <w:szCs w:val="20"/>
                <w:color w:val="auto"/>
              </w:rPr>
            </w:pPr>
          </w:p>
        </w:tc>
        <w:tc>
          <w:tcPr>
            <w:tcW w:w="22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Per Share</w:t>
            </w:r>
          </w:p>
        </w:tc>
      </w:tr>
      <w:tr>
        <w:trPr>
          <w:trHeight w:val="27"/>
        </w:trPr>
        <w:tc>
          <w:tcPr>
            <w:tcW w:w="3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Class B</w:t>
            </w:r>
          </w:p>
        </w:tc>
      </w:tr>
      <w:tr>
        <w:trPr>
          <w:trHeight w:val="234"/>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w:t>
            </w:r>
          </w:p>
        </w:tc>
      </w:tr>
      <w:tr>
        <w:trPr>
          <w:trHeight w:val="27"/>
        </w:trPr>
        <w:tc>
          <w:tcPr>
            <w:tcW w:w="3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2017:</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32.55</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0.2200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0.1650</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31.35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0.1650</w:t>
            </w: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33.26</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0.2200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0.1650</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33.61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0.2300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0.1730</w:t>
            </w:r>
          </w:p>
        </w:tc>
      </w:tr>
      <w:tr>
        <w:trPr>
          <w:trHeight w:val="297"/>
        </w:trPr>
        <w:tc>
          <w:tcPr>
            <w:tcW w:w="30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0.8900</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0.6680</w:t>
            </w:r>
          </w:p>
        </w:tc>
      </w:tr>
      <w:tr>
        <w:trPr>
          <w:trHeight w:val="176"/>
        </w:trPr>
        <w:tc>
          <w:tcPr>
            <w:tcW w:w="3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Fiscal Year 2016:</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21.65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0.1575</w:t>
            </w: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28.42</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0.2100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0.1575</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32.24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0.1575</w:t>
            </w: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29.89</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0.2200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0.1650</w:t>
            </w:r>
          </w:p>
        </w:tc>
      </w:tr>
      <w:tr>
        <w:trPr>
          <w:trHeight w:val="27"/>
        </w:trPr>
        <w:tc>
          <w:tcPr>
            <w:tcW w:w="3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0.8500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0.6375</w:t>
            </w: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Our Board of Directors determines the timing and amount of any dividends. Our Board of Directors may change its dividend practice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The declaration and payment of future dividends, if any, will depend upon, among other things, our future earnings, capital requirements, financial condition, legal requirements, contractual restrictions and other factors that our Board of Directors deems relevant. Our Credit Agreement with BMO Harris Bank N.A. (“BMO Harris”) requires that certain minimum net worth and tangible net worth levels are to be maintained. To the extent that these balances are not attained, our ability to pay dividends may be impaired. See Note 3 of the Notes to the Consolidated Financial Statements for further information about our note agreements.</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Issuer Repurchase of Equity Securities. </w:t>
      </w:r>
      <w:r>
        <w:rPr>
          <w:rFonts w:ascii="Arial" w:cs="Arial" w:eastAsia="Arial" w:hAnsi="Arial"/>
          <w:sz w:val="18"/>
          <w:szCs w:val="18"/>
          <w:color w:val="auto"/>
        </w:rPr>
        <w:t>Our Board of Directors authorized the repurchase of 250,000 shares of Common Stock on March 11, 2011</w:t>
      </w:r>
      <w:r>
        <w:rPr>
          <w:rFonts w:ascii="Arial" w:cs="Arial" w:eastAsia="Arial" w:hAnsi="Arial"/>
          <w:sz w:val="18"/>
          <w:szCs w:val="18"/>
          <w:b w:val="1"/>
          <w:bCs w:val="1"/>
          <w:color w:val="auto"/>
        </w:rPr>
        <w:t xml:space="preserve"> </w:t>
      </w:r>
      <w:r>
        <w:rPr>
          <w:rFonts w:ascii="Arial" w:cs="Arial" w:eastAsia="Arial" w:hAnsi="Arial"/>
          <w:sz w:val="18"/>
          <w:szCs w:val="18"/>
          <w:color w:val="auto"/>
        </w:rPr>
        <w:t>and authorized the repurchase of an additional 250,000 shares on June 14, 2012. These authorizations do not have a stated expiration date. As of July 31, 2017, a total of 301,444 shares of Common Stock may yet be repurchased under these authorizations. We do not have any current authorization from our Board of Directors to repurchase shares of Class B Stock.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Equity Compensation Plan Information. </w:t>
      </w:r>
      <w:r>
        <w:rPr>
          <w:rFonts w:ascii="Arial" w:cs="Arial" w:eastAsia="Arial" w:hAnsi="Arial"/>
          <w:sz w:val="18"/>
          <w:szCs w:val="18"/>
          <w:color w:val="auto"/>
        </w:rPr>
        <w:t>The following table presents information about compensation plans under which our equity securities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There are no outstanding stock options as of July 31, 2017. See Note 7 of the Notes to the Consolidated Financial Statements for further information about these stock-based compensation plans.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 As Of July 31, 2017</w:t>
      </w:r>
    </w:p>
    <w:p>
      <w:pPr>
        <w:spacing w:after="0" w:line="4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further issuance under</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 issued upon exercise of</w:t>
            </w: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Weighted-average exercise</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outstanding options (in</w:t>
            </w:r>
          </w:p>
        </w:tc>
        <w:tc>
          <w:tcPr>
            <w:tcW w:w="1880" w:type="dxa"/>
            <w:vAlign w:val="bottom"/>
            <w:gridSpan w:val="2"/>
            <w:vMerge w:val="continue"/>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c>
          <w:tcPr>
            <w:tcW w:w="0" w:type="dxa"/>
            <w:vAlign w:val="bottom"/>
          </w:tcPr>
          <w:p>
            <w:pPr>
              <w:spacing w:after="0"/>
              <w:rPr>
                <w:sz w:val="1"/>
                <w:szCs w:val="1"/>
                <w:color w:val="auto"/>
              </w:rPr>
            </w:pPr>
          </w:p>
        </w:tc>
      </w:tr>
      <w:tr>
        <w:trPr>
          <w:trHeight w:val="149"/>
        </w:trPr>
        <w:tc>
          <w:tcPr>
            <w:tcW w:w="510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thousands)</w:t>
            </w: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price of outstanding options</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column (a)) (in thousands)</w:t>
            </w:r>
          </w:p>
        </w:tc>
        <w:tc>
          <w:tcPr>
            <w:tcW w:w="0" w:type="dxa"/>
            <w:vAlign w:val="bottom"/>
          </w:tcPr>
          <w:p>
            <w:pPr>
              <w:spacing w:after="0"/>
              <w:rPr>
                <w:sz w:val="1"/>
                <w:szCs w:val="1"/>
                <w:color w:val="auto"/>
              </w:rPr>
            </w:pPr>
          </w:p>
        </w:tc>
      </w:tr>
      <w:tr>
        <w:trPr>
          <w:trHeight w:val="192"/>
        </w:trPr>
        <w:tc>
          <w:tcPr>
            <w:tcW w:w="5100" w:type="dxa"/>
            <w:vAlign w:val="bottom"/>
            <w:vMerge w:val="continue"/>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Equity compensation plans approved by stockholders</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2340" w:type="dxa"/>
            <w:vAlign w:val="bottom"/>
          </w:tcPr>
          <w:p>
            <w:pPr>
              <w:jc w:val="center"/>
              <w:spacing w:after="0"/>
              <w:rPr>
                <w:sz w:val="20"/>
                <w:szCs w:val="20"/>
                <w:color w:val="auto"/>
              </w:rPr>
            </w:pPr>
            <w:r>
              <w:rPr>
                <w:rFonts w:ascii="Arial" w:cs="Arial" w:eastAsia="Arial" w:hAnsi="Arial"/>
                <w:sz w:val="18"/>
                <w:szCs w:val="18"/>
                <w:color w:val="auto"/>
                <w:w w:val="93"/>
              </w:rPr>
              <w:t>345</w:t>
            </w:r>
          </w:p>
        </w:tc>
        <w:tc>
          <w:tcPr>
            <w:tcW w:w="0" w:type="dxa"/>
            <w:vAlign w:val="bottom"/>
          </w:tcPr>
          <w:p>
            <w:pPr>
              <w:spacing w:after="0"/>
              <w:rPr>
                <w:sz w:val="1"/>
                <w:szCs w:val="1"/>
                <w:color w:val="auto"/>
              </w:rPr>
            </w:pPr>
          </w:p>
        </w:tc>
      </w:tr>
      <w:tr>
        <w:trPr>
          <w:trHeight w:val="702"/>
        </w:trPr>
        <w:tc>
          <w:tcPr>
            <w:tcW w:w="5100" w:type="dxa"/>
            <w:vAlign w:val="bottom"/>
          </w:tcPr>
          <w:p>
            <w:pPr>
              <w:spacing w:after="0"/>
              <w:rPr>
                <w:sz w:val="24"/>
                <w:szCs w:val="24"/>
                <w:color w:val="auto"/>
              </w:rPr>
            </w:pPr>
          </w:p>
        </w:tc>
        <w:tc>
          <w:tcPr>
            <w:tcW w:w="1660" w:type="dxa"/>
            <w:vAlign w:val="bottom"/>
          </w:tcPr>
          <w:p>
            <w:pPr>
              <w:jc w:val="right"/>
              <w:ind w:right="106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graph shows the annual cumulative total stockholders’ return for the five years ending July 31, 2017 on an assumed investment of $100 on July 31, 2012 in our Common Stock, the Russell Microcap Index and the Russell 2000-Material and Processing Economic Sector Index. Our Common Stock is included in the Russell Microcap Index and we consider the Russell 2000-Material and Processing Economic Sector Index to be our peer group. The graph assumes all dividends were reinvested. The historical stock price performance of our Common Stock is not necessarily indicative of future stock performance.</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Comparative Five-Year Total Returns</w:t>
      </w:r>
    </w:p>
    <w:p>
      <w:pPr>
        <w:spacing w:after="0" w:line="27" w:lineRule="exact"/>
        <w:rPr>
          <w:sz w:val="20"/>
          <w:szCs w:val="20"/>
          <w:color w:val="auto"/>
        </w:rPr>
      </w:pPr>
    </w:p>
    <w:p>
      <w:pPr>
        <w:ind w:left="5320" w:right="1500" w:hanging="3159"/>
        <w:spacing w:after="0" w:line="290" w:lineRule="auto"/>
        <w:rPr>
          <w:sz w:val="20"/>
          <w:szCs w:val="20"/>
          <w:color w:val="auto"/>
        </w:rPr>
      </w:pPr>
      <w:r>
        <w:rPr>
          <w:rFonts w:ascii="Arial" w:cs="Arial" w:eastAsia="Arial" w:hAnsi="Arial"/>
          <w:sz w:val="17"/>
          <w:szCs w:val="17"/>
          <w:b w:val="1"/>
          <w:bCs w:val="1"/>
          <w:color w:val="auto"/>
        </w:rPr>
        <w:t>Oil-Dri Corporation of America, Russell Microcap Index, Russell 2000-Materials &amp; Processing Index (Performance results through July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-24765</wp:posOffset>
            </wp:positionV>
            <wp:extent cx="5848985" cy="4116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120" w:type="dxa"/>
        <w:tblCellMar>
          <w:top w:w="0" w:type="dxa"/>
          <w:left w:w="0" w:type="dxa"/>
          <w:bottom w:w="0" w:type="dxa"/>
          <w:right w:w="0" w:type="dxa"/>
        </w:tblCellMar>
      </w:tblPr>
      <w:tr>
        <w:trPr>
          <w:trHeight w:val="270"/>
        </w:trPr>
        <w:tc>
          <w:tcPr>
            <w:tcW w:w="38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2012</w:t>
            </w: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2014</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2016</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2017</w:t>
            </w: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Oil-Dri Corporation of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149.86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140.32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129.64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190.23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215.16</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Russell Microcap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192.18</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Russell 2000-Materials &amp; Processing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196.05</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performance graph and accompanying disclosure is not soliciting material, is not deemed filed with the SEC, and is not incorporated by reference in any of our filings under the Securities Act or the Exchange Act, whether made on, before or after the date of this filing and irrespective of any general incorporation language in such filing.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660" w:type="dxa"/>
            <w:vAlign w:val="bottom"/>
            <w:gridSpan w:val="9"/>
          </w:tcPr>
          <w:p>
            <w:pPr>
              <w:jc w:val="right"/>
              <w:ind w:right="17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IVE</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UMMARY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ATA</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3920" w:type="dxa"/>
            <w:vAlign w:val="bottom"/>
          </w:tcPr>
          <w:p>
            <w:pPr>
              <w:spacing w:after="0"/>
              <w:rPr>
                <w:sz w:val="23"/>
                <w:szCs w:val="23"/>
                <w:color w:val="auto"/>
              </w:rPr>
            </w:pPr>
          </w:p>
        </w:tc>
        <w:tc>
          <w:tcPr>
            <w:tcW w:w="3660" w:type="dxa"/>
            <w:vAlign w:val="bottom"/>
            <w:gridSpan w:val="9"/>
          </w:tcPr>
          <w:p>
            <w:pPr>
              <w:jc w:val="right"/>
              <w:ind w:right="70"/>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4"/>
                <w:szCs w:val="14"/>
                <w:b w:val="1"/>
                <w:bCs w:val="1"/>
                <w:color w:val="auto"/>
                <w:w w:val="93"/>
              </w:rPr>
              <w:t>In thousands, except for per share amounts and ratios</w:t>
            </w:r>
            <w:r>
              <w:rPr>
                <w:rFonts w:ascii="Arial" w:cs="Arial" w:eastAsia="Arial" w:hAnsi="Arial"/>
                <w:sz w:val="18"/>
                <w:szCs w:val="18"/>
                <w:b w:val="1"/>
                <w:bCs w:val="1"/>
                <w:color w:val="auto"/>
                <w:w w:val="93"/>
              </w:rPr>
              <w:t>)</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Fiscal Year Ended July 31,</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Summary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262,307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262,313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261,402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266,313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250,583</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(188,595)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(185,164)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(201,245)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(206,663)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(184,084)</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73,712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77,149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60,157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59,650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66,499</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(58,482)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(47,558)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Capacity Rationalization Charges (1)</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(70)</w:t>
            </w:r>
          </w:p>
        </w:tc>
      </w:tr>
      <w:tr>
        <w:trPr>
          <w:trHeight w:val="27"/>
        </w:trPr>
        <w:tc>
          <w:tcPr>
            <w:tcW w:w="39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15,230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15,153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18,871</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(888)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(1,773)</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Exchange (Losses) Gains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292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423</w:t>
            </w:r>
          </w:p>
        </w:tc>
      </w:tr>
      <w:tr>
        <w:trPr>
          <w:trHeight w:val="27"/>
        </w:trPr>
        <w:tc>
          <w:tcPr>
            <w:tcW w:w="39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14,545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14,357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14,169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11,337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17,499</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(3,753)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(2,913)</w:t>
            </w:r>
          </w:p>
        </w:tc>
      </w:tr>
      <w:tr>
        <w:trPr>
          <w:trHeight w:val="297"/>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gridSpan w:val="2"/>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10,792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13,613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11,368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8,356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14,586</w:t>
            </w: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7,158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7,094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7,037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6,927</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Basic Common</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1.60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2.25</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Class B Common</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Diluted Common</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1.47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2.07</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Important Highlights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Total Assets (2)</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212,575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204,815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189,885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185,961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183,250</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 Net (2)</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15,271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18,657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22,091</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Working Capital</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64,063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60,433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53,755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54,016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71,925</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Working Capital Ratio</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Book Value per Share</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17.75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14.96</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6,002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4,712</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Dividends Declared per Common Share</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0.8900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0.8500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0.8100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0.7700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0.7300</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1"/>
              </w:rPr>
              <w:t>Dividends Declared per Class B Common Share</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0.6680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0.6375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0.5475</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14,763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10,684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15,859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18,566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9,795</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12,772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11,994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8,946</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Net Income as a Percent of Net Sales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Return on Average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Gross Profit as a Percent of Net Sales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28.1%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Operating Expenses as a Percent of Net Sales</w:t>
            </w: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3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ind w:firstLine="8"/>
        <w:spacing w:after="0" w:line="250" w:lineRule="auto"/>
        <w:tabs>
          <w:tab w:leader="none" w:pos="27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fiscal year 2013, a one-time charge was incurred for the relocation of production of our industrial floor absorbent and cat litter products from our facility located in Mounds, Illinois to our plants located in Mississippi.</w:t>
      </w:r>
    </w:p>
    <w:p>
      <w:pPr>
        <w:jc w:val="both"/>
        <w:ind w:firstLine="8"/>
        <w:spacing w:after="0" w:line="255" w:lineRule="auto"/>
        <w:tabs>
          <w:tab w:leader="none" w:pos="26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Prior year amounts have been retrospectively adjusted to conform to the current year presentation of debt issuance costs required by new guidance under Accounting Standards Codification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See Note 1 of the Notes to the Consolidated Financial Statements for details.</w:t>
      </w:r>
    </w:p>
    <w:p>
      <w:pPr>
        <w:sectPr>
          <w:pgSz w:w="11900" w:h="16838" w:orient="portrait"/>
          <w:cols w:equalWidth="0" w:num="1">
            <w:col w:w="11420"/>
          </w:cols>
          <w:pgMar w:left="240" w:top="580"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80"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2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Each operating segment is discussed individually below. Additional detailed descriptions of the operating segments are included in Item 1 “Business” above.</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Consolidated net income was $10,792,000, or $1.47 per diluted share, for the fiscal year ended July 31, 2017, a 21% decrease from net income of $13,613,000, or $1.87 per diluted share, for the fiscal year ended July 31, 2016. Net sales were flat in fiscal year 2017 compared to fiscal year 2016. Income from operations was also relatively even with the prior year due to increased cost of sales that were primarily offset by lower selling, general and administrative expenses. Higher manufacturing costs drove the cost of sales increase, while lower advertising costs reduced selling, general and administrative expenses. A significantly higher tax rate reduced net income in fiscal year 2017 compared to fiscal year 2016. The lower tax rate in fiscal year 2016 was driven by the full release of the valuation allowance associated with the deferred tax asset for domestic AMT credits.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balance sheet as of July 31, 2017 remained strong. Total cash, cash equivalents and short-term investments increased $3,858,000 from fiscal year-end 2016 even as we invested in capital at our plants, spent funds for the enterprise resource planning system implementation and related infrastructure improvements, paid higher dividends and reduced our notes payable. The noncurrent liability for our pension and postretirement benefits decreased $3,331,000 due primarily to a higher discount rate required for the actuarial determination of these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2017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net sales in fiscal year 2017 were $262,307,000, a decrease of $6,000 from net sales of $262,313,000 in fiscal year 2016. Net sales in our Business to Business Products Group increased for our products used in animal health, fluids purification and agriculture applications. Net sales in our Retail and Wholesale Products Group declined, primarily for our cat litter products; however, net sales increased for our subsidiary in Canada and for our industrial absorbent products. Sales fluctuations by operating segment are further discussed below.</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Consolidated gross profit in fiscal year 2017 was $73,712,000, a decrease of $3,437,000 from gross profit of $77,149,000 in the prior year. Our gross margin (defined as gross profit as a percentage of net sales) in fiscal year 2017 decreased to 28% from 29% in fiscal year 2016. Gross profit decreased due primarily to higher manufacturing costs. The cost of natural gas used to operate kilns that dry our clay during processing increased approximately 27% per ton produced. In addition, non-fuel manufacturing costs per ton were up approximately 8%, driven by reduced fixed cost absorption due to fewer tons produced, as well as by increased labor, employee benefits and depreciation costs. Depreciation costs increased as we continue to invest in machinery and equipment at our plants. Overall packaging and freight costs per ton produced declined slightly. A significant amount of our packaging purchases are subject to contractual price adjustments throughout the year based on underlying commodity prices, including prices for resin and paper. Lower packaging costs reflected favorable price adjustment. Our freight costs are influenced by diesel prices, as well as by truck, rail and ocean vessel availability and government regulations.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both"/>
        <w:ind w:firstLine="648"/>
        <w:spacing w:after="0" w:line="291" w:lineRule="auto"/>
        <w:rPr>
          <w:sz w:val="20"/>
          <w:szCs w:val="20"/>
          <w:color w:val="auto"/>
        </w:rPr>
      </w:pPr>
      <w:r>
        <w:rPr>
          <w:rFonts w:ascii="Arial" w:cs="Arial" w:eastAsia="Arial" w:hAnsi="Arial"/>
          <w:sz w:val="16"/>
          <w:szCs w:val="16"/>
          <w:color w:val="auto"/>
        </w:rPr>
        <w:t>Total selling, general and administrative expenses were 5% lower in fiscal year 2017 compared to fiscal year 2016. The discussions of each segment's operating income below describe the changes in selling, general and administrative expenses that were allocated to that segment, particularly a lower advertising expense in the Retail and Wholesale Products Group. The remaining unallocated corporate expenses in fiscal year 2017 included a higher pension expense and additional expenditures related to the implementation of our new enterprise resource planning software. See Note 8 of Notes to the Consolidated Financial Statements for more information about the pension expense. These higher corporate expenses were partially offset by a lower estimated annual discretionary incentive plan bonus accrual compared to fiscal year 2016. The incentive bonus accrual was based on actual financial results achieved for the fiscal year and discretion by our Chief Executive Officer, in accordance with the incentive plan's provisions.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effective tax rate of 25.8% of pre-tax income in fiscal year 2017 was more in line with our historic experience, compared to the fiscal year 2016 tax rate of 5.2%. The lower rate in fiscal year 2016 was due to the release of the valuation allowance related to our deferred tax asset for domestic AMT credits. This decision to release the valuation allowance in fiscal year 2016 was based on the belief that we would continue to achieve margin and profitability levels in the future that would allow us to use the AMT credits. See Note 5 of the Notes to the Consolidated Financial Statements for additional information about our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sales of the Business to Business Products Group for fiscal year 2017 were $100,419,000, an increase of $3,975,000, or 4%, from net sales of $96,444,000 in fiscal year 2016. Net sales increased for our products used in animal health, fluids purification and agriculture applications. Net sales of animal health and nutrition products were up approximately 14% in domestic and most foreign markets. Our subsidiary in China contributed to the sales increase, as discussed further in “Foreign Operations” below. Also contributing to the increased sales were customer trials of our new Varium product introduced in fiscal year 2016. Sales in Latin America were negatively impacted during the transition to a new distributor. Sales of our fluid purification products increased approximately 4%. Sales to edible oil producers accounted for much of the sales improvement, which included sales to a large customer in Europe added in the fourth quarter of fiscal year 2016. Total sales of our agricultural products were approximately 2% higher. Sales improved for both our traditional and engineered granule crop protection chemical carriers, as well as for products that serve as flowability aids. Sales of our co-packaged cat litter declined approximately 1% due to fewer tons sold.</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Business to Business Products Group’s selling, general and administrative expenses in fiscal year 2017 decreased approximately 2% compared to fiscal year 2016 due primarily to lower costs to promote and develop our animal health products.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Business to Business Products Group’s operating income of $33,343,000 in fiscal year 2017 was essentially flat, with a decrease of only $121,000 from operating income of $33,464,000 in fiscal year 2016. See further discussion of manufacturing, packaging and freight costs in “Consolidated Results”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sales of the Retail and Wholesale Products Group for fiscal year 2017 were $161,888,000, a decrease of $3,981,000, or 2%, from net sales of $165,869,000 in fiscal year 2016. The sales decline was driven by our cat litter products. Sales of our industrial absorbent and sports products increased slightly from the prior year. The Group's results also included our subsidiaries in Canada and the United Kingdom. Higher sales were reported for our subsidiary in Canada, while sales for our subsidiary in the United Kingdom declined marginally from the prior year. Our foreign subsidiaries' results are discussed further in “Foreign Operations” below.</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Overall cat litter net sales were down approximately 4% compared to the prior year. Net sales of our branded and private label coarse non-clumping litter were down approximately 7%. This decline was attributed primarily to our decision not to pursue continued business with two major low margin customers and the continued weakening of this segment of the cat litter market. Net sales were also down for our heavyweight scoopable litters, which faced increased competition from new products introduced by our competitors. In addition, we have shifted our focus from heavyweight to more profitable lightweight business. Sales of our branded lightweight scoopable were negatively impacted as customers switched from our original Fresh &amp; Light litter to our newer Fresh &amp; Light Ultimate Care products. These sales declines were partially offset by significantly higher sales of our private label lightweight litter, about half of which was attributed to new distribution. The private label lightweight segment of the cat litter market continued to grow during the year.</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expenses for the Retail and Wholesale Products Group were approximately 17% lower compared to fiscal year 2016. Advertising expenses for fiscal year 2017 decreased approximately $4,300,000 due to lower expenditures for the integrated marketing campaign to promote our Fresh &amp; Light Ultimate Care lightweight cat litter, which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began in the second quarter of fiscal year 2016. We plan to continue promoting our lightweight litter and we expect the advertising expense in fiscal year 2018 to be at similar levels as fiscal year 2017.</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Retail and Wholesale Products Group’s segment operating income for fiscal year 2017 was $6,775,000, an increase of $1,766,000, or 35%, from operating income of $5,009,000 in fiscal year 2016. The reduction in advertising costs, as discussed above, and the benefit of higher selling prices were partially offset by higher natural gas and other manufacturing costs. See further discussion of manufacturing, packaging and freight costs in “Consolidated Results”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SUBSIDIARIES</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fiscal year 2017 were $12,535,000, an increase of $1,276,000, or 11%, from net sales of $11,259,000 during fiscal year 2016. Net sales by our foreign subsidiaries represented 5% of our consolidated net sales during fiscal year 2017. Sales were higher for our subsidiaries in China and Canada, while sales for our subsidiary in the United Kingdom declined marginally. Our subsidiary in China sold approximately 13% more tons in fiscal year 2017, including sales to new customers. Sales for our Canadian subsidiary increased due to new distribution for branded and private label lightweight cat litter, as well as for industrial absorbent products.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fiscal year 2017, our foreign subsidiaries reported a net loss of $41,000, compared to a net loss of $961,000 in fiscal year 2016. The net loss decreased due primarily to the higher sales described above. Fiscal year 2017 results also include a positive exchange rate impact upon conversion of our United Kingdom subsidiary's financial statements from the British Pound to the U.S. Dollar.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Identifiable assets of our foreign subsidiaries as of July 31, 2017 were $8,028,000 compared to $7,297,000 as of July 31, 2016. The increase was due primarily to higher cash and inventories, which were partially offset by lower fixed assets and deferred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2016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net sales in fiscal year 2016 were $262,313,000, an increase of $911,000 from net sales of $261,402,000 in fiscal year 2015. Net sales in our Business to Business Products Groups increased for our products used in agriculture, fluid purification and animal health applications. Net sales in our Retail and Wholesale Products Group declined for our cat litter and industrial absorbent products, as well as for our subsidiary in Canada. See below for further discussion of sales fluctuations by operating segment.</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Consolidated gross profit in fiscal year 2016 was $77,149,000, an increase of $16,992,000 from gross profit of $60,157,000 in the prior year. Our gross margin in fiscal year 2016 increased to 29% from 23% in fiscal year 2015. Gross profit increased due primarily to a shift in sales to more value-added products and lower costs. The cost of natural gas used to operate kilns that dry our clay during processing decreased approximately 21% per ton produced. Freight costs declined due to lower diesel prices, as well as additional capacity and regulation changes in the truck freight industry. A significant amount of our packaging purchases are subject to contractual price adjustments throughout the year based on underlying commodity prices. Lower packaging costs reflected favorable price adjustment as commodity prices have declined, particularly for resin and paper-based packaging. In contrast, other non-fuel manufacturing costs per ton were up approximately 2% driven by reduced fixed cost absorption due to fewer tons produced, as well as increased repair and depreciation costs. Depreciation costs increased as we continue to invest in machinery and equipment at our plants.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Total selling, general and administrative expenses were 37% higher in fiscal year 2016 compared to fiscal year 2015. The discussions of each segment's operating income below describe the changes in selling, general and administrative expenses that were allocated to that segment, particularly higher advertising expense. The remaining unallocated corporate expenses in fiscal year 2016 included a higher estimated annual discretionary incentive plan bonus accrual as compared to fiscal year 2015. The incentive bonus accrual was based on actual financial results achieved for the fiscal year and discretion by our Chief Executive Officer, in accordance with the incentive plan's provisions. Expenses for postretirement benefit plans also increased, as described further in Notes 8 and 9 to the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jc w:val="both"/>
        <w:ind w:firstLine="648"/>
        <w:spacing w:after="0" w:line="255" w:lineRule="auto"/>
        <w:rPr>
          <w:sz w:val="20"/>
          <w:szCs w:val="20"/>
          <w:color w:val="auto"/>
        </w:rPr>
      </w:pPr>
      <w:r>
        <w:rPr>
          <w:rFonts w:ascii="Arial" w:cs="Arial" w:eastAsia="Arial" w:hAnsi="Arial"/>
          <w:sz w:val="18"/>
          <w:szCs w:val="18"/>
          <w:color w:val="auto"/>
        </w:rPr>
        <w:t>Our effective tax rate on earnings was 5.2% of pre-tax income in fiscal year 2016 compared to 19.8% in fiscal year 2015. The Company determined during the fourth quarter of fiscal year 2016, that we expect to fully utilize our deferred tax asset for domestic AMT credits in future years. Therefore, we concluded it was appropriate to release the related valuation allowance that had been established in prior years for the full amount of this tax benefit, which resulted in a lower effective federal income tax rate. This decision was based on our current year's improved gross margin and the belief that we will continue to achieve margin and profitability levels in the future that will allow us to use the AMT credits. See Note 5 of the Notes to the Consolidated Financial Statements for additional information about our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sales of the Business to Business Products Group for fiscal year 2016 were $96,444,000, an increase of $4,118,000, or 4%, from net sales of $92,326,000 in fiscal year 2015. Net sales increased for our products used in agriculture, fluid purification and animal health. Total sales of our traditional and engineered granule crop protection chemical carriers increased approximately 20% due to more tons sold to existing customers and a favorable product sales mix (defined as a greater proportion of sales from higher priced products). Sales of our fluid purification products were up approximately 4% as the result of more tons sold and a favorable product sales mix. Increased sales to edible oil processors were driven by global growth of the vegetable oil market. Sales were also higher to foreign petroleum oil and domestic biodiesel fuel refiners. Sales of our animal health and nutrition products were up approximately 2%. Sales of animal health products were higher in Asian markets, including sales by our subsidiary in China during its second full year of operations. Our new Varium product introduced in fiscal year 2016 also contributed to the increased sales. Sales of our co-packaged cat litter declined under the pricing terms of our one material long-term supply agreement.</w:t>
      </w:r>
    </w:p>
    <w:p>
      <w:pPr>
        <w:spacing w:after="0" w:line="18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Business to Business Products Group’s selling, general and administrative expenses in fiscal year 2016 increased approximately 15% compared to fiscal year 2015. Additional costs were incurred primarily for advertising, travel and services to promote our animal health products.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Business to Business Products Group’s operating income was $33,464,000 in fiscal year 2016, an increase of $4,058,000, or 14%, from operating income of $29,406,000 in fiscal year 2015. Operating income was positively impacted by a shift in sales to more value-added products, as well as by lower costs per manufactured ton for natural gas, packaging and freight. The Group's operating income was negatively impacted to a lesser extent by the higher selling, general and administrative expenses discussed above and by increased non-fuel manufacturing costs. See further discussion of manufacturing, packaging and freight costs in “Consolidated Results”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sales of the Retail and Wholesale Products Group for fiscal year 2016 were $165,869,000, a decrease of $3,207,000, or 2%, from net sales of $169,076,000 in fiscal year 2015. Net sales declined for both our cat litter and industrial absorbent products. Net sales were also lower for our foreign subsidiaries in Canada and the United Kingdom, as described under “Foreign Operations” below. Sales of our industrial absorbent products decreased approximately 4% due primarily to lower sales to a large distributor of maintenance products and to mass-merchandisers.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Overall cat litter net sales were down approximately 1% compared to the prior year. Net sales of our branded and private label coarse litter products were down a total of approximately 4% due to the weakening of the coarse litter segment of the market and our decision not to pursue continued business with two major low margin customers. Instead, we focused our resources on the lightweight scoopable segment of the cat litter market, which grew significantly year over year. Strong competition in this lightweight segment resulted in the introduction of new and improved products by us and by our competitors. Sales of our Cat's Pride Fresh &amp; Light lightweight litters increased approximately 13% and sales of our private label lightweight scoopable cat litter more than doubled compared to the prior year; however, lower sales of our traditional Cat's Pride scoopable litters partially offset these gains.</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Selling, general and administrative expenses for the Retail and Wholesale Products Group were approximately 69% higher compared to fiscal year 2015. Advertising expenses for fiscal year 2016 increased approximately $12,500,000 due to the integrated marketing campaign we launched in March 2016 to promote our Cat's Pride Fresh &amp; Light Ultimate Care lightweight scoopable cat litter.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Retail and Wholesale Products Group’s segment operating income for fiscal year 2016 was $5,009,000, a decrease of $197,000, or 4%, from operating income of $5,206,000 in fiscal year 2015. The impact of the higher advertising expense described above was significantly moderated by a shift in sales to more value-added products. In addition, costs per manufactured ton were lower for natural gas used to operate kilns that dry our clay, packaging and freight. The Group's operating income was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negatively impacted to a lesser extent by increased non-fuel manufacturing costs. See further discussion of manufacturing, packaging and freight costs in “Consolidated Results”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FOREIGN SUBSIDIARIES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fiscal year 2016 were $11,259,000, an increase of $234,000, or 2%, from net sales of $11,025,000 during fiscal year 2015. Net sales by our foreign subsidiaries represented 4% of our consolidated net sales during fiscal year 2016. Higher sales for our subsidiaries in China and the United Kingdom were partially offset by lower sales for our subsidiary in Canada. Our subsidiary in China sold approximately 40% more tons in fiscal year 2016 compared to fiscal year 2015. Fiscal year 2016 was the subsidiary's second full year of operations in China. Favorable currency exchange rates for the Euro relative to the British Pound contributed to higher sales for industrial absorbents in export markets of our United Kingdom subsidiary. The sales decline reported in U.S. Dollars for our Canadian subsidiary resulted from the weak currency exchange rate of the Canadian Dollar and lower tons sold.</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year 2016, our foreign subsidiaries reported a net loss of $961,000, compared to a net loss of $1,261,000 in fiscal year 2015. The net loss decreased due primarily to the increased sales by our China subsidiary.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Identifiable assets of our foreign subsidiaries as of July 31, 2016 were $7,297,000 compared to $7,762,000 as of July 31, 2015. The decrease was due primarily to lower cash, deferred income taxes and fixed assets, which were partially offset by higher inventories.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information systems, and real estate; supporting new product development; investing in infrastructure; paying dividends; and, from time to time, business acquisitions. During fiscal year 2017, we primarily used cash generated from operations to fund these requirements. We also have the ability to borrow under our revolving credit agreement with BMO Harris, as described further below, however we have not borrowed under this agreement in recent years. Cash and cash equivalents totaled $9,095,000, $18,629,000 and $20,138,000 as of July 31, 2017, 2016 and 2015, respectively. Short term investments were $23,576,000, $10,184,000 and $2,190,000 as of July 31, 2017, 2016 and 2015,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elements of our Consolidated Statements of Cash Flows for the fiscal year (in thousands):</w:t>
      </w:r>
    </w:p>
    <w:p>
      <w:pPr>
        <w:spacing w:after="0" w:line="38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26,949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25,171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26,976</w:t>
            </w: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(14,246)</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(8,550)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(8,743)</w:t>
            </w: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3,908</w:t>
            </w: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fiscal years 2017 and 2016 were as follows: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Deferred income taxes were $2,408,000 lower at fiscal year-end 2017 compared to fiscal year-end 2016, but were $8,114,000 higher at fiscal year-end 2016 compared to fiscal year-end 2015. A decrease in both the pension and postretirement benefits liability and the trade promotions and advertising expense accrual drove the lower deferred income taxes at fiscal year- end 2017 compared to fiscal year-end 2016. In contrast, an increase in both of these liabilities resulted in higher deferred income taxes at fiscal year-end 2016 compared to fiscal year-end 2015. The changes in these liabilities are discussed further below. Also, see Note 8 of the Notes to the Consolidated Financial Statements for more information regarding our postretirement benefit plans.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jc w:val="both"/>
        <w:ind w:firstLine="648"/>
        <w:spacing w:after="0" w:line="276" w:lineRule="auto"/>
        <w:rPr>
          <w:sz w:val="20"/>
          <w:szCs w:val="20"/>
          <w:color w:val="auto"/>
        </w:rPr>
      </w:pPr>
      <w:r>
        <w:rPr>
          <w:rFonts w:ascii="Arial" w:cs="Arial" w:eastAsia="Arial" w:hAnsi="Arial"/>
          <w:sz w:val="17"/>
          <w:szCs w:val="17"/>
          <w:color w:val="auto"/>
        </w:rPr>
        <w:t>Accounts receivable, less allowance for doubtful accounts and cash discounts, were $2,344,000 higher at fiscal year-end 2017 compared to fiscal year-end 2016, but were $992,000 lower at fiscal year-end 2016 compared to fiscal year-end 2015. Sales in the fourth quarter of fiscal year 2017, particularly in the month of July, were higher than in the fourth quarter of fiscal year 2016. Likewise, sales in the fourth quarter of fiscal year 2016, particularly in the month of July, were lower than in the same period in fiscal year 2015. Fluctuations in accounts receivable balances were also attributed to timing of both sales and collections, as well as the payment terms provided to various customers.</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Inventories were $666,000 lower at fiscal year-end 2017 compared to fiscal year-end 2016 due primarily to lower fuel oil and purchased ingredients inventories, which were partially offset by a higher finished goods inventory. We elected to reduce our fuel oil reserves held in tanks at our plants given our continued use of lower cost natural gas and to allow preventative maintenance to be performed. Finished goods and purchased ingredient inventories vary due to anticipated sales requirements and the mix of products to be produced. Inventories were $1,954,000 higher at fiscal year-end 2016 compared to fiscal year-end 2015 due primarily to anticipated sales requirements, particularly for cat litter and agriculture chemical carrier products.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Prepaid expenses were $1,248,000 higher at fiscal year-end 2017 compared to fiscal year-end 2016 due primarily to higher prepaid advertising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were $167,000 lower at fiscal year-end 2016 compared to fiscal year-end 2015 due primarily to amortization.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noncurrent assets were $694,000 higher at fiscal year-end 2017 compared to fiscal year-end 2016 due primarily to prepaid long-term maintenance on computer hardware and software and an increase in the cash surrender value of life insurance on former key employees. Other noncurrent assets at fiscal year-end 2016 were comparable to fiscal year-end 2015.</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Accounts payable, including income taxes payable, were $2,423,000 higher at fiscal year-end 2017 compared to fiscal year-end 2016. We reviewed our vendor payment processes in fiscal year 2017 and made adjustments for more effective cash management. Accounts payable were $931,000 lower at fiscal year-end 2016 compared to fiscal year-end 2015 due primarily to lower income taxes payable. Changes in trade accounts payable in all periods are subject to normal fluctuations in the timing of payments, the cost of goods and services we purchased, production volume levels and vendor payment terms.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Accrued expenses were $845,000 lower at fiscal year-end 2017 compared to fiscal year-end 2016 due primarily to lower accruals for the discretionary annual bonus and trade promotions and advertising. Accrued expenses were $2,746,000 higher at fiscal year-end 2016 compared to fiscal year-end 2015 due primarily to a higher discretionary annual bonus accrual. Changes in other accrued expenses in all periods related to ongoing operations are also subject to normal fluctuations in the timing of payments.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Pension and other postretirement liabilities, net of the adjustment recorded in stockholders' equity, were $209,000 higher at fiscal year-end 2017 compared to fiscal year-end 2016, and were $4,171,000 higher at fiscal year-end 2016 compared to fiscal year-end 2015. The liability increase due to continued benefits accumulation during fiscal year 2017 was significantly offset by the benefits of both a higher discount rate and an updated mortality table used for the actuarial calculation of these obligations. A lower discount rate drove the liability increase at fiscal year-end 2016 compared to fiscal year-end 2015, which was partially offset by the benefit of an updated mortality table. See Note 8 of the Notes to the Consolidated Financial Statements for more information regarding our postretirement benefit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Cash used in investing activities was $28,044,000 in fiscal year 2017, $18,407,000 in fiscal year 2016 and $14,246,000 in fiscal year 2015. During fiscal years 2017 and 2016, cash used to purchase short-term investments exceeded dispositions by 13,345,000 and $7,984,000, respectively, while in fiscal year 2015 cash provided by dispositions of short-term investments exceeded purchases by $451,000. Purchases and dispositions of investment securities in all periods are subject to variations in the timing of investment maturities and the operating cash needs of the Company.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Capital expenditures of $14,763,000 in fiscal year 2017 included spending for the enterprise resource planning system implementation and related infrastructure improvements, as well as equipment additions and replacement at our manufacturing facilities. Capital expenditures of $10,684,000 and $15,859,000 in fiscal years 2016 and 2015, respectively, included new processing and packaging equipment, as well as equipment additions and replacement at our manufacturing facilities. In addition, during fiscal year 2015, cash proceeds of $903,000 were received from the closing of two life insurance policies on former key employees.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financing activities was $8,550,000 in fiscal year 2017, $8,442,000 in fiscal year 2016 and $8,743,000 in fiscal year 2015. The primary uses of cash in all periods were for long-term debt and dividend payments. In addition, in some years cash was received from issuance of Common Stock and treasury stock related to share-based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cash and investment balances held by our foreign subsidiaries as of July 31, 2017, 2016 and 2015 were $1,509,000, $887,000 and $1,150,000, respectively. See further discussion in the “Foreign Operations” section above.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December 4, 2014, we signed a fourth amendment to our credit agreement with BMO Harris, to extend the term to December 4, 2019. The new agreement provides for a $25,000,000 unsecured revolving credit agreement, including a maximum of $5,000,000 for foreign letters of credit. The remaining terms are substantially unchanged from our previous agreement with BMO Harris, including the provision that we may select a variable rate based on either the BMO Harris prime rate or a LIBOR-based rate, plus a margin which varies depending on our debt to earnings ratio, or a fixed rate as agreed between us and BMO Harris. As of July 31, 2017, the variable rates would have been 4.25% for BMO Harris’ prime-based rate or 2.31%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2017 and 2016, there were no outstanding borrowings under this credit facility and we were in compliance with its covenants.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3 of the Notes to the Consolidated Financial Statements for information about our outstanding debt.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We spent approximately $4,300,000 less for advertising in fiscal year 2017 compared to fiscal year 2016 due to lower expenditures for the integrated marketing campaign to promote our Fresh &amp; Light Ultimate Care lightweight cat litter, which began in the second quarter of fiscal year 2016. We plan to continue promoting our lightweight products and we expect advertising expense to in fiscal year 2018 to be at similar levels as fiscal year 2017. We also anticipate that our capital expenditures in fiscal year 2018 will be higher than in fiscal year 2017, including costs related to our enterprise resource planning software implementation. We do not anticipate that these increased expenditures will dramatically impact our cash position; however, our cash requirements are subject to change as business conditions warrant and opportunities arise. 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of the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OMMERCIAL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capital requirements are subject to change as business conditions warrant and opportunities arise. The following tables summarize our significant contractual obligations and commercial commitments as of July 31, 2017 and the effect such obligations are expected to have on liquidity and cash flows in future periods: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Payments Due by Period</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Less Than 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9"/>
              </w:rPr>
              <w:t>1 – 3 Years</w:t>
            </w:r>
          </w:p>
        </w:tc>
        <w:tc>
          <w:tcPr>
            <w:tcW w:w="16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3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12,333,000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3,083,000</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6,166,000</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3,084,000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982,000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489,000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61,000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16,046,000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3,056,000</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2,327,000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8,564,000</w:t>
            </w: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29,361,000</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5,614,000</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9,711,000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5,472,000</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8,564,000</w:t>
            </w: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fiscal year 2017, we made contributions of approximately $1,657,000 to our defined benefit pension plan. We have not presented this obligation for future years in the table above because the funding requirement can vary from year to year based on changes in the fair value of plan assets, actuarial assumptions and regulations. See Item 7A “Quantitative and Qualitative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Disclosures About Market Risk” below for certain information regarding the potential impact of financial market fluctuations on pension plan assets and future funding contributions.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80" w:type="dxa"/>
            <w:vAlign w:val="bottom"/>
            <w:gridSpan w:val="8"/>
          </w:tcPr>
          <w:p>
            <w:pPr>
              <w:ind w:left="60"/>
              <w:spacing w:after="0"/>
              <w:rPr>
                <w:sz w:val="20"/>
                <w:szCs w:val="20"/>
                <w:color w:val="auto"/>
              </w:rPr>
            </w:pPr>
            <w:r>
              <w:rPr>
                <w:rFonts w:ascii="Arial" w:cs="Arial" w:eastAsia="Arial" w:hAnsi="Arial"/>
                <w:sz w:val="18"/>
                <w:szCs w:val="18"/>
                <w:b w:val="1"/>
                <w:bCs w:val="1"/>
                <w:color w:val="auto"/>
              </w:rPr>
              <w:t>Amount of Commitment Expiration Per Period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Total Amounts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Less Than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After 5</w:t>
            </w: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Committed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240" w:type="dxa"/>
            <w:vAlign w:val="bottom"/>
          </w:tcPr>
          <w:p>
            <w:pPr>
              <w:spacing w:after="0"/>
              <w:rPr>
                <w:sz w:val="20"/>
                <w:szCs w:val="20"/>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Years</w:t>
            </w:r>
          </w:p>
        </w:tc>
      </w:tr>
      <w:tr>
        <w:trPr>
          <w:trHeight w:val="27"/>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Other Commercial Commitments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22,816,000</w:t>
            </w:r>
          </w:p>
        </w:tc>
        <w:tc>
          <w:tcPr>
            <w:tcW w:w="200" w:type="dxa"/>
            <w:vAlign w:val="bottom"/>
          </w:tcPr>
          <w:p>
            <w:pPr>
              <w:spacing w:after="0"/>
              <w:rPr>
                <w:sz w:val="22"/>
                <w:szCs w:val="22"/>
                <w:color w:val="auto"/>
              </w:rPr>
            </w:pPr>
          </w:p>
        </w:tc>
        <w:tc>
          <w:tcPr>
            <w:tcW w:w="1240" w:type="dxa"/>
            <w:vAlign w:val="bottom"/>
          </w:tcPr>
          <w:p>
            <w:pPr>
              <w:ind w:left="40"/>
              <w:spacing w:after="0"/>
              <w:rPr>
                <w:sz w:val="20"/>
                <w:szCs w:val="20"/>
                <w:color w:val="auto"/>
              </w:rPr>
            </w:pPr>
            <w:r>
              <w:rPr>
                <w:rFonts w:ascii="Arial" w:cs="Arial" w:eastAsia="Arial" w:hAnsi="Arial"/>
                <w:sz w:val="18"/>
                <w:szCs w:val="18"/>
                <w:color w:val="auto"/>
              </w:rPr>
              <w:t>$   22,816,000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0"/>
        </w:trPr>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obligations above are open purchase orders primarily for packaging and other ingredients used in our products. The expected timing of payments of these obligations was estimated based on current information. Timing of payments and actual amounts paid may be different, depending on the time of receipt of goods or services, or changes to agreed-upon amounts for some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have any unconsolidated special purpose entities. As of July 31, 2017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are based upon our Consolidated Financial Statements, which have been prepared in accordance with the generally accepted accounting principles of the United States. We review our financial reporting and disclosure practices and accounting policies annually to ensure that our financial reporting and disclosures provide accurate and transparent information relative to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generally accepted accounting principles requires management to make estimates and assumptions that affect the reported amount of assets and liabilities, as well as the reported amounts of revenues and expenses during the reporting period. Significant estimates include income taxes, promotional programs, pension accounting and allowance for doubtful accounts. Actual results could differ from these estimates.</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Our effective tax rate on earnings was based on expected income, statutory tax rates and tax planning opportunities available to us in</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jurisdictions in which we operate. Significant judgment was required in determining our effective tax rate and in evaluating our tax positions.</w:t>
      </w:r>
    </w:p>
    <w:p>
      <w:pPr>
        <w:spacing w:after="0" w:line="1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determine our current and deferred taxes in accordance with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tax effect of the expected reversal of tax differences was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 For example, certain factors, such as depletion and the cost of fuel used in our manufacturing process are difficult to predict and have a significant impact on our ability to use the deferred tax benefit related to our AMT credit carryforwards. We determined during the fourth quarter of fiscal year 2016 that we expected to fully utilize our deferred tax asset for domestic AMT credits in future years. Therefore, we concluded it was appropriate to release the $1,680,000 valuation allowance that had been established in prior years for the full amount of this tax benefit, which resulted in a lower effective federal income tax rate for fiscal year 2016. The same expectation was reached based upon our review as of July 31, 2017 and no valuation allowance for this tax benefit was established.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jc w:val="both"/>
        <w:ind w:firstLine="648"/>
        <w:spacing w:after="0" w:line="259" w:lineRule="auto"/>
        <w:rPr>
          <w:sz w:val="20"/>
          <w:szCs w:val="20"/>
          <w:color w:val="auto"/>
        </w:rPr>
      </w:pPr>
      <w:r>
        <w:rPr>
          <w:rFonts w:ascii="Arial" w:cs="Arial" w:eastAsia="Arial" w:hAnsi="Arial"/>
          <w:sz w:val="18"/>
          <w:szCs w:val="18"/>
          <w:color w:val="auto"/>
        </w:rPr>
        <w:t>We recorded a $793,000 valuation allowance for the amount of the deferred tax benefit related to our foreign net operating loss carryforwards as of July 31, 2017 since we believe it is unlikely we will realize the benefit of these tax attributes in the future. An allowance of $1,170,000 was recorded as of July 31, 2016 for the amount of the deferred tax benefit related to both foreign net operating loss carryforwards and domestic state tax credits based on our assessment at that time of the likelihood of realizing these benefits.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2017 or 2016. See Note 5 of the Notes to the Consolidated Financial Statements for further discussion.</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Trade Promotions. </w:t>
      </w:r>
      <w:r>
        <w:rPr>
          <w:rFonts w:ascii="Arial" w:cs="Arial" w:eastAsia="Arial" w:hAnsi="Arial"/>
          <w:sz w:val="17"/>
          <w:szCs w:val="17"/>
          <w:color w:val="auto"/>
        </w:rPr>
        <w:t>We routinely commit to one-time or ongoing trade promotion programs in our Retail and Wholesale Products Group.</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of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$1,495,000 and $1,401,000 for trade promotions as of July 31, 2017 and 2016, respectively.</w:t>
      </w:r>
    </w:p>
    <w:p>
      <w:pPr>
        <w:spacing w:after="0" w:line="17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Pension and Postretirement Benefit Costs. </w:t>
      </w:r>
      <w:r>
        <w:rPr>
          <w:rFonts w:ascii="Arial" w:cs="Arial" w:eastAsia="Arial" w:hAnsi="Arial"/>
          <w:sz w:val="16"/>
          <w:szCs w:val="16"/>
          <w:color w:val="auto"/>
        </w:rPr>
        <w:t>We calculate our pension and postretirement health benefit obligations and the related effects on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 flows discounted with spot rates on a yield curve of investment-grade corporate bonds. The yield curve used in both fiscal years 2017 and 2016 was the Citigroup Pension Discount Curve.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8 of the Notes to the Consolidated Financial Statements for additional information.</w:t>
      </w:r>
    </w:p>
    <w:p>
      <w:pPr>
        <w:spacing w:after="0" w:line="16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Trade Receivables. </w:t>
      </w:r>
      <w:r>
        <w:rPr>
          <w:rFonts w:ascii="Arial" w:cs="Arial" w:eastAsia="Arial" w:hAnsi="Arial"/>
          <w:sz w:val="16"/>
          <w:szCs w:val="16"/>
          <w:color w:val="auto"/>
        </w:rPr>
        <w:t>We recognize trade receivables when the risk of loss and title pass to the customer. We record an allowance for doubtful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based on our historical experience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also record an estimated allowance for cash discounts offered in our payment terms to some customers. We recorded a total allowance for doubtful accounts and cash discounts of $748,000 and $753,000 as of July 31, 2017 and 2016, respectively.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recognize revenue when risk of loss and title are transferred under the terms of our sales agreements with customers at a</w:t>
      </w:r>
      <w:r>
        <w:rPr>
          <w:rFonts w:ascii="Arial" w:cs="Arial" w:eastAsia="Arial" w:hAnsi="Arial"/>
          <w:sz w:val="18"/>
          <w:szCs w:val="18"/>
          <w:b w:val="1"/>
          <w:bCs w:val="1"/>
          <w:color w:val="auto"/>
        </w:rPr>
        <w:t xml:space="preserve"> </w:t>
      </w:r>
      <w:r>
        <w:rPr>
          <w:rFonts w:ascii="Arial" w:cs="Arial" w:eastAsia="Arial" w:hAnsi="Arial"/>
          <w:sz w:val="18"/>
          <w:szCs w:val="18"/>
          <w:color w:val="auto"/>
        </w:rPr>
        <w:t>fixed and determinable price and collection of payment is probable. Taxes collected from customers and remitted to governmental authorities are excluded from net sales. Sales returns and allowances are not material.</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We value inventories at the lower of cost (first-in, first-out) or market. Inventory costs include the cost of raw materials,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supplies, labor and other overhead costs. We perform a detailed review of our inventory to determine if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a reserve adjustment is necessary, giving consideration to obsolescence, inventory levels, product deterioration and other factors. The review also surveys all of our operating facilities and sales divisions to give consideration to historic and new market trends. The inventory reserve values as of July 31, 2017 and 2016 were $619,000 and $806,000, respectively.</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Reclamation. </w:t>
      </w:r>
      <w:r>
        <w:rPr>
          <w:rFonts w:ascii="Arial" w:cs="Arial" w:eastAsia="Arial" w:hAnsi="Arial"/>
          <w:sz w:val="17"/>
          <w:szCs w:val="17"/>
          <w:color w:val="auto"/>
        </w:rPr>
        <w:t>During the normal course of our mining process we remove overburden and perform on-going reclamation activities. As overburden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Arial" w:cs="Arial" w:eastAsia="Arial" w:hAnsi="Arial"/>
          <w:sz w:val="17"/>
          <w:szCs w:val="17"/>
          <w:i w:val="1"/>
          <w:iCs w:val="1"/>
          <w:color w:val="auto"/>
        </w:rPr>
        <w:t>Asset Retirement and Environmental Obligations</w:t>
      </w:r>
      <w:r>
        <w:rPr>
          <w:rFonts w:ascii="Arial" w:cs="Arial" w:eastAsia="Arial" w:hAnsi="Arial"/>
          <w:sz w:val="17"/>
          <w:szCs w:val="17"/>
          <w:color w:val="auto"/>
        </w:rPr>
        <w:t>. As of July 31, 2017 and 2016, we have recorded an estimated net reclamation asset of $754,000 and $790,000, respectively, and a corresponding estimated reclamation liability of $1,878,000 as of July 31, 2017 and $1,771,000 as of July 31, 2016. These values represent the discounted present value of the estimated future mining reclamation costs at the production plants. The reclamation assets are depreciated over the estimated useful lives of the various mines. The reclamation liabilities are increased based on a yearly accretion charge over the estimated useful lives of the mines.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for reclamation obligations requires that we make estimates unique to each mining operation of the future costs we will incur to complete the reclamation work required to comply with existing laws and regulations. Actual future costs incurred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18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Impairment of goodwill, trademarks and other intangible assets. </w:t>
      </w:r>
      <w:r>
        <w:rPr>
          <w:rFonts w:ascii="Arial" w:cs="Arial" w:eastAsia="Arial" w:hAnsi="Arial"/>
          <w:sz w:val="16"/>
          <w:szCs w:val="16"/>
          <w:color w:val="auto"/>
        </w:rPr>
        <w:t>We review carrying values of goodwill, trademarks and other indefinite-lived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intangible assets periodically for possible impairment in accordance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Our impairment review requires significant judgment with respect to factors such as volume, revenue and expenses. Impairment occurs when the carrying value exceeds the fair value. Our impairment analysis is performed in the fourth quarter of the fiscal year and may be re-performed during the year when indicators such as unexpected adverse economic factors, unanticipated technological changes, competitive activities and acts by governments and courts indicate that an asset may become impaired. Our impairment analysis performed in the fourth quarters of both fiscal years 2017 and 2016 did not indicate any impairment. We continue to monitor events, circumstances or changes in the business that might imply a reduction in value which could lead to an impairment.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fiscal year 2017 we adopted Financial Accounting Standards Board (“FASB”) guidance under ASC 835, </w:t>
      </w:r>
      <w:r>
        <w:rPr>
          <w:rFonts w:ascii="Arial" w:cs="Arial" w:eastAsia="Arial" w:hAnsi="Arial"/>
          <w:sz w:val="18"/>
          <w:szCs w:val="18"/>
          <w:i w:val="1"/>
          <w:iCs w:val="1"/>
          <w:color w:val="auto"/>
        </w:rPr>
        <w:t>Simplifying the Presentation of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Issuance Cost, </w:t>
      </w:r>
      <w:r>
        <w:rPr>
          <w:rFonts w:ascii="Arial" w:cs="Arial" w:eastAsia="Arial" w:hAnsi="Arial"/>
          <w:sz w:val="18"/>
          <w:szCs w:val="18"/>
          <w:color w:val="auto"/>
        </w:rPr>
        <w:t>which requires debt issuance costs related to notes payable to be presented as a direct deduction from the associated debt liability rather than as</w:t>
      </w:r>
      <w:r>
        <w:rPr>
          <w:rFonts w:ascii="Arial" w:cs="Arial" w:eastAsia="Arial" w:hAnsi="Arial"/>
          <w:sz w:val="18"/>
          <w:szCs w:val="18"/>
          <w:i w:val="1"/>
          <w:iCs w:val="1"/>
          <w:color w:val="auto"/>
        </w:rPr>
        <w:t xml:space="preserve"> </w:t>
      </w:r>
      <w:r>
        <w:rPr>
          <w:rFonts w:ascii="Arial" w:cs="Arial" w:eastAsia="Arial" w:hAnsi="Arial"/>
          <w:sz w:val="18"/>
          <w:szCs w:val="18"/>
          <w:color w:val="auto"/>
        </w:rPr>
        <w:t>an asset. Amortization of these costs continue to be reported as interest expense. We adopted this guidance retrospectively, which resulted in a decrease in Other Assets of $118,000 with a corresponding decrease in Noncurrent Liabilities in our Consolidated Balance Sheets as of July 31, 2016. The new requirements had no impact on our results of operations or cash flows.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fiscal year 2017 we adopted FASB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This guidance defines management's responsibility to evaluate whether there is substantial doubt about an organization's ability to continue as a going concern and to provide related footnote disclosures. Management performed this evaluation and determined there was no doubt about the Company's ability to continue as a going concern, therefore no disclosures were required.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plan to adopt FASB issued guidance under ASC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in our first quarter of fiscal year 2018</w:t>
      </w:r>
      <w:r>
        <w:rPr>
          <w:rFonts w:ascii="Arial" w:cs="Arial" w:eastAsia="Arial" w:hAnsi="Arial"/>
          <w:sz w:val="18"/>
          <w:szCs w:val="18"/>
          <w:i w:val="1"/>
          <w:iCs w:val="1"/>
          <w:color w:val="auto"/>
        </w:rPr>
        <w:t>.</w:t>
      </w:r>
      <w:r>
        <w:rPr>
          <w:rFonts w:ascii="Arial" w:cs="Arial" w:eastAsia="Arial" w:hAnsi="Arial"/>
          <w:sz w:val="18"/>
          <w:szCs w:val="18"/>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We are currently evaluating the impact of the adoption of this requirement; however, we do not believe the results of our current inventory valuation policy will be substantially changed and the implementation of this guidance will not have a material impact on our Consolidated Financial Statements.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plan to adopt FASB guidance under ASC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requires deferred tax liabilities and assets to be classified as noncurrent in a classified statement of financial position. We expect to reclassify approximately $2,787,000 from Total Current Assets to Total Other Assets on the unaudited balance sheet as of October 31, 2017 included in our fiscal year 2018 first quarterly report on Form 10-Q. Prior periods presented will also be restated accordingly.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5" w:name="page36"/>
    <w:bookmarkEnd w:id="35"/>
    <w:p>
      <w:pPr>
        <w:jc w:val="both"/>
        <w:ind w:firstLine="648"/>
        <w:spacing w:after="0" w:line="253" w:lineRule="auto"/>
        <w:rPr>
          <w:sz w:val="20"/>
          <w:szCs w:val="20"/>
          <w:color w:val="auto"/>
        </w:rPr>
      </w:pPr>
      <w:r>
        <w:rPr>
          <w:rFonts w:ascii="Arial" w:cs="Arial" w:eastAsia="Arial" w:hAnsi="Arial"/>
          <w:sz w:val="18"/>
          <w:szCs w:val="18"/>
          <w:color w:val="auto"/>
        </w:rPr>
        <w:t xml:space="preserve">We plan to adopt FASB guidance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in our first quarter of fiscal year 2018. The new guidance allows for a policy election to account for forfeitures as they occur rather than on an estimated basis. We do not plan to make this election. We will continue to estimate forfeitures expected to occur to determine the amount of compensation cost to be recognized in each period. The new guidance also simplifies several aspects of the accounting for share-based payment transactions, including requiring excess tax benefits and tax deficiencies to be recognized as income tax benefits or expenses in the consolidated statement of earnings. Additionally, the standard requires cash flows from excess tax benefits and deficiencies, previously classified as a financing activity, to be classified as an operating activity in the consolidated statement of cash flows. Oil-Dri will adopt the accounting and cash flow presentation provisions of the guidance on a prospective basis. The adoption is expected to impact Oil-Dri's income tax provision on its Consolidated Statements of Operations and its operating and financing cash flows on its Consolidated Statements of Cash Flows. The amount of the impact of adopting this standard on the Consolidated Financial Statements will be dependent on the timing and value of future share-based compensation awards.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all recently issued accounting standards is contained in Note 1 of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exposed to foreign currency fluctuation risk, primarily the U.S. Dollar relative to the British Pound, Euro, Canadian Dollar and Chinese Yuan. This risk is related to our foreign subsidiaries' financial results, to certain accounts receivable and to our ability to sell in foreign markets. We are subject to the impact of currency fluctuation upon translation of our foreign subsidiaries’ financial statements from local currencies to U.S. Dollars. In recent years, our foreign subsidiaries have not generated a substantial portion of our consolidated net sales or net income. In addition, the portion of our consolidated accounts receivable denominated in foreign currencies has not been significant. Finally, foreign sales of our products may be influenced by the relative strength of the U.S. dollar compared to various other currencies, which makes our products relatively more or less expensive than our foreign competitors' products in local marketplaces. Foreign currency fluctuations had some bearing on our operating results in fiscal year 2017; however, historically the overall foreign currency fluctuation risk has not been material to our Consolidated Financial Statements. During fiscal year 2017, we did not enter into any hedge contracts in an attempt to offset any adverse effect of changes in currency exchange rates.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market risk at it relates to the investments of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As of July 31, 2017, we have purchased no natural gas contracts for our planned kiln fuel needs for fiscal year 2018.</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also see Item 1A “Risk Factors” above for a discussion of these and other risks and uncertainties we face in our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7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8 –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0"/>
              </w:rPr>
              <w:t>July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6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9,095</w:t>
            </w:r>
          </w:p>
        </w:tc>
        <w:tc>
          <w:tcPr>
            <w:tcW w:w="92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23,576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rPr>
              <w:t>Accounts receivable, less allowance of $748 and $753</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32,750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520"/>
              <w:spacing w:after="0"/>
              <w:rPr>
                <w:sz w:val="20"/>
                <w:szCs w:val="20"/>
                <w:color w:val="auto"/>
              </w:rPr>
            </w:pPr>
            <w:r>
              <w:rPr>
                <w:rFonts w:ascii="Arial" w:cs="Arial" w:eastAsia="Arial" w:hAnsi="Arial"/>
                <w:sz w:val="18"/>
                <w:szCs w:val="18"/>
                <w:color w:val="auto"/>
              </w:rPr>
              <w:t>in 2017 and 2016, respectively</w:t>
            </w: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30,386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22,615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23,251</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2,787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repairs expense</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2,304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3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97,017</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91,173</w:t>
            </w:r>
          </w:p>
        </w:tc>
        <w:tc>
          <w:tcPr>
            <w:tcW w:w="0" w:type="dxa"/>
            <w:vAlign w:val="bottom"/>
          </w:tcPr>
          <w:p>
            <w:pPr>
              <w:spacing w:after="0"/>
              <w:rPr>
                <w:sz w:val="1"/>
                <w:szCs w:val="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4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 and leasehold improvements</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37,284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36,776</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136,900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137,479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furniture and equipment</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10,356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Vehicles</w:t>
            </w: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13,615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13,108</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Gross depreciable assets</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198,155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198,349</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(140,411)</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(137,314)</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depreciable assets</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57,744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61,035</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9,649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mineral rights</w:t>
            </w:r>
          </w:p>
        </w:tc>
        <w:tc>
          <w:tcPr>
            <w:tcW w:w="3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16,640</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16,845</w:t>
            </w:r>
          </w:p>
        </w:tc>
        <w:tc>
          <w:tcPr>
            <w:tcW w:w="0" w:type="dxa"/>
            <w:vAlign w:val="bottom"/>
          </w:tcPr>
          <w:p>
            <w:pPr>
              <w:spacing w:after="0"/>
              <w:rPr>
                <w:sz w:val="1"/>
                <w:szCs w:val="1"/>
                <w:color w:val="auto"/>
              </w:rPr>
            </w:pPr>
          </w:p>
        </w:tc>
      </w:tr>
      <w:tr>
        <w:trPr>
          <w:trHeight w:val="237"/>
        </w:trPr>
        <w:tc>
          <w:tcPr>
            <w:tcW w:w="5060" w:type="dxa"/>
            <w:vAlign w:val="bottom"/>
          </w:tcPr>
          <w:p>
            <w:pPr>
              <w:ind w:left="1140"/>
              <w:spacing w:after="0"/>
              <w:rPr>
                <w:sz w:val="20"/>
                <w:szCs w:val="20"/>
                <w:color w:val="auto"/>
              </w:rPr>
            </w:pPr>
            <w:r>
              <w:rPr>
                <w:rFonts w:ascii="Arial" w:cs="Arial" w:eastAsia="Arial" w:hAnsi="Arial"/>
                <w:sz w:val="18"/>
                <w:szCs w:val="18"/>
                <w:color w:val="auto"/>
              </w:rPr>
              <w:t>Total Property, Plant and Equipment, Net</w:t>
            </w:r>
          </w:p>
        </w:tc>
        <w:tc>
          <w:tcPr>
            <w:tcW w:w="34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84,033</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80,711</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Goodwill</w:t>
            </w: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9,034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Trademarks and patents, net of accumulated amortization</w:t>
            </w:r>
          </w:p>
        </w:tc>
        <w:tc>
          <w:tcPr>
            <w:tcW w:w="3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1,223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of $238 and $261 in 2017 and 2016, respectively</w:t>
            </w:r>
          </w:p>
        </w:tc>
        <w:tc>
          <w:tcPr>
            <w:tcW w:w="34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5060" w:type="dxa"/>
            <w:vAlign w:val="bottom"/>
          </w:tcPr>
          <w:p>
            <w:pPr>
              <w:ind w:left="380"/>
              <w:spacing w:after="0"/>
              <w:rPr>
                <w:sz w:val="20"/>
                <w:szCs w:val="20"/>
                <w:color w:val="auto"/>
              </w:rPr>
            </w:pPr>
            <w:r>
              <w:rPr>
                <w:rFonts w:ascii="Arial" w:cs="Arial" w:eastAsia="Arial" w:hAnsi="Arial"/>
                <w:sz w:val="18"/>
                <w:szCs w:val="18"/>
                <w:color w:val="auto"/>
              </w:rPr>
              <w:t>Customer list, net of accumulated amortization</w:t>
            </w:r>
          </w:p>
        </w:tc>
        <w:tc>
          <w:tcPr>
            <w:tcW w:w="3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3,184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80"/>
              <w:spacing w:after="0"/>
              <w:rPr>
                <w:sz w:val="20"/>
                <w:szCs w:val="20"/>
                <w:color w:val="auto"/>
              </w:rPr>
            </w:pPr>
            <w:r>
              <w:rPr>
                <w:rFonts w:ascii="Arial" w:cs="Arial" w:eastAsia="Arial" w:hAnsi="Arial"/>
                <w:sz w:val="18"/>
                <w:szCs w:val="18"/>
                <w:color w:val="auto"/>
              </w:rPr>
              <w:t>of $4,601 and $3,460 in 2017 and 2016, respectively</w:t>
            </w: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11,609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12,754</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Other</w:t>
            </w:r>
          </w:p>
        </w:tc>
        <w:tc>
          <w:tcPr>
            <w:tcW w:w="3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6,475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Other Assets (1)</w:t>
            </w:r>
          </w:p>
        </w:tc>
        <w:tc>
          <w:tcPr>
            <w:tcW w:w="3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31,525</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32,931</w:t>
            </w:r>
          </w:p>
        </w:tc>
        <w:tc>
          <w:tcPr>
            <w:tcW w:w="0" w:type="dxa"/>
            <w:vAlign w:val="bottom"/>
          </w:tcPr>
          <w:p>
            <w:pPr>
              <w:spacing w:after="0"/>
              <w:rPr>
                <w:sz w:val="1"/>
                <w:szCs w:val="1"/>
                <w:color w:val="auto"/>
              </w:rPr>
            </w:pPr>
          </w:p>
        </w:tc>
      </w:tr>
      <w:tr>
        <w:trPr>
          <w:trHeight w:val="257"/>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4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212,575</w:t>
            </w:r>
          </w:p>
        </w:tc>
        <w:tc>
          <w:tcPr>
            <w:tcW w:w="80" w:type="dxa"/>
            <w:vAlign w:val="bottom"/>
            <w:tcBorders>
              <w:top w:val="single" w:sz="8" w:color="auto"/>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204,815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400" w:type="dxa"/>
            <w:vAlign w:val="bottom"/>
            <w:vMerge w:val="restart"/>
          </w:tcPr>
          <w:p>
            <w:pPr>
              <w:jc w:val="right"/>
              <w:ind w:right="2570"/>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06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July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Current maturities of notes payable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4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9,594</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1,553</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640"/>
              <w:spacing w:after="0"/>
              <w:rPr>
                <w:sz w:val="20"/>
                <w:szCs w:val="20"/>
                <w:color w:val="auto"/>
              </w:rPr>
            </w:pPr>
            <w:r>
              <w:rPr>
                <w:rFonts w:ascii="Arial" w:cs="Arial" w:eastAsia="Arial" w:hAnsi="Arial"/>
                <w:sz w:val="18"/>
                <w:szCs w:val="18"/>
                <w:color w:val="auto"/>
              </w:rPr>
              <w:t>Salaries, wages and commissions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7,917</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Trade promotions and 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2,253</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43"/>
        </w:trPr>
        <w:tc>
          <w:tcPr>
            <w:tcW w:w="8460" w:type="dxa"/>
            <w:vAlign w:val="bottom"/>
          </w:tcPr>
          <w:p>
            <w:pPr>
              <w:ind w:left="640"/>
              <w:spacing w:after="0"/>
              <w:rPr>
                <w:sz w:val="20"/>
                <w:szCs w:val="20"/>
                <w:color w:val="auto"/>
              </w:rPr>
            </w:pPr>
            <w:r>
              <w:rPr>
                <w:rFonts w:ascii="Arial" w:cs="Arial" w:eastAsia="Arial" w:hAnsi="Arial"/>
                <w:sz w:val="18"/>
                <w:szCs w:val="18"/>
                <w:color w:val="auto"/>
              </w:rPr>
              <w:t>Freight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1,606</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6,948</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32,954</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30,740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w w:val="94"/>
              </w:rPr>
              <w:t>Notes payable, net of unamortized debt issuance costs of $89 and $118 in 2017 and 2016, respectively (1)</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9,161</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11,537</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10,504</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29,161</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32,492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3,725</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53,584</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58,524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86,538</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89,264</w:t>
            </w:r>
          </w:p>
        </w:tc>
        <w:tc>
          <w:tcPr>
            <w:tcW w:w="0" w:type="dxa"/>
            <w:vAlign w:val="bottom"/>
          </w:tcPr>
          <w:p>
            <w:pPr>
              <w:spacing w:after="0"/>
              <w:rPr>
                <w:sz w:val="1"/>
                <w:szCs w:val="1"/>
                <w:color w:val="auto"/>
              </w:rPr>
            </w:pPr>
          </w:p>
        </w:tc>
      </w:tr>
      <w:tr>
        <w:trPr>
          <w:trHeight w:val="291"/>
        </w:trPr>
        <w:tc>
          <w:tcPr>
            <w:tcW w:w="8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380"/>
              <w:spacing w:after="0"/>
              <w:rPr>
                <w:sz w:val="20"/>
                <w:szCs w:val="20"/>
                <w:color w:val="auto"/>
              </w:rPr>
            </w:pPr>
            <w:r>
              <w:rPr>
                <w:rFonts w:ascii="Arial" w:cs="Arial" w:eastAsia="Arial" w:hAnsi="Arial"/>
                <w:sz w:val="18"/>
                <w:szCs w:val="18"/>
                <w:color w:val="auto"/>
              </w:rPr>
              <w:t>Common Stock, par value $.10 per share, issued 8,015,166 shares in 2017</w:t>
            </w:r>
          </w:p>
        </w:tc>
        <w:tc>
          <w:tcPr>
            <w:tcW w:w="280" w:type="dxa"/>
            <w:vAlign w:val="bottom"/>
          </w:tcPr>
          <w:p>
            <w:pPr>
              <w:spacing w:after="0"/>
              <w:rPr>
                <w:sz w:val="19"/>
                <w:szCs w:val="19"/>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802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80"/>
              <w:spacing w:after="0"/>
              <w:rPr>
                <w:sz w:val="20"/>
                <w:szCs w:val="20"/>
                <w:color w:val="auto"/>
              </w:rPr>
            </w:pPr>
            <w:r>
              <w:rPr>
                <w:rFonts w:ascii="Arial" w:cs="Arial" w:eastAsia="Arial" w:hAnsi="Arial"/>
                <w:sz w:val="18"/>
                <w:szCs w:val="18"/>
                <w:color w:val="auto"/>
              </w:rPr>
              <w:t>and 7,982,243 shares in 2016</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Class B Stock, convertible, par value $.10 per share, issued 2,513,512 shares in 2017 and 2,515,735 shares in</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36,242</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34,294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154,735</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149,945</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(10,327)</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0" w:type="dxa"/>
            <w:vAlign w:val="bottom"/>
          </w:tcPr>
          <w:p>
            <w:pPr>
              <w:spacing w:after="0"/>
              <w:rPr>
                <w:sz w:val="1"/>
                <w:szCs w:val="1"/>
                <w:color w:val="auto"/>
              </w:rPr>
            </w:pP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Total Accumulated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(10,292)</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(14,022)</w:t>
            </w:r>
          </w:p>
        </w:tc>
        <w:tc>
          <w:tcPr>
            <w:tcW w:w="0" w:type="dxa"/>
            <w:vAlign w:val="bottom"/>
          </w:tcPr>
          <w:p>
            <w:pPr>
              <w:spacing w:after="0"/>
              <w:rPr>
                <w:sz w:val="1"/>
                <w:szCs w:val="1"/>
                <w:color w:val="auto"/>
              </w:rPr>
            </w:pPr>
          </w:p>
        </w:tc>
      </w:tr>
      <w:tr>
        <w:trPr>
          <w:trHeight w:val="209"/>
        </w:trPr>
        <w:tc>
          <w:tcPr>
            <w:tcW w:w="8460" w:type="dxa"/>
            <w:vAlign w:val="bottom"/>
          </w:tcPr>
          <w:p>
            <w:pPr>
              <w:ind w:left="380"/>
              <w:spacing w:after="0"/>
              <w:rPr>
                <w:sz w:val="20"/>
                <w:szCs w:val="20"/>
                <w:color w:val="auto"/>
              </w:rPr>
            </w:pPr>
            <w:r>
              <w:rPr>
                <w:rFonts w:ascii="Arial" w:cs="Arial" w:eastAsia="Arial" w:hAnsi="Arial"/>
                <w:sz w:val="18"/>
                <w:szCs w:val="18"/>
                <w:color w:val="auto"/>
                <w:w w:val="91"/>
              </w:rPr>
              <w:t>Less treasury stock, at cost (2,907,370 Common and 324,741 Class B shares in 2017 and 2,912,953 Common</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(55,701)</w:t>
            </w:r>
          </w:p>
        </w:tc>
        <w:tc>
          <w:tcPr>
            <w:tcW w:w="4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80"/>
              <w:spacing w:after="0"/>
              <w:rPr>
                <w:sz w:val="20"/>
                <w:szCs w:val="20"/>
                <w:color w:val="auto"/>
              </w:rPr>
            </w:pPr>
            <w:r>
              <w:rPr>
                <w:rFonts w:ascii="Arial" w:cs="Arial" w:eastAsia="Arial" w:hAnsi="Arial"/>
                <w:sz w:val="18"/>
                <w:szCs w:val="18"/>
                <w:color w:val="auto"/>
              </w:rPr>
              <w:t>and 324,741 Class B shares in 2016)</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(55,716)</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126,037</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115,551</w:t>
            </w:r>
          </w:p>
        </w:tc>
        <w:tc>
          <w:tcPr>
            <w:tcW w:w="0" w:type="dxa"/>
            <w:vAlign w:val="bottom"/>
          </w:tcPr>
          <w:p>
            <w:pPr>
              <w:spacing w:after="0"/>
              <w:rPr>
                <w:sz w:val="1"/>
                <w:szCs w:val="1"/>
                <w:color w:val="auto"/>
              </w:rPr>
            </w:pPr>
          </w:p>
        </w:tc>
      </w:tr>
      <w:tr>
        <w:trPr>
          <w:trHeight w:val="291"/>
        </w:trPr>
        <w:tc>
          <w:tcPr>
            <w:tcW w:w="8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212,575</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204,815</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308" w:lineRule="auto"/>
        <w:tabs>
          <w:tab w:leader="none" w:pos="261"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Prior year amounts have been retrospectively adjusted to conform to the current year presentation of debt issuance costs required by new guidance under ASC 835, </w:t>
      </w:r>
      <w:r>
        <w:rPr>
          <w:rFonts w:ascii="Arial" w:cs="Arial" w:eastAsia="Arial" w:hAnsi="Arial"/>
          <w:sz w:val="17"/>
          <w:szCs w:val="17"/>
          <w:i w:val="1"/>
          <w:iCs w:val="1"/>
          <w:color w:val="auto"/>
        </w:rPr>
        <w:t>Simplifying the Presentation of Debt Issuance Cost.</w:t>
      </w:r>
      <w:r>
        <w:rPr>
          <w:rFonts w:ascii="Arial" w:cs="Arial" w:eastAsia="Arial" w:hAnsi="Arial"/>
          <w:sz w:val="17"/>
          <w:szCs w:val="17"/>
          <w:color w:val="auto"/>
        </w:rPr>
        <w:t xml:space="preserve"> See Note 1 of the Notes to the Consolidated Financial Statements for details.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26"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Year Ended July 31,</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7"/>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89"/>
              </w:rPr>
              <w:t>(in thousands, except for per share data)</w:t>
            </w:r>
          </w:p>
        </w:tc>
      </w:tr>
      <w:tr>
        <w:trPr>
          <w:trHeight w:val="216"/>
        </w:trPr>
        <w:tc>
          <w:tcPr>
            <w:tcW w:w="6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262,307</w:t>
            </w:r>
          </w:p>
        </w:tc>
        <w:tc>
          <w:tcPr>
            <w:tcW w:w="5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262,313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261,402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(188,595)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(185,164)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(201,245)</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73,712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77,149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60,157</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(58,482)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(61,736)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(45,004)</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15,230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15,153</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(888)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loss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292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14,545</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14,357</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14,169</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10,792</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13,613</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11,368</w:t>
            </w:r>
          </w:p>
        </w:tc>
      </w:tr>
      <w:tr>
        <w:trPr>
          <w:trHeight w:val="365"/>
        </w:trPr>
        <w:tc>
          <w:tcPr>
            <w:tcW w:w="6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Common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68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Class B Common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51"/>
        </w:trPr>
        <w:tc>
          <w:tcPr>
            <w:tcW w:w="6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 Common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68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Common</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5,017</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4,986</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4,955</w:t>
            </w:r>
          </w:p>
        </w:tc>
      </w:tr>
      <w:tr>
        <w:trPr>
          <w:trHeight w:val="251"/>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Class B Common</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2,083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6860" w:type="dxa"/>
            <w:vAlign w:val="bottom"/>
          </w:tcPr>
          <w:p>
            <w:pPr>
              <w:ind w:left="380"/>
              <w:spacing w:after="0"/>
              <w:rPr>
                <w:sz w:val="20"/>
                <w:szCs w:val="20"/>
                <w:color w:val="auto"/>
              </w:rPr>
            </w:pPr>
            <w:r>
              <w:rPr>
                <w:rFonts w:ascii="Arial" w:cs="Arial" w:eastAsia="Arial" w:hAnsi="Arial"/>
                <w:sz w:val="18"/>
                <w:szCs w:val="18"/>
                <w:color w:val="auto"/>
              </w:rPr>
              <w:t>Diluted Common</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7,158</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7,094</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7,037</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Year Ended July 31,</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10,792</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w:t>
            </w:r>
          </w:p>
        </w:tc>
      </w:tr>
      <w:tr>
        <w:trPr>
          <w:trHeight w:val="324"/>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Unrealized loss on marketable securities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benefits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3,540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Cumulative translation adjustment</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190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14,522</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8,836</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10,386</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jc w:val="center"/>
        <w:ind w:right="-119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1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940" w:type="dxa"/>
            <w:vAlign w:val="bottom"/>
            <w:gridSpan w:val="4"/>
          </w:tcPr>
          <w:p>
            <w:pPr>
              <w:ind w:left="36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9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92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Retained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July 31, 2014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10,312,128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(3,240,392)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30,905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136,039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(55,404)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(8,263)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104,308</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11,368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11,368</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(5,312)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(5,312)</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57"/>
        </w:trPr>
        <w:tc>
          <w:tcPr>
            <w:tcW w:w="2160" w:type="dxa"/>
            <w:vAlign w:val="bottom"/>
          </w:tcPr>
          <w:p>
            <w:pPr>
              <w:ind w:left="40"/>
              <w:spacing w:after="0" w:line="157" w:lineRule="exact"/>
              <w:rPr>
                <w:sz w:val="20"/>
                <w:szCs w:val="20"/>
                <w:color w:val="auto"/>
              </w:rPr>
            </w:pPr>
            <w:r>
              <w:rPr>
                <w:rFonts w:ascii="Arial" w:cs="Arial" w:eastAsia="Arial" w:hAnsi="Arial"/>
                <w:sz w:val="14"/>
                <w:szCs w:val="14"/>
                <w:color w:val="auto"/>
              </w:rPr>
              <w:t>Net issuance of stock under long-</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0"/>
              <w:spacing w:after="0"/>
              <w:rPr>
                <w:sz w:val="20"/>
                <w:szCs w:val="20"/>
                <w:color w:val="auto"/>
              </w:rPr>
            </w:pPr>
            <w:r>
              <w:rPr>
                <w:rFonts w:ascii="Arial" w:cs="Arial" w:eastAsia="Arial" w:hAnsi="Arial"/>
                <w:sz w:val="14"/>
                <w:szCs w:val="14"/>
                <w:color w:val="auto"/>
              </w:rPr>
              <w:t>term incentive plans</w:t>
            </w:r>
          </w:p>
        </w:tc>
        <w:tc>
          <w:tcPr>
            <w:tcW w:w="820" w:type="dxa"/>
            <w:vAlign w:val="bottom"/>
          </w:tcPr>
          <w:p>
            <w:pPr>
              <w:jc w:val="right"/>
              <w:spacing w:after="0"/>
              <w:rPr>
                <w:sz w:val="20"/>
                <w:szCs w:val="20"/>
                <w:color w:val="auto"/>
              </w:rPr>
            </w:pPr>
            <w:r>
              <w:rPr>
                <w:rFonts w:ascii="Arial" w:cs="Arial" w:eastAsia="Arial" w:hAnsi="Arial"/>
                <w:sz w:val="14"/>
                <w:szCs w:val="14"/>
                <w:color w:val="auto"/>
              </w:rPr>
              <w:t>13,950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10,326,078</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(3,257,537)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32,632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142,095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(55,987)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(9,245)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110,528</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13,613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13,613</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(4,777)</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(5,701)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(5,701)</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7"/>
        </w:trPr>
        <w:tc>
          <w:tcPr>
            <w:tcW w:w="2160" w:type="dxa"/>
            <w:vAlign w:val="bottom"/>
          </w:tcPr>
          <w:p>
            <w:pPr>
              <w:ind w:left="40"/>
              <w:spacing w:after="0" w:line="157" w:lineRule="exact"/>
              <w:rPr>
                <w:sz w:val="20"/>
                <w:szCs w:val="20"/>
                <w:color w:val="auto"/>
              </w:rPr>
            </w:pPr>
            <w:r>
              <w:rPr>
                <w:rFonts w:ascii="Arial" w:cs="Arial" w:eastAsia="Arial" w:hAnsi="Arial"/>
                <w:sz w:val="14"/>
                <w:szCs w:val="14"/>
                <w:color w:val="auto"/>
              </w:rPr>
              <w:t>Net issuance of stock under long-</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0"/>
              <w:spacing w:after="0"/>
              <w:rPr>
                <w:sz w:val="20"/>
                <w:szCs w:val="20"/>
                <w:color w:val="auto"/>
              </w:rPr>
            </w:pPr>
            <w:r>
              <w:rPr>
                <w:rFonts w:ascii="Arial" w:cs="Arial" w:eastAsia="Arial" w:hAnsi="Arial"/>
                <w:sz w:val="14"/>
                <w:szCs w:val="14"/>
                <w:color w:val="auto"/>
              </w:rPr>
              <w:t>term incentive plans</w:t>
            </w:r>
          </w:p>
        </w:tc>
        <w:tc>
          <w:tcPr>
            <w:tcW w:w="820" w:type="dxa"/>
            <w:vAlign w:val="bottom"/>
          </w:tcPr>
          <w:p>
            <w:pPr>
              <w:jc w:val="right"/>
              <w:spacing w:after="0"/>
              <w:rPr>
                <w:sz w:val="20"/>
                <w:szCs w:val="20"/>
                <w:color w:val="auto"/>
              </w:rPr>
            </w:pPr>
            <w:r>
              <w:rPr>
                <w:rFonts w:ascii="Arial" w:cs="Arial" w:eastAsia="Arial" w:hAnsi="Arial"/>
                <w:sz w:val="14"/>
                <w:szCs w:val="14"/>
                <w:color w:val="auto"/>
              </w:rPr>
              <w:t>171,900</w:t>
            </w: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20,450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10,497,978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(3,237,694)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34,294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149,945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(55,716)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115,551</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10,792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10,792</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3,730</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(6,002)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(6,002)</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7"/>
        </w:trPr>
        <w:tc>
          <w:tcPr>
            <w:tcW w:w="2160" w:type="dxa"/>
            <w:vAlign w:val="bottom"/>
          </w:tcPr>
          <w:p>
            <w:pPr>
              <w:ind w:left="40"/>
              <w:spacing w:after="0" w:line="157" w:lineRule="exact"/>
              <w:rPr>
                <w:sz w:val="20"/>
                <w:szCs w:val="20"/>
                <w:color w:val="auto"/>
              </w:rPr>
            </w:pPr>
            <w:r>
              <w:rPr>
                <w:rFonts w:ascii="Arial" w:cs="Arial" w:eastAsia="Arial" w:hAnsi="Arial"/>
                <w:sz w:val="14"/>
                <w:szCs w:val="14"/>
                <w:color w:val="auto"/>
              </w:rPr>
              <w:t>Net issuance of stock under long-</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0"/>
              <w:spacing w:after="0"/>
              <w:rPr>
                <w:sz w:val="20"/>
                <w:szCs w:val="20"/>
                <w:color w:val="auto"/>
              </w:rPr>
            </w:pPr>
            <w:r>
              <w:rPr>
                <w:rFonts w:ascii="Arial" w:cs="Arial" w:eastAsia="Arial" w:hAnsi="Arial"/>
                <w:sz w:val="14"/>
                <w:szCs w:val="14"/>
                <w:color w:val="auto"/>
              </w:rPr>
              <w:t>term incentive plans</w:t>
            </w:r>
          </w:p>
        </w:tc>
        <w:tc>
          <w:tcPr>
            <w:tcW w:w="820" w:type="dxa"/>
            <w:vAlign w:val="bottom"/>
          </w:tcPr>
          <w:p>
            <w:pPr>
              <w:jc w:val="right"/>
              <w:spacing w:after="0"/>
              <w:rPr>
                <w:sz w:val="20"/>
                <w:szCs w:val="20"/>
                <w:color w:val="auto"/>
              </w:rPr>
            </w:pPr>
            <w:r>
              <w:rPr>
                <w:rFonts w:ascii="Arial" w:cs="Arial" w:eastAsia="Arial" w:hAnsi="Arial"/>
                <w:sz w:val="14"/>
                <w:szCs w:val="14"/>
                <w:color w:val="auto"/>
              </w:rPr>
              <w:t>30,700</w:t>
            </w: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1,507</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2017</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10,528,678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(3,232,111)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36,242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154,735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(55,701)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(10,292)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126,037</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20"/>
          </w:cols>
          <w:pgMar w:left="240" w:top="364" w:right="14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4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91"/>
              </w:rPr>
              <w:t>Year-Ended July 31,</w:t>
            </w:r>
          </w:p>
        </w:tc>
        <w:tc>
          <w:tcPr>
            <w:tcW w:w="8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10,792</w:t>
            </w: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12,772</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11,994</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Amortization of investment discounts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Non-cash stock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1,507</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(424)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2,408</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Provision for bad debts and cash discounts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Loss on the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Gain on sale of marketable securities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Life insurance benefits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(Increase) decrease in:</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(2,331)</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666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3,114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(1,248)</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(694)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(decrease) in: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2,423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(845)</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Deferred compensation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1,033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986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Pension and postretirement benefits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415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Adjustments</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16,157</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15,608</w:t>
            </w:r>
          </w:p>
        </w:tc>
      </w:tr>
      <w:tr>
        <w:trPr>
          <w:trHeight w:val="237"/>
        </w:trPr>
        <w:tc>
          <w:tcPr>
            <w:tcW w:w="790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26,949</w:t>
            </w: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25,171</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26,976</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(14,763)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(15,859)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Purchases of 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(47,531)</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(45,198)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Dispositions of short-term investments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34,186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37,214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3,341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Proceeds from sale of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Proceeds from life insurance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903</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(28,044)</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Principal payments on 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(3,083)</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(5,926)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 of treasury stock</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Proceeds from issuance of treasury stock</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424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(8,550)</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(9,534)</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18,629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20,138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16,230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9,095</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18,629</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20,138</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4" w:right="239" w:bottom="1440" w:gutter="0" w:footer="0" w:header="0"/>
          <w:type w:val="continuous"/>
        </w:sectPr>
      </w:pPr>
    </w:p>
    <w:bookmarkStart w:id="42" w:name="page43"/>
    <w:bookmarkEnd w:id="42"/>
    <w:tbl>
      <w:tblPr>
        <w:tblLayout w:type="fixed"/>
        <w:tblInd w:w="80" w:type="dxa"/>
        <w:tblCellMar>
          <w:top w:w="0" w:type="dxa"/>
          <w:left w:w="0" w:type="dxa"/>
          <w:bottom w:w="0" w:type="dxa"/>
          <w:right w:w="0" w:type="dxa"/>
        </w:tblCellMar>
      </w:tblPr>
      <w:tr>
        <w:trPr>
          <w:trHeight w:val="234"/>
        </w:trPr>
        <w:tc>
          <w:tcPr>
            <w:tcW w:w="8540" w:type="dxa"/>
            <w:vAlign w:val="bottom"/>
            <w:gridSpan w:val="4"/>
          </w:tcPr>
          <w:p>
            <w:pPr>
              <w:ind w:left="2900"/>
              <w:spacing w:after="0"/>
              <w:rPr>
                <w:sz w:val="20"/>
                <w:szCs w:val="20"/>
                <w:color w:val="auto"/>
              </w:rPr>
            </w:pPr>
            <w:r>
              <w:rPr>
                <w:rFonts w:ascii="Arial" w:cs="Arial" w:eastAsia="Arial" w:hAnsi="Arial"/>
                <w:sz w:val="18"/>
                <w:szCs w:val="18"/>
                <w:b w:val="1"/>
                <w:bCs w:val="1"/>
                <w:color w:val="auto"/>
              </w:rPr>
              <w:t>CONSOLIDATED STATEMENTS OF CASH FLOWS - CONTINUED</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10"/>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Year-Ended July 31,</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7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500"/>
              <w:spacing w:after="0"/>
              <w:rPr>
                <w:sz w:val="20"/>
                <w:szCs w:val="20"/>
                <w:color w:val="auto"/>
              </w:rPr>
            </w:pPr>
            <w:r>
              <w:rPr>
                <w:rFonts w:ascii="Arial" w:cs="Arial" w:eastAsia="Arial" w:hAnsi="Arial"/>
                <w:sz w:val="18"/>
                <w:szCs w:val="18"/>
                <w:color w:val="auto"/>
              </w:rPr>
              <w:t>Interest, net of amounts capitalized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484</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622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826</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3,176</w:t>
            </w:r>
          </w:p>
        </w:tc>
        <w:tc>
          <w:tcPr>
            <w:tcW w:w="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6,693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2,339</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Capital expenditures accrued, but not paid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1,557</w:t>
            </w:r>
          </w:p>
        </w:tc>
        <w:tc>
          <w:tcPr>
            <w:tcW w:w="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761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r>
      <w:tr>
        <w:trPr>
          <w:trHeight w:val="243"/>
        </w:trPr>
        <w:tc>
          <w:tcPr>
            <w:tcW w:w="7460" w:type="dxa"/>
            <w:vAlign w:val="bottom"/>
            <w:gridSpan w:val="2"/>
          </w:tcPr>
          <w:p>
            <w:pPr>
              <w:ind w:left="500"/>
              <w:spacing w:after="0"/>
              <w:rPr>
                <w:sz w:val="20"/>
                <w:szCs w:val="20"/>
                <w:color w:val="auto"/>
              </w:rPr>
            </w:pPr>
            <w:r>
              <w:rPr>
                <w:rFonts w:ascii="Arial" w:cs="Arial" w:eastAsia="Arial" w:hAnsi="Arial"/>
                <w:sz w:val="18"/>
                <w:szCs w:val="18"/>
                <w:color w:val="auto"/>
              </w:rPr>
              <w:t>Cash dividends declared and accrued, but not paid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1,553</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1,477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1,376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580" w:right="31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ATURE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leader in developing, manufacturing and/or marketing sorbent products. Our sorbent products are principally produced from clay minerals. Our absorbent clay products include cat litter, industrial floor absorbents, agricultural chemical carriers and animal feed additives. Our adsorbent products include bleaching clays, which are used for filtration of edible oils and for purification of petroleum-based oils. We also sell synthetic sorbents, which are used for industrial cleanup.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include the accounts of Oil-Dri Corporation of America and its subsidiaries, all of which are wholly-owned.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from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For more information see Critical Accounting Policies and Estimates in Item 7 </w:t>
      </w:r>
      <w:r>
        <w:rPr>
          <w:rFonts w:ascii="Arial" w:cs="Arial" w:eastAsia="Arial" w:hAnsi="Arial"/>
          <w:sz w:val="18"/>
          <w:szCs w:val="18"/>
          <w:i w:val="1"/>
          <w:iCs w:val="1"/>
          <w:color w:val="auto"/>
        </w:rPr>
        <w:t>“</w:t>
      </w:r>
      <w:r>
        <w:rPr>
          <w:rFonts w:ascii="Arial" w:cs="Arial" w:eastAsia="Arial" w:hAnsi="Arial"/>
          <w:sz w:val="18"/>
          <w:szCs w:val="18"/>
          <w:color w:val="auto"/>
        </w:rPr>
        <w:t>Management's Discussion and Analysis of Financial Condition and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are highly liquid investments with maturities of three months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HORT</w:t>
      </w:r>
      <w:r>
        <w:rPr>
          <w:rFonts w:ascii="Arial" w:cs="Arial" w:eastAsia="Arial" w:hAnsi="Arial"/>
          <w:sz w:val="18"/>
          <w:szCs w:val="18"/>
          <w:b w:val="1"/>
          <w:bCs w:val="1"/>
          <w:color w:val="auto"/>
        </w:rPr>
        <w:t>-</w:t>
      </w:r>
      <w:r>
        <w:rPr>
          <w:rFonts w:ascii="Arial" w:cs="Arial" w:eastAsia="Arial" w:hAnsi="Arial"/>
          <w:sz w:val="14"/>
          <w:szCs w:val="14"/>
          <w:b w:val="1"/>
          <w:bCs w:val="1"/>
          <w:color w:val="auto"/>
        </w:rPr>
        <w:t>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composition of short-term investments as of July 31 (in thousands):</w:t>
      </w:r>
    </w:p>
    <w:p>
      <w:pPr>
        <w:spacing w:after="0" w:line="167" w:lineRule="exact"/>
        <w:rPr>
          <w:sz w:val="20"/>
          <w:szCs w:val="20"/>
          <w:color w:val="auto"/>
        </w:rPr>
      </w:pPr>
    </w:p>
    <w:tbl>
      <w:tblPr>
        <w:tblLayout w:type="fixed"/>
        <w:tblInd w:w="30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2016</w:t>
            </w: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13,976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5,998</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9,600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4,186</w:t>
            </w: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23,576</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w:t>
            </w: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Short-term investments have maturities of one year or less. We intend and have the ability to hold these investments to maturity; therefore, these investments are reported at amortized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ECEIVABLES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trade receivables when the risk of loss and title pass to the customer. We record an allowance for doubtful accounts based on our historical experience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NVENTORIES</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value inventories at the lower of cost (first-in, first-out) or market. We recorded inventory obsolescence reserves of approximately $619,000 and $806,000 as of July 31, 2017 and 2016, respectively. The composition of inventories was as follows as of July 31 (in thousands):</w:t>
      </w:r>
    </w:p>
    <w:p>
      <w:pPr>
        <w:spacing w:after="0" w:line="112" w:lineRule="exact"/>
        <w:rPr>
          <w:sz w:val="20"/>
          <w:szCs w:val="20"/>
          <w:color w:val="auto"/>
        </w:rPr>
      </w:pPr>
    </w:p>
    <w:tbl>
      <w:tblPr>
        <w:tblLayout w:type="fixed"/>
        <w:tblInd w:w="30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r>
      <w:tr>
        <w:trPr>
          <w:trHeight w:val="27"/>
        </w:trPr>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14,704</w:t>
            </w:r>
          </w:p>
        </w:tc>
        <w:tc>
          <w:tcPr>
            <w:tcW w:w="1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14,032</w:t>
            </w: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4,672</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2,923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4,547</w:t>
            </w: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22,615</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23,251</w:t>
            </w: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RANSLATION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URRENCIES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NTANGIBLES AND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amortize most of our intangibles on a straight-line basis over periods ranging from ten to 20 years. Our customer list intangible asset is amortized at an accelerated amortization rate in the earlier years to reflect the expected pattern of decline in the related benefits over time. Intangible amortization was $1,228,000 in fiscal year 2017 and $1,410,000 in fiscal year 2016. We have some intangible assets that were determined to have indefinite lives and are not amortized, specifically one acquired trademark recorded at $376,000.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estimated intangible amortization expense for the next five fiscal years is as follows (in thousands):</w:t>
      </w:r>
    </w:p>
    <w:p>
      <w:pPr>
        <w:spacing w:after="0" w:line="158" w:lineRule="exact"/>
        <w:rPr>
          <w:sz w:val="20"/>
          <w:szCs w:val="20"/>
          <w:color w:val="auto"/>
        </w:rPr>
      </w:pPr>
    </w:p>
    <w:tbl>
      <w:tblPr>
        <w:tblLayout w:type="fixed"/>
        <w:tblInd w:w="4420" w:type="dxa"/>
        <w:tblCellMar>
          <w:top w:w="0" w:type="dxa"/>
          <w:left w:w="0" w:type="dxa"/>
          <w:bottom w:w="0" w:type="dxa"/>
          <w:right w:w="0" w:type="dxa"/>
        </w:tblCellMar>
      </w:tblPr>
      <w:tr>
        <w:trPr>
          <w:trHeight w:val="270"/>
        </w:trPr>
        <w:tc>
          <w:tcPr>
            <w:tcW w:w="1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9"/>
              </w:rPr>
              <w:t>2018</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43"/>
        </w:trPr>
        <w:tc>
          <w:tcPr>
            <w:tcW w:w="1060" w:type="dxa"/>
            <w:vAlign w:val="bottom"/>
          </w:tcPr>
          <w:p>
            <w:pPr>
              <w:jc w:val="right"/>
              <w:ind w:right="590"/>
              <w:spacing w:after="0"/>
              <w:rPr>
                <w:sz w:val="20"/>
                <w:szCs w:val="20"/>
                <w:color w:val="auto"/>
              </w:rPr>
            </w:pPr>
            <w:r>
              <w:rPr>
                <w:rFonts w:ascii="Arial" w:cs="Arial" w:eastAsia="Arial" w:hAnsi="Arial"/>
                <w:sz w:val="18"/>
                <w:szCs w:val="18"/>
                <w:color w:val="auto"/>
                <w:w w:val="89"/>
              </w:rPr>
              <w:t>2019</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7"/>
        </w:trPr>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89"/>
              </w:rPr>
              <w:t>2020</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43"/>
        </w:trPr>
        <w:tc>
          <w:tcPr>
            <w:tcW w:w="1060" w:type="dxa"/>
            <w:vAlign w:val="bottom"/>
          </w:tcPr>
          <w:p>
            <w:pPr>
              <w:jc w:val="right"/>
              <w:ind w:right="590"/>
              <w:spacing w:after="0"/>
              <w:rPr>
                <w:sz w:val="20"/>
                <w:szCs w:val="20"/>
                <w:color w:val="auto"/>
              </w:rPr>
            </w:pPr>
            <w:r>
              <w:rPr>
                <w:rFonts w:ascii="Arial" w:cs="Arial" w:eastAsia="Arial" w:hAnsi="Arial"/>
                <w:sz w:val="18"/>
                <w:szCs w:val="18"/>
                <w:color w:val="auto"/>
                <w:w w:val="89"/>
              </w:rPr>
              <w:t>2021</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
        </w:trPr>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1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9"/>
              </w:rPr>
              <w:t>2022</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1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of our intangibles subject to amortization is as follows (in years):</w:t>
      </w:r>
    </w:p>
    <w:p>
      <w:pPr>
        <w:spacing w:after="0" w:line="171"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Weighted Average</w:t>
            </w:r>
          </w:p>
        </w:tc>
      </w:tr>
      <w:tr>
        <w:trPr>
          <w:trHeight w:val="230"/>
        </w:trPr>
        <w:tc>
          <w:tcPr>
            <w:tcW w:w="49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Amortization Period</w:t>
            </w:r>
          </w:p>
        </w:tc>
      </w:tr>
      <w:tr>
        <w:trPr>
          <w:trHeight w:val="27"/>
        </w:trPr>
        <w:tc>
          <w:tcPr>
            <w:tcW w:w="49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patents</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14.5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3.1</w:t>
            </w:r>
          </w:p>
        </w:tc>
      </w:tr>
      <w:tr>
        <w:trPr>
          <w:trHeight w:val="27"/>
        </w:trPr>
        <w:tc>
          <w:tcPr>
            <w:tcW w:w="49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Total intangible assets subject to amortization</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6.8</w:t>
            </w: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periodically review indefinite-lived intangibles and goodwill to assess for impairment. Our review is based on cash flow considerations and other approaches that require significant judgment with respect to volume, revenue, expenses and allocations. Impairment occurs when the carrying value exceeds the fair value. Much of our goodwill cannot be specifically assigned to one of our operating segments because of the shared nature of our production facilities; however, for purposes of our most recent impairment analysis we estimated the goodwill allocation and assigned $5,464,000 to the Retail and Wholesale Products Group and $3,570,000 to the Business to Business Products Group.</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impairment analysis has historically been performed in the first quarter of the fiscal year; however, beginning in fiscal year 2016 we performed, and going forward we will perform, our annual impairment testing in the fourth quarter of our fiscal year. We will continue to consider the need to re-perform impairment testing throughout the year when circumstances such as unexpected adverse economic factors, unanticipated technological changes, competitive activities and acts by governments and courts indicate that an asset may become impaired. We believe the change in impairment testing date is not a material change to</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our method of applying an accounting principle. There was no impairment required based on our analysis for fiscal years 2017, 2016 or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VERBURDEN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EMOVAL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are treated as a variable inventory production cost and are included in cost of sales in the period they are incurred. Stripping costs included in cost of sales were approximately $2,936,000, $3,020,000, and $2,939,000 for fiscal years 2017, 2016 and 2015, respectively. We defer and amortize the pre-production overburden removal costs associated with opening a new mine. No pre-production overburden removal costs were deferred in the last two fiscal years.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rights, including legal fees and drilling expenses, are also capitalized. The amount of land and mineral rights included in land on the Consolidated Balance Sheets were approximately $13,453,000 and $2,165,000, respectively, as of July 31, 2017 and $13,659,000 and $2,165,000, respectively, as of July 31, 2016. Pre-production development costs on new mines and any prepaid royalties that may be offset against future royalties due upon extraction of the mineral are also capitalized. No capitalized pre-production development costs were recorded in fiscal years 2017 and 2016. Prepaid royalties included in current prepaid expenses and in non-current other assets on the Consolidated Balance Sheets were approximately $1,122,000 and $1,103,000 as of July 31, 2017 and 2016,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ECLAMATION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P</w:t>
      </w:r>
      <w:r>
        <w:rPr>
          <w:rFonts w:ascii="Arial" w:cs="Arial" w:eastAsia="Arial" w:hAnsi="Arial"/>
          <w:sz w:val="14"/>
          <w:szCs w:val="14"/>
          <w:b w:val="1"/>
          <w:bCs w:val="1"/>
          <w:color w:val="auto"/>
        </w:rPr>
        <w:t>LANT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Property, plant and equipment are generally depreciated using the straight-line method over their estimated useful lives which are listed below. Depreciation expense was $11,544,000, $10,782,000 and $10,352,000 in fiscal years 2017, 2016 and 2015, respectively. Major improvements and betterments are capitalized, while maintenance and repairs that do not extend the useful life of the applicable assets are expensed as incurred. Interest expense may also be capitalized for assets that require a period of time to get them ready for their intended use. Capitalized interest was $80,000 and $72,000 in fiscal years 2017 and 2016, respectively. There was no significant capitalized interest in fiscal year 2015.</w:t>
      </w:r>
    </w:p>
    <w:p>
      <w:pPr>
        <w:spacing w:after="0" w:line="115"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2740" w:type="dxa"/>
        <w:tblCellMar>
          <w:top w:w="0" w:type="dxa"/>
          <w:left w:w="0" w:type="dxa"/>
          <w:bottom w:w="0" w:type="dxa"/>
          <w:right w:w="0" w:type="dxa"/>
        </w:tblCellMar>
      </w:tblPr>
      <w:tr>
        <w:trPr>
          <w:trHeight w:val="264"/>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4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Packaging</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r>
      <w:tr>
        <w:trPr>
          <w:trHeight w:val="243"/>
        </w:trPr>
        <w:tc>
          <w:tcPr>
            <w:tcW w:w="4600" w:type="dxa"/>
            <w:vAlign w:val="bottom"/>
          </w:tcPr>
          <w:p>
            <w:pPr>
              <w:ind w:left="360"/>
              <w:spacing w:after="0"/>
              <w:rPr>
                <w:sz w:val="20"/>
                <w:szCs w:val="20"/>
                <w:color w:val="auto"/>
              </w:rPr>
            </w:pPr>
            <w:r>
              <w:rPr>
                <w:rFonts w:ascii="Arial" w:cs="Arial" w:eastAsia="Arial" w:hAnsi="Arial"/>
                <w:sz w:val="18"/>
                <w:szCs w:val="18"/>
                <w:color w:val="auto"/>
              </w:rPr>
              <w:t>Processing</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25</w:t>
            </w: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Mining and other</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12</w:t>
            </w: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27"/>
        </w:trPr>
        <w:tc>
          <w:tcPr>
            <w:tcW w:w="4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Property, plant and equipment are carried at cost on the Consolidated Balance Sheets and are reviewed for possible impairment on an annual basis or when circumstances indicate impairment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 There was no impairment recorded in fiscal years 2017, 2016 or 2015.</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ROMOTIONS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of trade spending patterns and that of the industry, current trends and forecast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DVERTISING</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Advertising expenses were approximately $13,751,000, $18,083,000, and $5,154,000 in fiscal years 2017, 2016 and 2015, respectively. Advertising expense was significantly higher in fiscal year 2016 due to an integrated marketing campaign launched in March 2016 to promote our Cat's Pride </w:t>
      </w:r>
      <w:r>
        <w:rPr>
          <w:rFonts w:ascii="Arial" w:cs="Arial" w:eastAsia="Arial" w:hAnsi="Arial"/>
          <w:sz w:val="18"/>
          <w:szCs w:val="18"/>
          <w:color w:val="222222"/>
        </w:rPr>
        <w:t>Fresh &amp;</w:t>
      </w:r>
      <w:r>
        <w:rPr>
          <w:rFonts w:ascii="Arial" w:cs="Arial" w:eastAsia="Arial" w:hAnsi="Arial"/>
          <w:sz w:val="18"/>
          <w:szCs w:val="18"/>
          <w:color w:val="auto"/>
        </w:rPr>
        <w:t xml:space="preserve"> </w:t>
      </w:r>
      <w:r>
        <w:rPr>
          <w:rFonts w:ascii="Arial" w:cs="Arial" w:eastAsia="Arial" w:hAnsi="Arial"/>
          <w:sz w:val="18"/>
          <w:szCs w:val="18"/>
          <w:color w:val="222222"/>
        </w:rPr>
        <w:t>Light Ultimate Care lightweight cat litter.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Non-derivative financial instruments included in the Consolidated Balance Sheets are cash and cash equivalents, short-term investments and notes payable. These instruments, except for notes payable, were carried at amounts approximating fair value as of July 31, 2017 and 2016. Short-term investments were certificates of deposits and treasury securities. We intend and have the ability to hold our short-term investments to maturity; therefore, these investments were reported at amortized cost on the Consolidated Balance Sheets, which approximated fair value. See Note 4 of the Notes to the Consolidated Financial Statements for additional information regarding the fair value of our financial instruments, including notes payable.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revenue when risk of loss and title are transferred under the terms of our sales agreements with customers at a fixed and determinable price and collection of payment is probable. Taxes collected from customers and remitted to governmental authorities are excluded from net sales. Sales returns and allowances are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OST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sales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HIPPING AND</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ANDLING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costs are included in cost of sales and were approximately $39,226,000, $41,301,000 and $46,292,000 for fiscal years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costs of approximately $3,215,000, $3,025,000 and $2,809,000 were charged to expense as incurred for fiscal years 2017, 2016 and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ENSION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OSTRETIREMENT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The funded status of our defined pension and postretirement health benefit plans are recognized on the Consolidated Balance Sheets. Changes in the funded status that arise during the period but are not recognized as components of net periodic benefit cost are recognized within other comprehensive income, net of income tax. See Note 8 of the Notes to the Consolidated Financial Statements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account for stock options and restricted stock issued under our long term incentive plans in accordance with ASC 718,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The fair value of stock-based compensation is determined at the grant date. The related compensation expense is recognized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vesting period. See Note 7 of the Notes to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 TAXES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to existing valuation allowances, we provide for uncertain tax positions, if necessary, when such tax positions do not meet the recognition thresholds or measurement standards prescribed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Amounts for uncertain tax positions are adjusted when new information becomes available or when positions are effectively settled. We recognize interest and penalties accrued related to uncertain tax positions in income tax (benefit) expense.</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5 of the Notes to the Consolidated Financial Statements for additional information about 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fiscal year 2017 we adopted FASB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related to notes payable to be presented as a direct deduction from the associated debt liability rather than as an asset. Amortization of these costs continue to be reported as interest expense. We adopted this guidance retrospectively, which resulted in a decrease in Other Assets of $118,000 with a corresponding decrease in Noncurrent Liabilities in our Consolidated Balance Sheets as of July 31, 2016. The new requirements had no impact on our results of operations or cash flows.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fiscal year 2017 we adopted FASB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This guidance defines management's responsibility to evaluate whether there is substantial doubt about an organization's ability to continue as a going concern and to provide related footnote disclosures. Management performed this evaluation and determined there was no doubt about the Company's ability to continue as a going concern, therefore no disclosures were required.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plan to adopt FASB issued guidance under ASC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in our first quarter of fiscal year 2018</w:t>
      </w:r>
      <w:r>
        <w:rPr>
          <w:rFonts w:ascii="Arial" w:cs="Arial" w:eastAsia="Arial" w:hAnsi="Arial"/>
          <w:sz w:val="18"/>
          <w:szCs w:val="18"/>
          <w:i w:val="1"/>
          <w:iCs w:val="1"/>
          <w:color w:val="auto"/>
        </w:rPr>
        <w:t>.</w:t>
      </w:r>
      <w:r>
        <w:rPr>
          <w:rFonts w:ascii="Arial" w:cs="Arial" w:eastAsia="Arial" w:hAnsi="Arial"/>
          <w:sz w:val="18"/>
          <w:szCs w:val="18"/>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We are currently evaluating the impact of the adoption of this requirement; however, we do not believe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results of our current inventory valuation policy will be substantially changed and the implementation of this guidance will not have a material impact on our Consolidated Financial Statements.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plan to adopt FASB guidance under ASC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requires deferred tax liabilities and assets to be classified as noncurrent in a classified statement of financial position. We expect to reclassify approximately $2,787,000 from Total Current Assets to Total Other Assets on the unaudited balance sheet as of October 31, 2017 included in our fiscal year 2018 first quarterly report on Form 10-Q. Prior periods presented will also be restated accordingly.</w:t>
      </w:r>
    </w:p>
    <w:p>
      <w:pPr>
        <w:spacing w:after="0" w:line="17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plan to adopt FASB guidance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in our first quarter of fiscal year 2018. The new guidance allows for a policy election to account for forfeitures as they occur rather than on an estimated basis. We do not plan to make this election. We will continue to estimate forfeitures expected to occur to determine the amount of compensation cost to be recognized in each period. The new guidance also simplifies several aspects of the accounting for share-based payment transactions, including requiring excess tax benefits and tax deficiencies to be recognized as income tax benefits or expenses in the consolidated statement of earnings. Additionally, the standard requires cash flows from excess tax benefits and deficiencies, previously classified as a financing activity, to be classified as an operating activity in the consolidated statement of cash flows. Oil-Dri will adopt the accounting and cash flow presentation provisions of the guidance on a prospective basis. The adoption is expected to impact Oil-Dri's income tax provision on its Consolidated Statements of Operations and its operating and financing cash flows on its Consolidated Statements of Cash Flows. The amount of the impact of adopting this standard on the Consolidated Financial Statements will be dependent on the timing and value of future share-based compensation awards.</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May 2014, the FASB issued guidance under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establishes a single comprehensive revenue recognition model for all contracts with customers and will supersede most existing revenue guidance. This guidance was subsequently amended several times to further clarify the principles for recognizing revenue. The guidance requires entities to recognize revenue to depict the transfer of promised goods or services to customers in an amount that reflects the consideration to which the entity expects to be entitled to receive in exchange. Oil-Dri's revenue is generated from the sale of finished goods to customers. Those sales predominantly contain a single delivery obligation. Under Oil-Dri's current accounting policy, revenue is recognized at a single point in time when ownership, risks and rewards transfer. We are currently in the process of performing a comprehensive evaluation of the revenue requirements, including the impact on how we record certain incentives and advertising arrangements, as well as significant new disclosure requirements. We plan to adopt the standard at the beginning of our first quarter of fiscal year 2019. Transition options to implement this guidance include either a full or modified retrospective approach and early adoption is permitted. We expect to use the modified retrospective implementation method.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The provisions relevant to us at this time require the use of the exit price notion when measuring the fair value of financial instruments for disclosure purposes, as well as eliminates the requirement to disclose the method and significant assumptions used to estimate the fair value in such disclosure. This guidance is effective for our first quarter of fiscal year 2019 and early adoption is generally not permitted. We are currently evaluating the impact of the adoption of this requirement on our Consolidated Financial Statements.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March 2017, the FASB issued guidance under ASC 715, </w:t>
      </w:r>
      <w:r>
        <w:rPr>
          <w:rFonts w:ascii="Arial" w:cs="Arial" w:eastAsia="Arial" w:hAnsi="Arial"/>
          <w:sz w:val="18"/>
          <w:szCs w:val="18"/>
          <w:i w:val="1"/>
          <w:iCs w:val="1"/>
          <w:color w:val="auto"/>
        </w:rPr>
        <w:t>Improving the Presentation of Net Periodic Pension Cost and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Benefit Cost, </w:t>
      </w:r>
      <w:r>
        <w:rPr>
          <w:rFonts w:ascii="Arial" w:cs="Arial" w:eastAsia="Arial" w:hAnsi="Arial"/>
          <w:sz w:val="18"/>
          <w:szCs w:val="18"/>
          <w:color w:val="auto"/>
        </w:rPr>
        <w:t>which requires presenting the service cost component of net periodic benefit cost in the same income statement line item(s)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employee compensation costs arising from services rendered during the period. This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49" w:name="page50"/>
    <w:bookmarkEnd w:id="49"/>
    <w:p>
      <w:pPr>
        <w:jc w:val="both"/>
        <w:spacing w:after="0" w:line="279" w:lineRule="auto"/>
        <w:rPr>
          <w:sz w:val="20"/>
          <w:szCs w:val="20"/>
          <w:color w:val="auto"/>
        </w:rPr>
      </w:pPr>
      <w:r>
        <w:rPr>
          <w:rFonts w:ascii="Arial" w:cs="Arial" w:eastAsia="Arial" w:hAnsi="Arial"/>
          <w:sz w:val="17"/>
          <w:szCs w:val="17"/>
          <w:color w:val="auto"/>
        </w:rPr>
        <w:t>standard also requires that other components of the net periodic benefit cost be presented separately from the line item(s) that includes service costs and outside of any subtotal of operating income, if one is presented, on a retrospective basis. Additionally, the new guidance limits the components that are eligible for capitalization in assets to only the service cost component. The new guidance is effective for our first quarter of fiscal year 2019, with early adoption permitted. We are currently evaluating the impact of the adoption of this requirement on our Consolidated Financial Statements.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OPERATING SEGMENTS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sales and operating income for each segment are provided below. Revenues by product line are not provided because it would be impracticable to do so. The accounting policies of the segments are the same as those described in the Note 1 of the Notes to the Consolidated Financial Statements.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July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65,337</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61,007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55,767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90,508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91,626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96,043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 (1)</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56,730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52,182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38,075</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212,575</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204,815</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189,885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6"/>
              </w:rPr>
              <w:t>Year Ended July 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ind w:left="120"/>
              <w:spacing w:after="0"/>
              <w:rPr>
                <w:sz w:val="20"/>
                <w:szCs w:val="20"/>
                <w:color w:val="auto"/>
              </w:rPr>
            </w:pPr>
            <w:r>
              <w:rPr>
                <w:rFonts w:ascii="Arial" w:cs="Arial" w:eastAsia="Arial" w:hAnsi="Arial"/>
                <w:sz w:val="18"/>
                <w:szCs w:val="18"/>
                <w:b w:val="1"/>
                <w:bCs w:val="1"/>
                <w:color w:val="auto"/>
              </w:rPr>
              <w:t>100,419</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96,444</w:t>
            </w:r>
          </w:p>
        </w:tc>
        <w:tc>
          <w:tcPr>
            <w:tcW w:w="2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92,326</w:t>
            </w:r>
          </w:p>
        </w:tc>
        <w:tc>
          <w:tcPr>
            <w:tcW w:w="2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33,343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33,464</w:t>
            </w:r>
          </w:p>
        </w:tc>
        <w:tc>
          <w:tcPr>
            <w:tcW w:w="2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29,406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161,888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165,869</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169,076</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6,775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262,307</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262,313</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261,402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(23,060)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15,230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15,413</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15,153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14,545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14,357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10,792</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13,613</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restart"/>
          </w:tcPr>
          <w:p>
            <w:pPr>
              <w:jc w:val="right"/>
              <w:ind w:right="57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1" w:right="23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The following is a summary by fiscal year of financial information by geographic region (in thousands):</w:t>
      </w:r>
    </w:p>
    <w:p>
      <w:pPr>
        <w:spacing w:after="0" w:line="167"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160"/>
              <w:spacing w:after="0"/>
              <w:rPr>
                <w:sz w:val="20"/>
                <w:szCs w:val="20"/>
                <w:color w:val="auto"/>
              </w:rPr>
            </w:pPr>
            <w:r>
              <w:rPr>
                <w:rFonts w:ascii="Arial" w:cs="Arial" w:eastAsia="Arial" w:hAnsi="Arial"/>
                <w:sz w:val="18"/>
                <w:szCs w:val="18"/>
                <w:color w:val="auto"/>
              </w:rPr>
              <w:t>Sales to unaffiliated customers by:</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Domestic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249,772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251,054</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250,377</w:t>
            </w: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12,535</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11,259</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11,025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or transfers between geographic areas: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60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5,842</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5,723</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14,524</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15,129</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15,389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Domestic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10,833</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14,574</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12,629</w:t>
            </w: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(961)</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Identifiable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Domestic operations (1)</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204,547</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197,518</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182,123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8,028</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7,297</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20" w:firstLine="8"/>
        <w:spacing w:after="0" w:line="290" w:lineRule="auto"/>
        <w:tabs>
          <w:tab w:leader="none" w:pos="261"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Prior year amounts have been retrospectively adjusted to conform to the current year presentation of debt issuance costs required by new guidance under ASC 835, </w:t>
      </w:r>
      <w:r>
        <w:rPr>
          <w:rFonts w:ascii="Arial" w:cs="Arial" w:eastAsia="Arial" w:hAnsi="Arial"/>
          <w:sz w:val="17"/>
          <w:szCs w:val="17"/>
          <w:i w:val="1"/>
          <w:iCs w:val="1"/>
          <w:color w:val="auto"/>
        </w:rPr>
        <w:t>Simplifying the Presentation of Debt Issuance Cost.</w:t>
      </w:r>
      <w:r>
        <w:rPr>
          <w:rFonts w:ascii="Arial" w:cs="Arial" w:eastAsia="Arial" w:hAnsi="Arial"/>
          <w:sz w:val="17"/>
          <w:szCs w:val="17"/>
          <w:color w:val="auto"/>
        </w:rPr>
        <w:t xml:space="preserve"> See Note 1 of the Notes to the Consolidated Financial Statements for details.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Sales to Walmart, our largest customer, are included in our Retail and Wholesale Products Group. The percentage of consolidated net sales and net accounts receivable attributed to Walmart are shown in the table below:</w:t>
      </w:r>
    </w:p>
    <w:p>
      <w:pPr>
        <w:spacing w:after="0" w:line="112"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3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4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for the years ended July 31</w:t>
            </w:r>
          </w:p>
        </w:tc>
        <w:tc>
          <w:tcPr>
            <w:tcW w:w="11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19%</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Net accounts receivable as of July 31</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28%</w:t>
            </w:r>
          </w:p>
        </w:tc>
        <w:tc>
          <w:tcPr>
            <w:tcW w:w="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29%</w:t>
            </w:r>
          </w:p>
        </w:tc>
        <w:tc>
          <w:tcPr>
            <w:tcW w:w="3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27%</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other customers with sales equal to or greater than 10% of our total sales.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NOTE 3 – DEBT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The composition of notes payable is as follows as of July 31 (in thousands):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shd w:val="clear" w:color="auto" w:fill="CCEEFF"/>
              </w:rPr>
              <w:t>Senior notes payable in annual principal installments on August 1: $3,083 in each fiscal year 2018 through 2021.</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12,333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is payable semiannually at an annual rate of 3.96%</w:t>
            </w: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Less current maturities of notes payable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50"/>
        </w:trPr>
        <w:tc>
          <w:tcPr>
            <w:tcW w:w="8700" w:type="dxa"/>
            <w:vAlign w:val="bottom"/>
          </w:tcPr>
          <w:p>
            <w:pPr>
              <w:ind w:left="40"/>
              <w:spacing w:after="0"/>
              <w:rPr>
                <w:sz w:val="20"/>
                <w:szCs w:val="20"/>
                <w:color w:val="auto"/>
              </w:rPr>
            </w:pPr>
            <w:r>
              <w:rPr>
                <w:rFonts w:ascii="Arial" w:cs="Arial" w:eastAsia="Arial" w:hAnsi="Arial"/>
                <w:sz w:val="18"/>
                <w:szCs w:val="18"/>
                <w:color w:val="auto"/>
              </w:rPr>
              <w:t>Noncurrent notes payable (1)</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9,161</w:t>
            </w:r>
          </w:p>
        </w:tc>
        <w:tc>
          <w:tcPr>
            <w:tcW w:w="2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8890</wp:posOffset>
            </wp:positionV>
            <wp:extent cx="1732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 w:lineRule="exact"/>
        <w:rPr>
          <w:sz w:val="20"/>
          <w:szCs w:val="20"/>
          <w:color w:val="auto"/>
        </w:rPr>
      </w:pPr>
    </w:p>
    <w:p>
      <w:pPr>
        <w:ind w:right="20" w:firstLine="8"/>
        <w:spacing w:after="0" w:line="308" w:lineRule="auto"/>
        <w:tabs>
          <w:tab w:leader="none" w:pos="261"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Prior year amounts have been retrospectively adjusted to conform to the current year presentation of debt issuance costs required by new guidance under ASC 835, </w:t>
      </w:r>
      <w:r>
        <w:rPr>
          <w:rFonts w:ascii="Arial" w:cs="Arial" w:eastAsia="Arial" w:hAnsi="Arial"/>
          <w:sz w:val="17"/>
          <w:szCs w:val="17"/>
          <w:i w:val="1"/>
          <w:iCs w:val="1"/>
          <w:color w:val="auto"/>
        </w:rPr>
        <w:t>Simplifying the Presentation of Debt Issuance Cost.</w:t>
      </w:r>
      <w:r>
        <w:rPr>
          <w:rFonts w:ascii="Arial" w:cs="Arial" w:eastAsia="Arial" w:hAnsi="Arial"/>
          <w:sz w:val="17"/>
          <w:szCs w:val="17"/>
          <w:color w:val="auto"/>
        </w:rPr>
        <w:t xml:space="preserve"> See Note 1 of the Notes to the Consolidated Financial Statements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-317500</wp:posOffset>
            </wp:positionV>
            <wp:extent cx="1732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issued senior promissory notes in November 2010 for $18,500,000. The note agreement provides that the proceeds could be used to fund future principal payments on debt, acquisitions, stock repurchases, capital expenditures and working capital purposes. The note agreement contains restrictions against certain activities, among other things and under various conditions, as well as financial covenants, including a minimum fixed charges coverage ratio and a minimum consolidated debt ratio.</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4, 2014, we signed a fourth amendment to our credit agreement with BMO Harris, to extend the term to December 4, 2019. The new agreement provides for a $25,000,000 unsecured revolving credit agreement, including a maximum of $5,000,000 for foreign letters of credit. The remaining terms are substantially unchanged from our previous agreement with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1" w:name="page52"/>
    <w:bookmarkEnd w:id="51"/>
    <w:p>
      <w:pPr>
        <w:jc w:val="both"/>
        <w:spacing w:after="0" w:line="255" w:lineRule="auto"/>
        <w:rPr>
          <w:sz w:val="20"/>
          <w:szCs w:val="20"/>
          <w:color w:val="auto"/>
        </w:rPr>
      </w:pPr>
      <w:r>
        <w:rPr>
          <w:rFonts w:ascii="Arial" w:cs="Arial" w:eastAsia="Arial" w:hAnsi="Arial"/>
          <w:sz w:val="18"/>
          <w:szCs w:val="18"/>
          <w:color w:val="auto"/>
        </w:rPr>
        <w:t>BMO Harris, including the provision that we may select a variable rate based on either BMO Harris’ prime rate or a LIBOR-based rate, plus a margin which varies depending on our debt to earnings ratio, or a fixed rate as agreed between us and BMO Harris. As of July 31, 2017, the variable rates would have been 4.25% for the BMO Harris’ prime-based rate or 2.31%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 minimum consolidated net worth and a minimum consolidated debt ratio. As of July 31, 2017 and 2016, there were no outstanding borrowings under this credit agreement.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debt agreements also contain provisions such that if we default on one debt agreement, the others will automatically default. If we default on any guaranteed debt with a balance greater than $1,000,000, our unsecured revolving credit agreement with BMO Harris will be considered in default. If we default on any debt with a balance greater than $5,000,000 we will also be considered in default with the senior promissory notes. We were in compliance with all restrictive covenants and limitations as of July 31, 2017.</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by fiscal year of future principal maturities of notes payable as of July 31, 2017 (in thousands):</w:t>
      </w:r>
    </w:p>
    <w:p>
      <w:pPr>
        <w:spacing w:after="0" w:line="158" w:lineRule="exact"/>
        <w:rPr>
          <w:sz w:val="20"/>
          <w:szCs w:val="20"/>
          <w:color w:val="auto"/>
        </w:rPr>
      </w:pPr>
    </w:p>
    <w:tbl>
      <w:tblPr>
        <w:tblLayout w:type="fixed"/>
        <w:tblInd w:w="4040" w:type="dxa"/>
        <w:tblCellMar>
          <w:top w:w="0" w:type="dxa"/>
          <w:left w:w="0" w:type="dxa"/>
          <w:bottom w:w="0" w:type="dxa"/>
          <w:right w:w="0" w:type="dxa"/>
        </w:tblCellMar>
      </w:tblPr>
      <w:tr>
        <w:trPr>
          <w:trHeight w:val="270"/>
        </w:trPr>
        <w:tc>
          <w:tcPr>
            <w:tcW w:w="178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89"/>
              </w:rPr>
              <w:t>2018</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43"/>
        </w:trPr>
        <w:tc>
          <w:tcPr>
            <w:tcW w:w="1780" w:type="dxa"/>
            <w:vAlign w:val="bottom"/>
          </w:tcPr>
          <w:p>
            <w:pPr>
              <w:jc w:val="right"/>
              <w:ind w:right="1310"/>
              <w:spacing w:after="0"/>
              <w:rPr>
                <w:sz w:val="20"/>
                <w:szCs w:val="20"/>
                <w:color w:val="auto"/>
              </w:rPr>
            </w:pPr>
            <w:r>
              <w:rPr>
                <w:rFonts w:ascii="Arial" w:cs="Arial" w:eastAsia="Arial" w:hAnsi="Arial"/>
                <w:sz w:val="18"/>
                <w:szCs w:val="18"/>
                <w:color w:val="auto"/>
                <w:w w:val="89"/>
              </w:rPr>
              <w:t>2019</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7"/>
        </w:trPr>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89"/>
              </w:rPr>
              <w:t>2020</w:t>
            </w: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43"/>
        </w:trPr>
        <w:tc>
          <w:tcPr>
            <w:tcW w:w="1780" w:type="dxa"/>
            <w:vAlign w:val="bottom"/>
          </w:tcPr>
          <w:p>
            <w:pPr>
              <w:jc w:val="right"/>
              <w:ind w:right="1310"/>
              <w:spacing w:after="0"/>
              <w:rPr>
                <w:sz w:val="20"/>
                <w:szCs w:val="20"/>
                <w:color w:val="auto"/>
              </w:rPr>
            </w:pPr>
            <w:r>
              <w:rPr>
                <w:rFonts w:ascii="Arial" w:cs="Arial" w:eastAsia="Arial" w:hAnsi="Arial"/>
                <w:sz w:val="18"/>
                <w:szCs w:val="18"/>
                <w:color w:val="auto"/>
                <w:w w:val="89"/>
              </w:rPr>
              <w:t>2021</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3,084</w:t>
            </w:r>
          </w:p>
        </w:tc>
      </w:tr>
      <w:tr>
        <w:trPr>
          <w:trHeight w:val="27"/>
        </w:trPr>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78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89"/>
              </w:rPr>
              <w:t>2022</w:t>
            </w: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78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12,333</w:t>
            </w:r>
          </w:p>
        </w:tc>
      </w:tr>
      <w:tr>
        <w:trPr>
          <w:trHeight w:val="27"/>
        </w:trPr>
        <w:tc>
          <w:tcPr>
            <w:tcW w:w="17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1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343"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420" w:hanging="453"/>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420" w:hanging="453"/>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420" w:hanging="453"/>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jc w:val="both"/>
        <w:ind w:left="960" w:right="20" w:hanging="931"/>
        <w:spacing w:after="0" w:line="264" w:lineRule="auto"/>
        <w:tabs>
          <w:tab w:leader="none" w:pos="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p>
      <w:pPr>
        <w:spacing w:after="0" w:line="20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our financial assets and liabilities that were reported at fair value by level within the fair value hierarchy (in thousands):</w:t>
      </w:r>
    </w:p>
    <w:p>
      <w:pPr>
        <w:sectPr>
          <w:pgSz w:w="11900" w:h="16838" w:orient="portrait"/>
          <w:cols w:equalWidth="0" w:num="1">
            <w:col w:w="11420"/>
          </w:cols>
          <w:pgMar w:left="240" w:top="368" w:right="239" w:bottom="1440" w:gutter="0" w:footer="0" w:header="0"/>
        </w:sectPr>
      </w:pPr>
    </w:p>
    <w:p>
      <w:pPr>
        <w:spacing w:after="0" w:line="112"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Fair Value</w:t>
      </w:r>
    </w:p>
    <w:p>
      <w:pPr>
        <w:spacing w:after="0" w:line="39"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at July 31,</w:t>
      </w:r>
    </w:p>
    <w:p>
      <w:pPr>
        <w:spacing w:after="0" w:line="32"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22860</wp:posOffset>
            </wp:positionV>
            <wp:extent cx="643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8"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643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2560"/>
        <w:spacing w:after="0"/>
        <w:rPr>
          <w:sz w:val="20"/>
          <w:szCs w:val="20"/>
          <w:color w:val="auto"/>
        </w:rPr>
      </w:pPr>
      <w:r>
        <w:rPr>
          <w:rFonts w:ascii="Arial" w:cs="Arial" w:eastAsia="Arial" w:hAnsi="Arial"/>
          <w:sz w:val="16"/>
          <w:szCs w:val="16"/>
          <w:b w:val="1"/>
          <w:bCs w:val="1"/>
          <w:color w:val="auto"/>
        </w:rPr>
        <w:t>Fair Value</w:t>
      </w:r>
    </w:p>
    <w:p>
      <w:pPr>
        <w:spacing w:after="0" w:line="50" w:lineRule="exact"/>
        <w:rPr>
          <w:sz w:val="20"/>
          <w:szCs w:val="20"/>
          <w:color w:val="auto"/>
        </w:rPr>
      </w:pPr>
    </w:p>
    <w:p>
      <w:pPr>
        <w:jc w:val="center"/>
        <w:ind w:right="2560"/>
        <w:spacing w:after="0"/>
        <w:rPr>
          <w:sz w:val="20"/>
          <w:szCs w:val="20"/>
          <w:color w:val="auto"/>
        </w:rPr>
      </w:pPr>
      <w:r>
        <w:rPr>
          <w:rFonts w:ascii="Arial" w:cs="Arial" w:eastAsia="Arial" w:hAnsi="Arial"/>
          <w:sz w:val="16"/>
          <w:szCs w:val="16"/>
          <w:b w:val="1"/>
          <w:bCs w:val="1"/>
          <w:color w:val="auto"/>
        </w:rPr>
        <w:t>at July 31,</w:t>
      </w:r>
    </w:p>
    <w:p>
      <w:pPr>
        <w:spacing w:after="0" w:line="32"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22860</wp:posOffset>
            </wp:positionV>
            <wp:extent cx="643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34290</wp:posOffset>
            </wp:positionV>
            <wp:extent cx="643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7660" w:space="400"/>
            <w:col w:w="3360"/>
          </w:cols>
          <w:pgMar w:left="240" w:top="368" w:right="239" w:bottom="1440" w:gutter="0" w:footer="0" w:header="0"/>
          <w:type w:val="continuous"/>
        </w:sectPr>
      </w:pPr>
    </w:p>
    <w:p>
      <w:pPr>
        <w:ind w:left="27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34290</wp:posOffset>
            </wp:positionV>
            <wp:extent cx="41249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24960" cy="171450"/>
                    </a:xfrm>
                    <a:prstGeom prst="rect">
                      <a:avLst/>
                    </a:prstGeom>
                    <a:noFill/>
                  </pic:spPr>
                </pic:pic>
              </a:graphicData>
            </a:graphic>
          </wp:anchor>
        </w:drawing>
      </w:r>
    </w:p>
    <w:p>
      <w:pPr>
        <w:spacing w:after="0" w:line="47" w:lineRule="exact"/>
        <w:rPr>
          <w:sz w:val="20"/>
          <w:szCs w:val="20"/>
          <w:color w:val="auto"/>
        </w:rPr>
      </w:pPr>
    </w:p>
    <w:p>
      <w:pPr>
        <w:ind w:left="2720"/>
        <w:spacing w:after="0"/>
        <w:tabs>
          <w:tab w:leader="none" w:pos="6760" w:val="left"/>
          <w:tab w:leader="none" w:pos="7280" w:val="left"/>
          <w:tab w:leader="none" w:pos="7960" w:val="left"/>
          <w:tab w:leader="none" w:pos="8480" w:val="left"/>
        </w:tabs>
        <w:rPr>
          <w:sz w:val="20"/>
          <w:szCs w:val="20"/>
          <w:color w:val="auto"/>
        </w:rPr>
      </w:pPr>
      <w:r>
        <w:rPr>
          <w:rFonts w:ascii="Arial" w:cs="Arial" w:eastAsia="Arial" w:hAnsi="Arial"/>
          <w:sz w:val="18"/>
          <w:szCs w:val="18"/>
          <w:color w:val="auto"/>
        </w:rPr>
        <w:t>Cash equivalents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7,626</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type w:val="continuous"/>
        </w:sectPr>
      </w:pPr>
    </w:p>
    <w:bookmarkStart w:id="52" w:name="page53"/>
    <w:bookmarkEnd w:id="52"/>
    <w:p>
      <w:pPr>
        <w:jc w:val="both"/>
        <w:ind w:firstLine="648"/>
        <w:spacing w:after="0" w:line="308" w:lineRule="auto"/>
        <w:rPr>
          <w:sz w:val="20"/>
          <w:szCs w:val="20"/>
          <w:color w:val="auto"/>
        </w:rPr>
      </w:pPr>
      <w:r>
        <w:rPr>
          <w:rFonts w:ascii="Arial" w:cs="Arial" w:eastAsia="Arial" w:hAnsi="Arial"/>
          <w:sz w:val="17"/>
          <w:szCs w:val="17"/>
          <w:color w:val="auto"/>
        </w:rPr>
        <w:t>Cash equivalents are classified as Level 1 of the fair value hierarchy because they were valued using quoted market prices in active markets. These cash instruments are primarily money market funds. This amount is included in cash and cash equivalents on the Consolidated Balance Sheets.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Short-term investments on the Consolidated Balance Sheets include certificates of deposit and treasury securities. We intend and have the ability to hold our short-term investments to maturity; therefore, these investments were reported at amortized cost on the Consolidated Balance Sheets, which approximated fair value as of July 31, 2017 and 2016. These balances are excluded from the above table.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as of July 31, 2017 and 2016 due to the short maturity and nature of those balances; therefore, these balances are excluded from the above table.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Notes payable on the Consolidated Balance Sheets are carried at the face amount of future maturities and are excluded from the above table. The estimated fair value of notes payable was approximately $13,001,000 as of July 31, 2017 and $16,651,000 as of July 31, 2016. Our debt does not trade on a daily basis in an active market, therefore the fair value of notes payable was estimated based on market observable borrowing rates currently available for debt with similar terms and average maturities and is classified as Level 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Financial instruments which potentially subject us to concentrations of credit risk consist principally of cash, short-term investments and accounts receivable. Our cash is held in banks which are covered by the Federal Deposit Insurance Corporation; however, our cash balances are in excess of the maximum amount that is insured. Our short-term investments are placed in government-backed instruments and with other high quality institutions. Concentrations of credit risk with respect to accounts receivable are subject to the financial condition of certain major customers, principally the customer referred to in Note 2 of the Notes to the Consolidated Financial Statements. We generally do not require collateral to secure customer receivables; however, we require letters of credit for some foreign customers or we purchase insurance to reduce our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 expense (benefit) by fiscal year consists of the following (in thousands):</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2,715</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577</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37"/>
        </w:trPr>
        <w:tc>
          <w:tcPr>
            <w:tcW w:w="4480" w:type="dxa"/>
            <w:vAlign w:val="bottom"/>
          </w:tcPr>
          <w:p>
            <w:pPr>
              <w:ind w:left="500"/>
              <w:spacing w:after="0"/>
              <w:rPr>
                <w:sz w:val="20"/>
                <w:szCs w:val="20"/>
                <w:color w:val="auto"/>
              </w:rPr>
            </w:pPr>
            <w:r>
              <w:rPr>
                <w:rFonts w:ascii="Arial" w:cs="Arial" w:eastAsia="Arial" w:hAnsi="Arial"/>
                <w:sz w:val="18"/>
                <w:szCs w:val="18"/>
                <w:color w:val="auto"/>
              </w:rPr>
              <w:t>Current Income Tax Total</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3,315</w:t>
            </w: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 Total</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Income Tax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3,753</w:t>
            </w:r>
          </w:p>
        </w:tc>
        <w:tc>
          <w:tcPr>
            <w:tcW w:w="3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3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reasons for variations between the statutory federal rate and the effective rates by fiscal year were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3" w:name="page54"/>
    <w:bookmarkEnd w:id="53"/>
    <w:tbl>
      <w:tblPr>
        <w:tblLayout w:type="fixed"/>
        <w:tblInd w:w="60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6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income tax rate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35.0 %</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Depletion deductions allowed for mining</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(12.8)</w:t>
            </w:r>
          </w:p>
        </w:tc>
        <w:tc>
          <w:tcPr>
            <w:tcW w:w="3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(9.5)</w:t>
            </w:r>
          </w:p>
        </w:tc>
      </w:tr>
      <w:tr>
        <w:trPr>
          <w:trHeight w:val="27"/>
        </w:trPr>
        <w:tc>
          <w:tcPr>
            <w:tcW w:w="6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income tax expense, net of federal tax expense</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Difference in effective tax rate of foreign subsidiaries</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27"/>
        </w:trPr>
        <w:tc>
          <w:tcPr>
            <w:tcW w:w="6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year income taxes</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2.4</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Valuation allowance decrease</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(11.7)</w:t>
            </w:r>
          </w:p>
        </w:tc>
      </w:tr>
      <w:tr>
        <w:trPr>
          <w:trHeight w:val="27"/>
        </w:trPr>
        <w:tc>
          <w:tcPr>
            <w:tcW w:w="6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federal tax rate applied to deferred tax assets and liabilities</w:t>
            </w:r>
          </w:p>
        </w:tc>
        <w:tc>
          <w:tcPr>
            <w:tcW w:w="146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Deduction for domestic production activities</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7"/>
        </w:trPr>
        <w:tc>
          <w:tcPr>
            <w:tcW w:w="6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(0.3)</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r>
      <w:tr>
        <w:trPr>
          <w:trHeight w:val="257"/>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Effective income tax rate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25.8 %</w:t>
            </w:r>
          </w:p>
        </w:tc>
        <w:tc>
          <w:tcPr>
            <w:tcW w:w="3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3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19.8 %</w:t>
            </w:r>
          </w:p>
        </w:tc>
      </w:tr>
      <w:tr>
        <w:trPr>
          <w:trHeight w:val="20"/>
        </w:trPr>
        <w:tc>
          <w:tcPr>
            <w:tcW w:w="6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Balance Sheets included the following tax effects of cumulative temporary differences as of July 31 (in thousands):</w:t>
      </w:r>
    </w:p>
    <w:p>
      <w:pPr>
        <w:spacing w:after="0" w:line="225"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4"/>
              </w:rPr>
              <w:t>2017</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2016</w:t>
            </w:r>
          </w:p>
        </w:tc>
        <w:tc>
          <w:tcPr>
            <w:tcW w:w="108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Assets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Liabilities</w:t>
            </w:r>
          </w:p>
        </w:tc>
      </w:tr>
      <w:tr>
        <w:trPr>
          <w:trHeight w:val="27"/>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5,888</w:t>
            </w:r>
          </w:p>
        </w:tc>
        <w:tc>
          <w:tcPr>
            <w:tcW w:w="1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5,924</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Postretirement benefits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10,419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11,935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Deferred marketing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Depletion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464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Reclamation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 foreign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(793)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(1,170)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21,256</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6,860</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23,038</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decrease in deferred taxes related to postretirement benefits was driven by a higher liability for these obligations. See Note 8 of the Notes to the Consolidated Financial Statements for further information about the assumptions used for the actuarial calculation of the postretirement benefits liability.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a $793,000 valuation allowance for the amount of the deferred tax benefit related to our foreign net operating loss carryforwards as of July 31, 2017 since we believe it is unlikely we will realize the benefit of these tax attributes in the future. An allowance of $1,170,000 was recorded as of July 31, 2016 for the amount of the deferred tax benefit related to both foreign net operating loss carryforwards and domestic state tax credits based on our assessment at that time of the likelihood of realizing these benefits.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determined during the fourth quarter of fiscal year 2016 that we expected to fully utilize our deferred tax asset for domestic AMT credits in future years. Therefore, we concluded it was appropriate to release the $1,680,000 valuation allowance that had been established in prior years for the full amount of this tax benefit, which resulted in a lower effective federal income tax rate for fiscal year 2016. The same conclusion was reached based upon our review as of July 31, 2017 and no valuation allowance for this tax benefit was established.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26" w:right="239" w:bottom="1440" w:gutter="0" w:footer="0" w:header="0"/>
        </w:sectPr>
      </w:pPr>
    </w:p>
    <w:bookmarkStart w:id="54" w:name="page55"/>
    <w:bookmarkEnd w:id="54"/>
    <w:p>
      <w:pPr>
        <w:jc w:val="both"/>
        <w:ind w:firstLine="648"/>
        <w:spacing w:after="0" w:line="277" w:lineRule="auto"/>
        <w:rPr>
          <w:sz w:val="20"/>
          <w:szCs w:val="20"/>
          <w:color w:val="auto"/>
        </w:rPr>
      </w:pPr>
      <w:r>
        <w:rPr>
          <w:rFonts w:ascii="Arial" w:cs="Arial" w:eastAsia="Arial" w:hAnsi="Arial"/>
          <w:sz w:val="18"/>
          <w:szCs w:val="18"/>
          <w:color w:val="auto"/>
        </w:rPr>
        <w:t>Our foreign subsidiaries in the United Kingdom and China have not generated any untaxed foreign income, therefore we have not provided for any related income taxes.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no liability for unrecognized tax benefits based on tax positions related to the current and prior fiscal years for the fiscal years ended 2017, 2016 and 2015; correspondingly, no related interest and penalties were recognized as income tax expense and there were no accruals for such items in any of these fiscal years.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U.S. federal income tax as well as income tax in multiple state and foreign jurisdictions. No federal income tax returns were under examination as of July 31, 2017 and returns for fiscal years 2014, 2015 and 2016 remain open for examination. Foreign and U.S. state jurisdictions have statutes of limitations generally ranging from three to five years. The state impact of any federal income tax changes remains subject to examination by various states for a period of up to one year after formal notification to the states. There are a limited number of open state and local income tax audits in which no material issues have been preliminarily identified. There are no material open or unsettled foreign income tax audits. We believe our accrual for tax liabilities is adequate for all open audit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authorized capital stock as of July 31, 2017 and 2016 consisted of 15,000,000 shares of Common Stock, 7,000,000 shares of Class B Stock and 30,000,000 shares of Class A Common Stock, each with a par value of $.10 per share. There are no Class A Common Stock shares currently outstanding.</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Common Stock and Class B Stock are equal, on a per share basis, in all respects except as to voting rights, conversion rights, cash dividends and stock splits or stock dividends. The Class A Common Stock is equal, on a per share basis, in all respects, to the Common Stock except as to voting rights and stock splits or stock dividends. In the case of voting rights, Common Stock is entitled to one vote per share and Class B Stock is entitled to ten votes per share, while Class A Common Stock generally has no voting rights. Common Stock and Class A Common Stock have no conversion rights. Class B Stock is convertible on a share-by-share basis into Common Stock at any time and is subject to mandatory conversion under certain circumstances.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 See Note 3 of the Notes to the Consolidated Financial Statements regarding dividend restrictions provided in our debt agreements.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authorized in the aggregate the repurchase of 3,666,771 shares of the Company stock since fiscal year 1991. Through fiscal year-end 2017, 3,023,086 shares of Common Stock and 342,241 shares of Class B Stock have been repurchased under the Board approved repurchase authorizations. Common Stock was repurchased by other transactions authorized by management prior to the adoption of the Board’s repurchase authorizations.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Accumulated Other Comprehensive (Loss)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other comprehensive income by component (in thousands):</w:t>
      </w:r>
    </w:p>
    <w:p>
      <w:pPr>
        <w:spacing w:after="0" w:line="383"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Pension and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Cumulative</w:t>
            </w:r>
          </w:p>
        </w:tc>
        <w:tc>
          <w:tcPr>
            <w:tcW w:w="16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Postretirement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Health Benefits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(Loss) Income</w:t>
            </w: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(9,245)</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(loss) income before</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reclassifications, net of tax</w:t>
            </w:r>
          </w:p>
        </w:tc>
        <w:tc>
          <w:tcPr>
            <w:tcW w:w="140" w:type="dxa"/>
            <w:vAlign w:val="bottom"/>
          </w:tcPr>
          <w:p>
            <w:pPr>
              <w:spacing w:after="0"/>
              <w:rPr>
                <w:sz w:val="20"/>
                <w:szCs w:val="20"/>
                <w:color w:val="auto"/>
              </w:rPr>
            </w:pPr>
          </w:p>
        </w:tc>
        <w:tc>
          <w:tcPr>
            <w:tcW w:w="1980" w:type="dxa"/>
            <w:vAlign w:val="bottom"/>
            <w:gridSpan w:val="3"/>
          </w:tcPr>
          <w:p>
            <w:pPr>
              <w:jc w:val="right"/>
              <w:ind w:right="420"/>
              <w:spacing w:after="0"/>
              <w:rPr>
                <w:sz w:val="20"/>
                <w:szCs w:val="20"/>
                <w:color w:val="auto"/>
              </w:rPr>
            </w:pPr>
            <w:r>
              <w:rPr>
                <w:rFonts w:ascii="Arial" w:cs="Arial" w:eastAsia="Arial" w:hAnsi="Arial"/>
                <w:sz w:val="18"/>
                <w:szCs w:val="18"/>
                <w:color w:val="auto"/>
              </w:rPr>
              <w:t>(5,501) a)</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(5,386)</w:t>
            </w: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color w:val="auto"/>
                <w:w w:val="97"/>
              </w:rPr>
              <w:t>Net current-period other comprehensive (loss) income ,</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(4,892)</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(4,777)</w:t>
            </w: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(14,022)</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w w:val="93"/>
              </w:rPr>
              <w:t>Other comprehensive income before reclassifications, net</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of tax</w:t>
            </w:r>
          </w:p>
        </w:tc>
        <w:tc>
          <w:tcPr>
            <w:tcW w:w="14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2,384</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a)</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2,574</w:t>
            </w:r>
          </w:p>
        </w:tc>
      </w:tr>
      <w:tr>
        <w:trPr>
          <w:trHeight w:val="27"/>
        </w:trPr>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r>
      <w:tr>
        <w:trPr>
          <w:trHeight w:val="237"/>
        </w:trPr>
        <w:tc>
          <w:tcPr>
            <w:tcW w:w="4320" w:type="dxa"/>
            <w:vAlign w:val="bottom"/>
          </w:tcPr>
          <w:p>
            <w:pPr>
              <w:ind w:left="20"/>
              <w:spacing w:after="0"/>
              <w:rPr>
                <w:sz w:val="20"/>
                <w:szCs w:val="20"/>
                <w:color w:val="auto"/>
              </w:rPr>
            </w:pPr>
            <w:r>
              <w:rPr>
                <w:rFonts w:ascii="Arial" w:cs="Arial" w:eastAsia="Arial" w:hAnsi="Arial"/>
                <w:sz w:val="18"/>
                <w:szCs w:val="18"/>
                <w:color w:val="auto"/>
                <w:w w:val="91"/>
              </w:rPr>
              <w:t>Net current-period other comprehensive income, net of tax</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3,540</w:t>
            </w:r>
          </w:p>
        </w:tc>
        <w:tc>
          <w:tcPr>
            <w:tcW w:w="3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3,730</w:t>
            </w:r>
          </w:p>
        </w:tc>
      </w:tr>
      <w:tr>
        <w:trPr>
          <w:trHeight w:val="27"/>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(10,327)</w:t>
            </w: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(10,292)</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are net of taxes of $1,461,000 and $3,372,000 in fiscal years 2017 and 2016, respectively, and are included in Other Comprehensive Loss.</w:t>
      </w:r>
    </w:p>
    <w:p>
      <w:pPr>
        <w:spacing w:after="0" w:line="46" w:lineRule="exact"/>
        <w:rPr>
          <w:rFonts w:ascii="Arial" w:cs="Arial" w:eastAsia="Arial" w:hAnsi="Arial"/>
          <w:sz w:val="16"/>
          <w:szCs w:val="16"/>
          <w:color w:val="auto"/>
        </w:rPr>
      </w:pPr>
    </w:p>
    <w:p>
      <w:pPr>
        <w:ind w:left="340" w:hanging="332"/>
        <w:spacing w:after="0" w:line="26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are net of taxes of $709,000 and $374,000 in fiscal years 2017 and 2016, respectively. Amounts are included in the components of net periodic benefit cost for the pension and postretirement health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8 of the Notes to the Consolidated Financial Statements for further information about pension and postretirement health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determined the fair value of stock options and restricted stock issued under our long term incentive plans as of the grant date. The fair value of restricted stock was determined by the closing market price of our Common Stock on the date of grant multiplied by the number of shares granted. The fair value of the stock options was estimated on the date of the grant using a Black-Scholes option valuation model that used various assumptions. The risk free interest rate was based on the U.S. Treasury yield curve in effect at the time of grant. Expected life (estimated period of time outstanding) of a grant was determined by reference to the vesting schedule, past exercise behavior and comparison with other reporting companies. The dividend rate at the date of grant was used as the best estimate of future dividends. Expected volatility was determined by calculating the standard deviation of our stock price for the five years immediately prior to the grant date. This period of time closely resembles the expected term. All stock options issued under our plans have an exercise price equal to the closing market price of our Common Stock on the date of grant.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Oil-Dri Corporation of America 2006 Long Term Incentive Plan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shares of restricted stock have been issued under the 2006 Plan as described in the restricted stock section below. As of July 31, 2017, there were 344,754 shares available for future grants under this plan. All remaining outstanding options were exercised during fiscal year 2017.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color w:val="auto"/>
        </w:rPr>
        <w:t>A summary of stock option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3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3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53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3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at July 31, 2014</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0"/>
        </w:trPr>
        <w:tc>
          <w:tcPr>
            <w:tcW w:w="5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at July 31, 2015</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0"/>
        </w:trPr>
        <w:tc>
          <w:tcPr>
            <w:tcW w:w="5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469</w:t>
            </w:r>
          </w:p>
        </w:tc>
      </w:tr>
      <w:tr>
        <w:trPr>
          <w:trHeight w:val="27"/>
        </w:trPr>
        <w:tc>
          <w:tcPr>
            <w:tcW w:w="5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at July 31, 2016</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0"/>
        </w:trPr>
        <w:tc>
          <w:tcPr>
            <w:tcW w:w="5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b w:val="1"/>
                <w:bCs w:val="1"/>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17.00</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211</w:t>
            </w:r>
          </w:p>
        </w:tc>
      </w:tr>
      <w:tr>
        <w:trPr>
          <w:trHeight w:val="27"/>
        </w:trPr>
        <w:tc>
          <w:tcPr>
            <w:tcW w:w="5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and exercisable at July 31, 2017</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0"/>
        </w:trPr>
        <w:tc>
          <w:tcPr>
            <w:tcW w:w="5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amount of cash received from the exercise of options during fiscal year 2017 was $170,000 and the related tax benefit was $80,000. The amount of cash received from the exercise of options during fiscal year 2016 was $466,000 and the related tax benefit was $178,000. The amount of cash received from the exercise of options during fiscal year 2015 was $49,000 and the related tax benefit was $9,000.</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recognized the related compensation expense over the period from the date of grant to the date when the award is no longer contingent on the employee providing additional service to us. We recognized no stock-based compensation expense related to stock options during fiscal years 2017, 2016 and 2015. As of July 31, 2017, 2016 and 2015 we had no unamortized expense associated with outstanding stock options.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RESTRICTED </w:t>
      </w: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non-vested restricted stock as of July 31, 2017 was issued under the 2006 Plan with vesting periods from two to five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Unamortized</w:t>
            </w:r>
          </w:p>
        </w:tc>
      </w:tr>
      <w:tr>
        <w:trPr>
          <w:trHeight w:val="216"/>
        </w:trPr>
        <w:tc>
          <w:tcPr>
            <w:tcW w:w="55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Expense</w:t>
            </w:r>
          </w:p>
        </w:tc>
      </w:tr>
      <w:tr>
        <w:trPr>
          <w:trHeight w:val="234"/>
        </w:trPr>
        <w:tc>
          <w:tcPr>
            <w:tcW w:w="55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5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2014</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28.68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34.05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2015</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166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31.56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2016</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4,282</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31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36.84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31.24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restricted stock outstanding at July 31, 2017</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3,893</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500" w:type="dxa"/>
            <w:vAlign w:val="bottom"/>
          </w:tcPr>
          <w:p>
            <w:pPr>
              <w:jc w:val="right"/>
              <w:ind w:right="11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7" w:name="page58"/>
    <w:bookmarkEnd w:id="57"/>
    <w:p>
      <w:pPr>
        <w:jc w:val="both"/>
        <w:ind w:firstLine="648"/>
        <w:spacing w:after="0" w:line="264" w:lineRule="auto"/>
        <w:rPr>
          <w:sz w:val="20"/>
          <w:szCs w:val="20"/>
          <w:color w:val="auto"/>
        </w:rPr>
      </w:pPr>
      <w:r>
        <w:rPr>
          <w:rFonts w:ascii="Arial" w:cs="Arial" w:eastAsia="Arial" w:hAnsi="Arial"/>
          <w:sz w:val="18"/>
          <w:szCs w:val="18"/>
          <w:color w:val="auto"/>
        </w:rPr>
        <w:t>We recognized stock-based compensation related to restricted stock of $934,000, $773,000 and $916,000, net of related tax effect, in fiscal years 2017, 2016 and 2015, respectively. The total restricted stock compensation related tax benefit was $573,000, $474,000 and $226,000 in fiscal years 2017,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AND OTHER POSTRETIREMENT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Oil-Dri Corporation of American Pension Plan (“Pension Plan”) is a defined benefit pension plan for eligible salaried and hourly employees.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Pension benefits are based on a formula of years of credited service and levels of compensation or stated amounts for each year of credited service.</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provide a postretirement health benefits plan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maintain a 401(k) savings plan under which we match a portion of employee contributions. This plan is available to essentially all domestic employees following a specific number of days of employment. Our contributions to this plan, and to similar plans maintained by our foreign subsidiaries, were $746,000, $685,000 and $683,000 for fiscal years 2017,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provide a reconciliation of changes in the plans’ benefit obligations, assets’ fair values and funded status by fiscal year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400"/>
              <w:spacing w:after="0"/>
              <w:rPr>
                <w:sz w:val="20"/>
                <w:szCs w:val="20"/>
                <w:color w:val="auto"/>
              </w:rPr>
            </w:pPr>
            <w:r>
              <w:rPr>
                <w:rFonts w:ascii="Arial" w:cs="Arial" w:eastAsia="Arial" w:hAnsi="Arial"/>
                <w:sz w:val="18"/>
                <w:szCs w:val="18"/>
                <w:b w:val="1"/>
                <w:bCs w:val="1"/>
                <w:color w:val="auto"/>
              </w:rPr>
              <w:t>Pension Benefits</w:t>
            </w:r>
          </w:p>
        </w:tc>
        <w:tc>
          <w:tcPr>
            <w:tcW w:w="24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Postretirement Health Benefits</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55,124</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46,749</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2,746</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2,362</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1,826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1,861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1,928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78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53,742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55,124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2,925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2,746</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25,264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25,593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1,921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1,657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end of year</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27,457</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25,264</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Funded status, recorded in Consolidated Balance Sheets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(26,285)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accumulated benefit obligation for the Pension Plan was $47,880,000 as of July 31, 2017 and $48,981,000 as of July 31,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The following table shows amounts recognized in the Consolidated Balance Sheets as of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Postretirement Health</w:t>
            </w:r>
          </w:p>
        </w:tc>
      </w:tr>
      <w:tr>
        <w:trPr>
          <w:trHeight w:val="234"/>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38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84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9,311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(26,285)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Accumulated other comprehensive loss – net of tax:</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Costs and Amortizations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components of the net periodic pension and postretirement health benefit costs by fiscal year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Pension Cost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7"/>
          </w:tcPr>
          <w:p>
            <w:pPr>
              <w:jc w:val="right"/>
              <w:ind w:right="290"/>
              <w:spacing w:after="0"/>
              <w:rPr>
                <w:sz w:val="20"/>
                <w:szCs w:val="20"/>
                <w:color w:val="auto"/>
              </w:rPr>
            </w:pPr>
            <w:r>
              <w:rPr>
                <w:rFonts w:ascii="Arial" w:cs="Arial" w:eastAsia="Arial" w:hAnsi="Arial"/>
                <w:sz w:val="18"/>
                <w:szCs w:val="18"/>
                <w:b w:val="1"/>
                <w:bCs w:val="1"/>
                <w:color w:val="auto"/>
                <w:w w:val="96"/>
              </w:rPr>
              <w:t>Postretirement Health Benefit Cost</w:t>
            </w: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1,861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transition obligation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Prior service costs (income)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3,743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238</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169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net of tax, that are recognized in other comprehensive income by fiscal year (in thousands):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Postretirement Health</w:t>
            </w:r>
          </w:p>
        </w:tc>
      </w:tr>
      <w:tr>
        <w:trPr>
          <w:trHeight w:val="234"/>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ind w:left="160"/>
              <w:spacing w:after="0"/>
              <w:rPr>
                <w:sz w:val="20"/>
                <w:szCs w:val="20"/>
                <w:color w:val="auto"/>
              </w:rPr>
            </w:pPr>
            <w:r>
              <w:rPr>
                <w:rFonts w:ascii="Arial" w:cs="Arial" w:eastAsia="Arial" w:hAnsi="Arial"/>
                <w:sz w:val="18"/>
                <w:szCs w:val="18"/>
                <w:b w:val="1"/>
                <w:bCs w:val="1"/>
                <w:color w:val="auto"/>
              </w:rPr>
              <w:t>Pension Benefits</w:t>
            </w:r>
          </w:p>
        </w:tc>
        <w:tc>
          <w:tcPr>
            <w:tcW w:w="1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6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(gain)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5,245</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Prior service (cost) income</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Amortization of actuarial loss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(608)</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recognized in other 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4,632</w:t>
            </w: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following table shows amortization amounts, net of tax, expected to be recognized in fiscal year 2018 in accumulated other comprehensive income (in thousands):</w:t>
      </w:r>
    </w:p>
    <w:p>
      <w:pPr>
        <w:spacing w:after="0" w:line="8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Postretirement Health</w:t>
            </w:r>
          </w:p>
        </w:tc>
        <w:tc>
          <w:tcPr>
            <w:tcW w:w="0" w:type="dxa"/>
            <w:vAlign w:val="bottom"/>
          </w:tcPr>
          <w:p>
            <w:pPr>
              <w:spacing w:after="0"/>
              <w:rPr>
                <w:sz w:val="1"/>
                <w:szCs w:val="1"/>
                <w:color w:val="auto"/>
              </w:rPr>
            </w:pPr>
          </w:p>
        </w:tc>
      </w:tr>
      <w:tr>
        <w:trPr>
          <w:trHeight w:val="234"/>
        </w:trPr>
        <w:tc>
          <w:tcPr>
            <w:tcW w:w="43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Pension Benefits</w:t>
            </w:r>
          </w:p>
        </w:tc>
        <w:tc>
          <w:tcPr>
            <w:tcW w:w="34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1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5"/>
              </w:rPr>
              <w:t>Total to be recognized as other comprehensive loss</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300" w:type="dxa"/>
            <w:vAlign w:val="bottom"/>
            <w:shd w:val="clear" w:color="auto" w:fill="CCEEFF"/>
          </w:tcPr>
          <w:p>
            <w:pPr>
              <w:spacing w:after="0"/>
              <w:rPr>
                <w:sz w:val="22"/>
                <w:szCs w:val="22"/>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1070"/>
              <w:spacing w:after="0"/>
              <w:rPr>
                <w:sz w:val="20"/>
                <w:szCs w:val="20"/>
                <w:color w:val="auto"/>
              </w:rPr>
            </w:pPr>
            <w:r>
              <w:rPr>
                <w:rFonts w:ascii="Arial" w:cs="Arial" w:eastAsia="Arial" w:hAnsi="Arial"/>
                <w:sz w:val="18"/>
                <w:szCs w:val="18"/>
                <w:color w:val="auto"/>
              </w:rPr>
              <w:t>59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funded the Pension Plan based upon actuarially determined contributions that take into account the amount deductible for income tax purposes, the normal cost and the minimum contribution required and the maximum contribution allowed under applicable regulations. We expect to contribute approximately $2,141,000 in fiscal year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postretirement health plan is an unfunded plan. Our policy is to pay insurance premiums and claims from our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estimated future benefit payments by fiscal year (in thousands):</w:t>
      </w:r>
    </w:p>
    <w:p>
      <w:pPr>
        <w:spacing w:after="0" w:line="167"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ind w:left="260"/>
              <w:spacing w:after="0"/>
              <w:rPr>
                <w:sz w:val="20"/>
                <w:szCs w:val="20"/>
                <w:color w:val="auto"/>
              </w:rPr>
            </w:pPr>
            <w:r>
              <w:rPr>
                <w:rFonts w:ascii="Arial" w:cs="Arial" w:eastAsia="Arial" w:hAnsi="Arial"/>
                <w:sz w:val="18"/>
                <w:szCs w:val="18"/>
                <w:b w:val="1"/>
                <w:bCs w:val="1"/>
                <w:color w:val="auto"/>
              </w:rPr>
              <w:t>Pension</w:t>
            </w:r>
          </w:p>
        </w:tc>
        <w:tc>
          <w:tcPr>
            <w:tcW w:w="22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Postretirement</w:t>
            </w:r>
          </w:p>
        </w:tc>
      </w:tr>
      <w:tr>
        <w:trPr>
          <w:trHeight w:val="234"/>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2"/>
          </w:tcPr>
          <w:p>
            <w:pPr>
              <w:ind w:left="240"/>
              <w:spacing w:after="0"/>
              <w:rPr>
                <w:sz w:val="20"/>
                <w:szCs w:val="20"/>
                <w:color w:val="auto"/>
              </w:rPr>
            </w:pPr>
            <w:r>
              <w:rPr>
                <w:rFonts w:ascii="Arial" w:cs="Arial" w:eastAsia="Arial" w:hAnsi="Arial"/>
                <w:sz w:val="18"/>
                <w:szCs w:val="18"/>
                <w:b w:val="1"/>
                <w:bCs w:val="1"/>
                <w:color w:val="auto"/>
              </w:rPr>
              <w:t>Benefits</w:t>
            </w:r>
          </w:p>
        </w:tc>
        <w:tc>
          <w:tcPr>
            <w:tcW w:w="220" w:type="dxa"/>
            <w:vAlign w:val="bottom"/>
          </w:tcPr>
          <w:p>
            <w:pPr>
              <w:spacing w:after="0"/>
              <w:rPr>
                <w:sz w:val="20"/>
                <w:szCs w:val="20"/>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Health Benefits</w:t>
            </w:r>
          </w:p>
        </w:tc>
      </w:tr>
      <w:tr>
        <w:trPr>
          <w:trHeight w:val="27"/>
        </w:trPr>
        <w:tc>
          <w:tcPr>
            <w:tcW w:w="1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1,628</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1,755</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2023-27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11,715</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1,351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pension benefit and postretirement health benefit obligations and the related effects on operations are calculated using actuarial models. Critical assumptions that are important elements of plan expenses and asset/liability measurements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and to meet regulatory requirements. Actual results in any given year will often differ from actuarial assumptions because of economic and other factors. The assumptions used in the previous calculations by fiscal year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Postretirement Health</w:t>
            </w:r>
          </w:p>
        </w:tc>
      </w:tr>
      <w:tr>
        <w:trPr>
          <w:trHeight w:val="234"/>
        </w:trPr>
        <w:tc>
          <w:tcPr>
            <w:tcW w:w="6540" w:type="dxa"/>
            <w:vAlign w:val="bottom"/>
          </w:tcPr>
          <w:p>
            <w:pPr>
              <w:spacing w:after="0"/>
              <w:rPr>
                <w:sz w:val="20"/>
                <w:szCs w:val="20"/>
                <w:color w:val="auto"/>
              </w:rPr>
            </w:pPr>
          </w:p>
        </w:tc>
        <w:tc>
          <w:tcPr>
            <w:tcW w:w="2500" w:type="dxa"/>
            <w:vAlign w:val="bottom"/>
            <w:gridSpan w:val="4"/>
          </w:tcPr>
          <w:p>
            <w:pPr>
              <w:ind w:left="560"/>
              <w:spacing w:after="0"/>
              <w:rPr>
                <w:sz w:val="20"/>
                <w:szCs w:val="20"/>
                <w:color w:val="auto"/>
              </w:rPr>
            </w:pPr>
            <w:r>
              <w:rPr>
                <w:rFonts w:ascii="Arial" w:cs="Arial" w:eastAsia="Arial" w:hAnsi="Arial"/>
                <w:sz w:val="18"/>
                <w:szCs w:val="18"/>
                <w:b w:val="1"/>
                <w:bCs w:val="1"/>
                <w:color w:val="auto"/>
              </w:rPr>
              <w:t>Pension Benefits</w:t>
            </w:r>
          </w:p>
        </w:tc>
        <w:tc>
          <w:tcPr>
            <w:tcW w:w="840" w:type="dxa"/>
            <w:vAlign w:val="bottom"/>
          </w:tcPr>
          <w:p>
            <w:pPr>
              <w:spacing w:after="0"/>
              <w:rPr>
                <w:sz w:val="20"/>
                <w:szCs w:val="20"/>
                <w:color w:val="auto"/>
              </w:rPr>
            </w:pPr>
          </w:p>
        </w:tc>
        <w:tc>
          <w:tcPr>
            <w:tcW w:w="154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87"/>
              </w:rPr>
              <w:t>Benefits</w:t>
            </w:r>
          </w:p>
        </w:tc>
      </w:tr>
      <w:tr>
        <w:trPr>
          <w:trHeight w:val="27"/>
        </w:trPr>
        <w:tc>
          <w:tcPr>
            <w:tcW w:w="6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84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2017</w:t>
            </w:r>
          </w:p>
        </w:tc>
        <w:tc>
          <w:tcPr>
            <w:tcW w:w="15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6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7"/>
              </w:rPr>
              <w:t>2.71%</w:t>
            </w:r>
          </w:p>
        </w:tc>
        <w:tc>
          <w:tcPr>
            <w:tcW w:w="154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w w:val="90"/>
              </w:rPr>
              <w:t>3.51%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Discount rate for year-end obligations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3.75%</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3.36%</w:t>
            </w:r>
          </w:p>
        </w:tc>
        <w:tc>
          <w:tcPr>
            <w:tcW w:w="100" w:type="dxa"/>
            <w:vAlign w:val="bottom"/>
          </w:tcPr>
          <w:p>
            <w:pPr>
              <w:spacing w:after="0"/>
              <w:rPr>
                <w:sz w:val="21"/>
                <w:szCs w:val="21"/>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3.26%</w:t>
            </w:r>
          </w:p>
        </w:tc>
        <w:tc>
          <w:tcPr>
            <w:tcW w:w="1540" w:type="dxa"/>
            <w:vAlign w:val="bottom"/>
            <w:gridSpan w:val="3"/>
          </w:tcPr>
          <w:p>
            <w:pPr>
              <w:jc w:val="center"/>
              <w:ind w:left="310"/>
              <w:spacing w:after="0"/>
              <w:rPr>
                <w:sz w:val="20"/>
                <w:szCs w:val="20"/>
                <w:color w:val="auto"/>
              </w:rPr>
            </w:pPr>
            <w:r>
              <w:rPr>
                <w:rFonts w:ascii="Arial" w:cs="Arial" w:eastAsia="Arial" w:hAnsi="Arial"/>
                <w:sz w:val="18"/>
                <w:szCs w:val="18"/>
                <w:color w:val="auto"/>
                <w:w w:val="90"/>
              </w:rPr>
              <w:t>2.71%</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 for year-end obligations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7.00%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discount rate was based on the Citigroup Pension Discount Curve to determine separately for the Pension Plan and the postretirement health plan, the single equivalent rate that would yield the same present value as the specific plan’s expected cash flows.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expected rate of return on Pension Plan assets is determined by our asset allocation, our historical long-term investment performance, our estimate of future long-term returns by asset class (using input from our actuaries, investment managers and investment advisors), and long-term inflation assumptions.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year 2017, the medical cost trend assumption used for the postretirement health benefit cost was 7.5%. The graded trend rate is expected to decrease to an ultimate rate of 4.5% in fiscal year 2036.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4" w:right="239" w:bottom="1440" w:gutter="0" w:footer="0" w:header="0"/>
        </w:sectPr>
      </w:pPr>
    </w:p>
    <w:bookmarkStart w:id="60" w:name="page61"/>
    <w:bookmarkEnd w:id="60"/>
    <w:p>
      <w:pPr>
        <w:jc w:val="both"/>
        <w:ind w:firstLine="648"/>
        <w:spacing w:after="0" w:line="277" w:lineRule="auto"/>
        <w:rPr>
          <w:sz w:val="20"/>
          <w:szCs w:val="20"/>
          <w:color w:val="auto"/>
        </w:rPr>
      </w:pPr>
      <w:r>
        <w:rPr>
          <w:rFonts w:ascii="Arial" w:cs="Arial" w:eastAsia="Arial" w:hAnsi="Arial"/>
          <w:sz w:val="18"/>
          <w:szCs w:val="18"/>
          <w:color w:val="auto"/>
        </w:rPr>
        <w:t>The following table reflects the effect on postretirement health costs and accruals in fiscal year 2017 of a one-percentage point change in the assumed health care cost trend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One-Percentage Point</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One-Percentage</w:t>
            </w:r>
          </w:p>
        </w:tc>
      </w:tr>
      <w:tr>
        <w:trPr>
          <w:trHeight w:val="234"/>
        </w:trPr>
        <w:tc>
          <w:tcPr>
            <w:tcW w:w="7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Point Decrease</w:t>
            </w:r>
          </w:p>
        </w:tc>
      </w:tr>
      <w:tr>
        <w:trPr>
          <w:trHeight w:val="27"/>
        </w:trPr>
        <w:tc>
          <w:tcPr>
            <w:tcW w:w="76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76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on total service and interest cost</w:t>
            </w:r>
          </w:p>
        </w:tc>
        <w:tc>
          <w:tcPr>
            <w:tcW w:w="228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$(25)</w:t>
            </w:r>
          </w:p>
        </w:tc>
      </w:tr>
      <w:tr>
        <w:trPr>
          <w:trHeight w:val="243"/>
        </w:trPr>
        <w:tc>
          <w:tcPr>
            <w:tcW w:w="7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Effect on accumulated postretirement benefit obligation</w:t>
            </w:r>
          </w:p>
        </w:tc>
        <w:tc>
          <w:tcPr>
            <w:tcW w:w="2280" w:type="dxa"/>
            <w:vAlign w:val="bottom"/>
          </w:tcPr>
          <w:p>
            <w:pPr>
              <w:jc w:val="right"/>
              <w:ind w:right="870"/>
              <w:spacing w:after="0"/>
              <w:rPr>
                <w:sz w:val="20"/>
                <w:szCs w:val="20"/>
                <w:color w:val="auto"/>
              </w:rPr>
            </w:pPr>
            <w:r>
              <w:rPr>
                <w:rFonts w:ascii="Arial" w:cs="Arial" w:eastAsia="Arial" w:hAnsi="Arial"/>
                <w:sz w:val="18"/>
                <w:szCs w:val="18"/>
                <w:color w:val="auto"/>
              </w:rPr>
              <w:t>$310</w:t>
            </w:r>
          </w:p>
        </w:tc>
        <w:tc>
          <w:tcPr>
            <w:tcW w:w="300" w:type="dxa"/>
            <w:vAlign w:val="bottom"/>
          </w:tcPr>
          <w:p>
            <w:pPr>
              <w:spacing w:after="0"/>
              <w:rPr>
                <w:sz w:val="21"/>
                <w:szCs w:val="21"/>
                <w:color w:val="auto"/>
              </w:rPr>
            </w:pP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$(274)</w:t>
            </w:r>
          </w:p>
        </w:tc>
      </w:tr>
      <w:tr>
        <w:trPr>
          <w:trHeight w:val="459"/>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Pension Plan Assets</w:t>
            </w: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Pension Plan does not invest directly in Company stock.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measure and monitor the plan’s asset investment performance and the allocation of assets through quarterly investment portfolio reviews. Investment performance is measured by absolute returns, returns relative to benchmark indices and any other appropriate basis of comparison. The targeted allocation percentages of plan assets is shown below for fiscal year 2018 and the actual allocation as of July 31:</w:t>
      </w:r>
    </w:p>
    <w:p>
      <w:pPr>
        <w:spacing w:after="0" w:line="123"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Target fiscal</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600" w:type="dxa"/>
            <w:vAlign w:val="bottom"/>
          </w:tcPr>
          <w:p>
            <w:pPr>
              <w:ind w:left="1120"/>
              <w:spacing w:after="0"/>
              <w:rPr>
                <w:sz w:val="20"/>
                <w:szCs w:val="20"/>
                <w:color w:val="auto"/>
              </w:rPr>
            </w:pPr>
            <w:r>
              <w:rPr>
                <w:rFonts w:ascii="Arial" w:cs="Arial" w:eastAsia="Arial" w:hAnsi="Arial"/>
                <w:sz w:val="18"/>
                <w:szCs w:val="18"/>
                <w:b w:val="1"/>
                <w:bCs w:val="1"/>
                <w:color w:val="auto"/>
              </w:rPr>
              <w:t>Asset Allocation</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3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accrued income</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Fixed income</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38%</w:t>
            </w:r>
          </w:p>
        </w:tc>
        <w:tc>
          <w:tcPr>
            <w:tcW w:w="3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44%</w:t>
            </w:r>
          </w:p>
        </w:tc>
        <w:tc>
          <w:tcPr>
            <w:tcW w:w="2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47%</w:t>
            </w:r>
          </w:p>
        </w:tc>
      </w:tr>
      <w:tr>
        <w:trPr>
          <w:trHeight w:val="27"/>
        </w:trPr>
        <w:tc>
          <w:tcPr>
            <w:tcW w:w="3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56%</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53%</w:t>
            </w:r>
          </w:p>
        </w:tc>
      </w:tr>
      <w:tr>
        <w:trPr>
          <w:trHeight w:val="675"/>
        </w:trPr>
        <w:tc>
          <w:tcPr>
            <w:tcW w:w="3600" w:type="dxa"/>
            <w:vAlign w:val="bottom"/>
          </w:tcPr>
          <w:p>
            <w:pPr>
              <w:spacing w:after="0"/>
              <w:rPr>
                <w:sz w:val="24"/>
                <w:szCs w:val="24"/>
                <w:color w:val="auto"/>
              </w:rPr>
            </w:pPr>
          </w:p>
        </w:tc>
        <w:tc>
          <w:tcPr>
            <w:tcW w:w="1200" w:type="dxa"/>
            <w:vAlign w:val="bottom"/>
          </w:tcPr>
          <w:p>
            <w:pPr>
              <w:ind w:left="100"/>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The following table sets forth by level, within the fair value hierarchy, the Pension Plan's assets carried at fair value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2"/>
              </w:rPr>
              <w:t>Fair Value At July 31, 2017</w:t>
            </w:r>
          </w:p>
        </w:tc>
        <w:tc>
          <w:tcPr>
            <w:tcW w:w="122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Quoted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Prices in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Active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Markets for</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Identical</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2)</w:t>
            </w: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U.S. companies</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4,763</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4,207</w:t>
            </w:r>
          </w:p>
        </w:tc>
      </w:tr>
      <w:tr>
        <w:trPr>
          <w:trHeight w:val="270"/>
        </w:trPr>
        <w:tc>
          <w:tcPr>
            <w:tcW w:w="6720" w:type="dxa"/>
            <w:vAlign w:val="bottom"/>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374</w:t>
            </w:r>
          </w:p>
        </w:tc>
      </w:tr>
      <w:tr>
        <w:trPr>
          <w:trHeight w:val="250"/>
        </w:trPr>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440"/>
              <w:spacing w:after="0"/>
              <w:rPr>
                <w:sz w:val="20"/>
                <w:szCs w:val="20"/>
                <w:color w:val="auto"/>
              </w:rPr>
            </w:pPr>
            <w:r>
              <w:rPr>
                <w:rFonts w:ascii="Arial" w:cs="Arial" w:eastAsia="Arial" w:hAnsi="Arial"/>
                <w:sz w:val="18"/>
                <w:szCs w:val="18"/>
                <w:color w:val="auto"/>
              </w:rPr>
              <w:t>U.S. Treasuries</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2,080</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Bonds</w:t>
            </w:r>
            <w:r>
              <w:rPr>
                <w:rFonts w:ascii="Arial" w:cs="Arial" w:eastAsia="Arial" w:hAnsi="Arial"/>
                <w:sz w:val="25"/>
                <w:szCs w:val="25"/>
                <w:color w:val="auto"/>
                <w:vertAlign w:val="superscript"/>
              </w:rPr>
              <w:t>(e)</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5,264</w:t>
            </w:r>
          </w:p>
        </w:tc>
      </w:tr>
      <w:tr>
        <w:trPr>
          <w:trHeight w:val="270"/>
        </w:trPr>
        <w:tc>
          <w:tcPr>
            <w:tcW w:w="6720" w:type="dxa"/>
            <w:vAlign w:val="bottom"/>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(f)</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2,529</w:t>
            </w:r>
          </w:p>
        </w:tc>
      </w:tr>
      <w:tr>
        <w:trPr>
          <w:trHeight w:val="270"/>
        </w:trPr>
        <w:tc>
          <w:tcPr>
            <w:tcW w:w="67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Money market fund</w:t>
            </w:r>
            <w:r>
              <w:rPr>
                <w:rFonts w:ascii="Arial" w:cs="Arial" w:eastAsia="Arial" w:hAnsi="Arial"/>
                <w:sz w:val="25"/>
                <w:szCs w:val="25"/>
                <w:color w:val="auto"/>
                <w:vertAlign w:val="superscript"/>
              </w:rPr>
              <w:t>(g)</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1,087</w:t>
            </w: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(h)</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1,004</w:t>
            </w:r>
          </w:p>
        </w:tc>
      </w:tr>
      <w:tr>
        <w:trPr>
          <w:trHeight w:val="257"/>
        </w:trPr>
        <w:tc>
          <w:tcPr>
            <w:tcW w:w="6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27,457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21,308</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78"/>
        </w:trPr>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2"/>
              </w:rPr>
              <w:t>Fair Value At July 31, 2016</w:t>
            </w:r>
          </w:p>
        </w:tc>
        <w:tc>
          <w:tcPr>
            <w:tcW w:w="1220" w:type="dxa"/>
            <w:vAlign w:val="bottom"/>
          </w:tcPr>
          <w:p>
            <w:pPr>
              <w:spacing w:after="0"/>
              <w:rPr>
                <w:sz w:val="24"/>
                <w:szCs w:val="24"/>
                <w:color w:val="auto"/>
              </w:rPr>
            </w:pP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Quoted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Prices in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Active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Markets for</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Identical</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2)</w:t>
            </w: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U.S. companies</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3,528</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3,258</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Treasuries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2,244</w:t>
            </w:r>
          </w:p>
        </w:tc>
      </w:tr>
      <w:tr>
        <w:trPr>
          <w:trHeight w:val="270"/>
        </w:trPr>
        <w:tc>
          <w:tcPr>
            <w:tcW w:w="6720" w:type="dxa"/>
            <w:vAlign w:val="bottom"/>
          </w:tcPr>
          <w:p>
            <w:pPr>
              <w:ind w:left="340"/>
              <w:spacing w:after="0" w:line="270" w:lineRule="exact"/>
              <w:rPr>
                <w:sz w:val="20"/>
                <w:szCs w:val="20"/>
                <w:color w:val="auto"/>
              </w:rPr>
            </w:pPr>
            <w:r>
              <w:rPr>
                <w:rFonts w:ascii="Arial" w:cs="Arial" w:eastAsia="Arial" w:hAnsi="Arial"/>
                <w:sz w:val="18"/>
                <w:szCs w:val="18"/>
                <w:color w:val="auto"/>
              </w:rPr>
              <w:t>Bonds</w:t>
            </w:r>
            <w:r>
              <w:rPr>
                <w:rFonts w:ascii="Arial" w:cs="Arial" w:eastAsia="Arial" w:hAnsi="Arial"/>
                <w:sz w:val="25"/>
                <w:szCs w:val="25"/>
                <w:color w:val="auto"/>
                <w:vertAlign w:val="superscript"/>
              </w:rPr>
              <w:t>(e)</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5,692</w:t>
            </w:r>
          </w:p>
        </w:tc>
      </w:tr>
      <w:tr>
        <w:trPr>
          <w:trHeight w:val="270"/>
        </w:trPr>
        <w:tc>
          <w:tcPr>
            <w:tcW w:w="67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(f)</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2,894</w:t>
            </w:r>
          </w:p>
        </w:tc>
      </w:tr>
      <w:tr>
        <w:trPr>
          <w:trHeight w:val="270"/>
        </w:trPr>
        <w:tc>
          <w:tcPr>
            <w:tcW w:w="6720" w:type="dxa"/>
            <w:vAlign w:val="bottom"/>
          </w:tcPr>
          <w:p>
            <w:pPr>
              <w:ind w:left="400"/>
              <w:spacing w:after="0" w:line="270" w:lineRule="exact"/>
              <w:rPr>
                <w:sz w:val="20"/>
                <w:szCs w:val="20"/>
                <w:color w:val="auto"/>
              </w:rPr>
            </w:pPr>
            <w:r>
              <w:rPr>
                <w:rFonts w:ascii="Arial" w:cs="Arial" w:eastAsia="Arial" w:hAnsi="Arial"/>
                <w:sz w:val="18"/>
                <w:szCs w:val="18"/>
                <w:color w:val="auto"/>
              </w:rPr>
              <w:t>Money market fund</w:t>
            </w:r>
            <w:r>
              <w:rPr>
                <w:rFonts w:ascii="Arial" w:cs="Arial" w:eastAsia="Arial" w:hAnsi="Arial"/>
                <w:sz w:val="25"/>
                <w:szCs w:val="25"/>
                <w:color w:val="auto"/>
                <w:vertAlign w:val="superscript"/>
              </w:rPr>
              <w:t>(g)</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1,050</w:t>
            </w:r>
          </w:p>
        </w:tc>
      </w:tr>
      <w:tr>
        <w:trPr>
          <w:trHeight w:val="257"/>
        </w:trPr>
        <w:tc>
          <w:tcPr>
            <w:tcW w:w="6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18,666</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and cash equivalents consists of highly liquid investments which are traded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class represents equities traded on regulated exchanges, as well as funds that invest in a portfolio of such stocks.</w:t>
      </w:r>
    </w:p>
    <w:p>
      <w:pPr>
        <w:sectPr>
          <w:pgSz w:w="11900" w:h="16838" w:orient="portrait"/>
          <w:cols w:equalWidth="0" w:num="1">
            <w:col w:w="11360"/>
          </w:cols>
          <w:pgMar w:left="240" w:top="395" w:right="299" w:bottom="1440" w:gutter="0" w:footer="0" w:header="0"/>
        </w:sect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60"/>
          </w:cols>
          <w:pgMar w:left="240" w:top="395" w:right="299" w:bottom="1440" w:gutter="0" w:footer="0" w:header="0"/>
          <w:type w:val="continuous"/>
        </w:sectPr>
      </w:pPr>
    </w:p>
    <w:bookmarkStart w:id="62" w:name="page63"/>
    <w:bookmarkEnd w:id="62"/>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mutual funds seek long-term capital growth by investing no less than 80% of their assets in stocks of non- U.S. companies that are primarily in developed markets, but also may invest in emerging and less developed markets.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mutual funds seek to track the performance of a benchmark index that measures the investment return of stock issued by companies located in emerging market countries.</w:t>
      </w: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class includes bonds of U.S. and non-U.S. corporate issuers from diverse industries and bonds of domestic and foreign municipalities.</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class represents a beneficial ownership interest in a pool of single-family residential mortgage loans. These investments are generally not backed by the full faith and credit of the United States government, except for securities valued at $577,000 in our portfolio as of July 31, 2017 and $804,000 as of July 31, 2016.</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money market mutual funds seek to provide current income consistent with liquidity and stability of principal by investing in a diversified portfolio of high quality, short-term, dollar-denominated debt securities. These funds may include securities issued or guaranteed as to principal and interest by the U.S. government or its agencies, short-term securities issued by domestic or foreign banks, domestic and dollar-denominated foreign commercial papers, and other short-term corporate obligations and obligations issued or guaranteed by one or more foreign governments.</w:t>
      </w:r>
    </w:p>
    <w:p>
      <w:pPr>
        <w:spacing w:after="0" w:line="2" w:lineRule="exact"/>
        <w:rPr>
          <w:rFonts w:ascii="Arial" w:cs="Arial" w:eastAsia="Arial" w:hAnsi="Arial"/>
          <w:sz w:val="16"/>
          <w:szCs w:val="16"/>
          <w:color w:val="auto"/>
        </w:rPr>
      </w:pPr>
    </w:p>
    <w:p>
      <w:pPr>
        <w:ind w:left="660" w:hanging="328"/>
        <w:spacing w:after="0" w:line="290"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class seeks long-term positive returns by employing a number of arbitrage and alternative investment strategies. The portfolio of instruments may include equities, debt securities, warrants, options, swaps, future contracts, forwards or other types of derivative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DEFERRED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Oil-Dri's deferred compensation plans permit directors and certain management employees to defer portions of their compensation and to earn interest on the deferred amounts. Participants have deferred $677,000 and $483,000 into these plans in fiscal years 2017 and 2016, respectively. We recorded $404,000 and $438,000 of interest expense associated with these plans in fiscal years 2017 and 2016, respectively. Payments to participants were $581,000 and $570,000 in fiscal years 2017 and 2016, respectively, and the total liability recorded for deferred compensation was $9,617,000 and $9,117,000 as of July 31, 2017 and 2016, respectively.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Oil-Dri Corporation of America Annual Incentive Plan provides certain executives with the opportunity to receive a deferred executive bonus award if certain financial goals are met. A total of $583,000 and $763,000 were awarded to certain executives for fiscal years 2017 and 2016, respectively. These awards will vest and accrue interest over a three-year period.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Both of the above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Oil-Dri Corporation of America Supplemental Executive Retirement Plan (“SERP”)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401(a)(17) of the Code. The SERP liability is actuarially determined at the end of each fiscal year using assumptions similar to those used for the Pension Plan, see Note 8 of the Notes to the Consolidated Financial Statements. The SERP liability was $2,082,000 and $1,968,000 as of July 31, 2017 and July 31, 2016, respectively. We recorded expense related to the SERP of $114,000 in fiscal year 2017, which was lower than the $535,000 in fiscal year 2016 due primarily to an increase in the discount rate. The SERP is unfunded and benefits will be funded when payments are made.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CONTINGENCIES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are party to various legal actions from time to time that are ordinary in nature and incidental to the operation of our business. While it is not possible at this time to determine with certainty the ultimate outcome of these or other lawsuits, we believe that none of the pending proceedings will have a material adverse effect on our business, financial condition, results of operations or cash flows. See Item 3 </w:t>
      </w:r>
      <w:r>
        <w:rPr>
          <w:rFonts w:ascii="Arial" w:cs="Arial" w:eastAsia="Arial" w:hAnsi="Arial"/>
          <w:sz w:val="18"/>
          <w:szCs w:val="18"/>
          <w:i w:val="1"/>
          <w:iCs w:val="1"/>
          <w:color w:val="auto"/>
        </w:rPr>
        <w:t>“</w:t>
      </w:r>
      <w:r>
        <w:rPr>
          <w:rFonts w:ascii="Arial" w:cs="Arial" w:eastAsia="Arial" w:hAnsi="Arial"/>
          <w:sz w:val="18"/>
          <w:szCs w:val="18"/>
          <w:color w:val="auto"/>
        </w:rPr>
        <w:t>Legal Proceedings</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 about specific legal matters related to our patents.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mining operations are conducted on property we lease or own. These leases generally provide us with the right to mine as long as we continue to pay a minimum monthly rental, which is typically applied against the per ton royalty when the property is mined. We also lease certain offices and production facilities. In addition, we may lease vehicles, railcars, mining property and equipment, warehouse space, data processing equipment, and office equipment. In most cases, we expect that, in the normal course of business, leases will be renewed or replaced by other leases.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8" w:right="239" w:bottom="1440" w:gutter="0" w:footer="0" w:header="0"/>
        </w:sectPr>
      </w:pPr>
    </w:p>
    <w:bookmarkStart w:id="63" w:name="page64"/>
    <w:bookmarkEnd w:id="63"/>
    <w:p>
      <w:pPr>
        <w:ind w:firstLine="648"/>
        <w:spacing w:after="0" w:line="277" w:lineRule="auto"/>
        <w:rPr>
          <w:sz w:val="20"/>
          <w:szCs w:val="20"/>
          <w:color w:val="auto"/>
        </w:rPr>
      </w:pPr>
      <w:r>
        <w:rPr>
          <w:rFonts w:ascii="Arial" w:cs="Arial" w:eastAsia="Arial" w:hAnsi="Arial"/>
          <w:sz w:val="18"/>
          <w:szCs w:val="18"/>
          <w:color w:val="auto"/>
        </w:rPr>
        <w:t>The following is a schedule by fiscal year of future minimum rent requirements under operating leases that have initial or remaining non-cancelable lease terms in excess of one year as of July 31, 2017 (in thousands):</w:t>
      </w:r>
    </w:p>
    <w:p>
      <w:pPr>
        <w:spacing w:after="0" w:line="104" w:lineRule="exact"/>
        <w:rPr>
          <w:sz w:val="20"/>
          <w:szCs w:val="20"/>
          <w:color w:val="auto"/>
        </w:rPr>
      </w:pPr>
    </w:p>
    <w:tbl>
      <w:tblPr>
        <w:tblLayout w:type="fixed"/>
        <w:tblInd w:w="3960" w:type="dxa"/>
        <w:tblCellMar>
          <w:top w:w="0" w:type="dxa"/>
          <w:left w:w="0" w:type="dxa"/>
          <w:bottom w:w="0" w:type="dxa"/>
          <w:right w:w="0" w:type="dxa"/>
        </w:tblCellMar>
      </w:tblPr>
      <w:tr>
        <w:trPr>
          <w:trHeight w:val="270"/>
        </w:trPr>
        <w:tc>
          <w:tcPr>
            <w:tcW w:w="1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2018</w:t>
            </w:r>
          </w:p>
        </w:tc>
        <w:tc>
          <w:tcPr>
            <w:tcW w:w="10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r>
      <w:tr>
        <w:trPr>
          <w:trHeight w:val="243"/>
        </w:trPr>
        <w:tc>
          <w:tcPr>
            <w:tcW w:w="1700" w:type="dxa"/>
            <w:vAlign w:val="bottom"/>
          </w:tcPr>
          <w:p>
            <w:pPr>
              <w:ind w:left="260"/>
              <w:spacing w:after="0"/>
              <w:rPr>
                <w:sz w:val="20"/>
                <w:szCs w:val="20"/>
                <w:color w:val="auto"/>
              </w:rPr>
            </w:pPr>
            <w:r>
              <w:rPr>
                <w:rFonts w:ascii="Arial" w:cs="Arial" w:eastAsia="Arial" w:hAnsi="Arial"/>
                <w:sz w:val="18"/>
                <w:szCs w:val="18"/>
                <w:color w:val="auto"/>
              </w:rPr>
              <w:t>2019</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1,634</w:t>
            </w:r>
          </w:p>
        </w:tc>
      </w:tr>
      <w:tr>
        <w:trPr>
          <w:trHeight w:val="27"/>
        </w:trPr>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r>
      <w:tr>
        <w:trPr>
          <w:trHeight w:val="243"/>
        </w:trPr>
        <w:tc>
          <w:tcPr>
            <w:tcW w:w="1700" w:type="dxa"/>
            <w:vAlign w:val="bottom"/>
          </w:tcPr>
          <w:p>
            <w:pPr>
              <w:ind w:left="260"/>
              <w:spacing w:after="0"/>
              <w:rPr>
                <w:sz w:val="20"/>
                <w:szCs w:val="20"/>
                <w:color w:val="auto"/>
              </w:rPr>
            </w:pPr>
            <w:r>
              <w:rPr>
                <w:rFonts w:ascii="Arial" w:cs="Arial" w:eastAsia="Arial" w:hAnsi="Arial"/>
                <w:sz w:val="18"/>
                <w:szCs w:val="18"/>
                <w:color w:val="auto"/>
              </w:rPr>
              <w:t>2021</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1,384</w:t>
            </w:r>
          </w:p>
        </w:tc>
      </w:tr>
      <w:tr>
        <w:trPr>
          <w:trHeight w:val="27"/>
        </w:trPr>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2022</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43"/>
        </w:trPr>
        <w:tc>
          <w:tcPr>
            <w:tcW w:w="1700" w:type="dxa"/>
            <w:vAlign w:val="bottom"/>
          </w:tcPr>
          <w:p>
            <w:pPr>
              <w:ind w:left="260"/>
              <w:spacing w:after="0"/>
              <w:rPr>
                <w:sz w:val="20"/>
                <w:szCs w:val="20"/>
                <w:color w:val="auto"/>
              </w:rPr>
            </w:pPr>
            <w:r>
              <w:rPr>
                <w:rFonts w:ascii="Arial" w:cs="Arial" w:eastAsia="Arial" w:hAnsi="Arial"/>
                <w:sz w:val="18"/>
                <w:szCs w:val="18"/>
                <w:color w:val="auto"/>
              </w:rPr>
              <w:t>Later years</w:t>
            </w: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8,564</w:t>
            </w: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schedule shows the composition of total rent expense by fiscal year for all operating leases, including those with terms of one month or less which were not renewed (in thousands):</w:t>
      </w:r>
    </w:p>
    <w:p>
      <w:pPr>
        <w:spacing w:after="0" w:line="112"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r>
      <w:tr>
        <w:trPr>
          <w:trHeight w:val="27"/>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320"/>
              <w:spacing w:after="0"/>
              <w:rPr>
                <w:sz w:val="20"/>
                <w:szCs w:val="20"/>
                <w:color w:val="auto"/>
              </w:rPr>
            </w:pPr>
            <w:r>
              <w:rPr>
                <w:rFonts w:ascii="Arial" w:cs="Arial" w:eastAsia="Arial" w:hAnsi="Arial"/>
                <w:sz w:val="18"/>
                <w:szCs w:val="18"/>
                <w:color w:val="auto"/>
              </w:rPr>
              <w:t>Vehicles and Railcars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1,431</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1,439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1,559</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Office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Warehouse facilities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379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Mining properties: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80"/>
              <w:spacing w:after="0"/>
              <w:rPr>
                <w:sz w:val="20"/>
                <w:szCs w:val="20"/>
                <w:color w:val="auto"/>
              </w:rPr>
            </w:pPr>
            <w:r>
              <w:rPr>
                <w:rFonts w:ascii="Arial" w:cs="Arial" w:eastAsia="Arial" w:hAnsi="Arial"/>
                <w:sz w:val="18"/>
                <w:szCs w:val="18"/>
                <w:color w:val="auto"/>
              </w:rPr>
              <w:t>Minimum</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Contingent (1)</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ind w:left="1560" w:hanging="255"/>
        <w:spacing w:after="0"/>
        <w:tabs>
          <w:tab w:leader="none" w:pos="15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Contingent mining royalty payments are determined based on the tons of raw clay 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5920" w:type="dxa"/>
            <w:vAlign w:val="bottom"/>
            <w:gridSpan w:val="5"/>
          </w:tcPr>
          <w:p>
            <w:pPr>
              <w:spacing w:after="0"/>
              <w:rPr>
                <w:sz w:val="20"/>
                <w:szCs w:val="20"/>
                <w:color w:val="auto"/>
              </w:rPr>
            </w:pPr>
            <w:r>
              <w:rPr>
                <w:rFonts w:ascii="Arial" w:cs="Arial" w:eastAsia="Arial" w:hAnsi="Arial"/>
                <w:sz w:val="18"/>
                <w:szCs w:val="18"/>
                <w:b w:val="1"/>
                <w:bCs w:val="1"/>
                <w:color w:val="auto"/>
              </w:rPr>
              <w:t>NOTE 12 – SELECTED QUARTERLY FINANCIAL DATA (UNAUDITED)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10100" w:type="dxa"/>
            <w:vAlign w:val="bottom"/>
            <w:gridSpan w:val="13"/>
          </w:tcPr>
          <w:p>
            <w:pPr>
              <w:ind w:left="660"/>
              <w:spacing w:after="0"/>
              <w:rPr>
                <w:sz w:val="20"/>
                <w:szCs w:val="20"/>
                <w:color w:val="auto"/>
              </w:rPr>
            </w:pPr>
            <w:r>
              <w:rPr>
                <w:rFonts w:ascii="Arial" w:cs="Arial" w:eastAsia="Arial" w:hAnsi="Arial"/>
                <w:sz w:val="18"/>
                <w:szCs w:val="18"/>
                <w:color w:val="auto"/>
                <w:w w:val="94"/>
              </w:rPr>
              <w:t>A summary of selected information for fiscal years 2017 and 2016 is as follows (in thousands, except for per share amounts):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ind w:left="100"/>
              <w:spacing w:after="0"/>
              <w:rPr>
                <w:sz w:val="20"/>
                <w:szCs w:val="20"/>
                <w:color w:val="auto"/>
              </w:rPr>
            </w:pPr>
            <w:r>
              <w:rPr>
                <w:rFonts w:ascii="Arial" w:cs="Arial" w:eastAsia="Arial" w:hAnsi="Arial"/>
                <w:sz w:val="18"/>
                <w:szCs w:val="18"/>
                <w:b w:val="1"/>
                <w:bCs w:val="1"/>
                <w:color w:val="auto"/>
              </w:rPr>
              <w:t>Fiscal Year 2017 Quarter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Fiscal 2017</w:t>
            </w: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66,612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65,174</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64,745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65,776</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262,307</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20,725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19,125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73,712</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4,250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3,211</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1,322</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10,792</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1.60</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Diluted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1.47</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0.2200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0.2200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0.2200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0.2300</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0.8900</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0.1650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0.1650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0.1730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0.6680</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32.55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31.35</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33.26</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33.61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594"/>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ind w:left="100"/>
              <w:spacing w:after="0"/>
              <w:rPr>
                <w:sz w:val="20"/>
                <w:szCs w:val="20"/>
                <w:color w:val="auto"/>
              </w:rPr>
            </w:pPr>
            <w:r>
              <w:rPr>
                <w:rFonts w:ascii="Arial" w:cs="Arial" w:eastAsia="Arial" w:hAnsi="Arial"/>
                <w:sz w:val="18"/>
                <w:szCs w:val="18"/>
                <w:b w:val="1"/>
                <w:bCs w:val="1"/>
                <w:color w:val="auto"/>
              </w:rPr>
              <w:t>Fiscal Year 2016 Quarter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Fiscal 2016</w:t>
            </w: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67,795</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65,367</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64,235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64,916</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262,313</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20,653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18,866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77,149</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5,423</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3,821</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5,261</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13,613</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0.78</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2.04</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Diluted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1.87</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0.2100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0.2100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0.2100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0.2200</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0.8500</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0.1575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0.1575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0.1575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0.1650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0.6375</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21.65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28.42</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32.24</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29.89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56" w:lineRule="exact"/>
        <w:rPr>
          <w:sz w:val="20"/>
          <w:szCs w:val="20"/>
          <w:color w:val="auto"/>
        </w:rPr>
      </w:pPr>
    </w:p>
    <w:p>
      <w:pPr>
        <w:ind w:firstLine="648"/>
        <w:spacing w:after="0" w:line="395" w:lineRule="auto"/>
        <w:rPr>
          <w:sz w:val="20"/>
          <w:szCs w:val="20"/>
          <w:color w:val="auto"/>
        </w:rPr>
      </w:pPr>
      <w:r>
        <w:rPr>
          <w:rFonts w:ascii="Arial" w:cs="Arial" w:eastAsia="Arial" w:hAnsi="Arial"/>
          <w:sz w:val="16"/>
          <w:szCs w:val="16"/>
          <w:color w:val="auto"/>
        </w:rPr>
        <w:t>Management has evaluated subsequent events through the date the financial statements were issued. Based on our evaluation no events have occurred that would require recognition in the Consolidated Financial Statements or disclosure in the Notes to the Consolidated Financial Statements.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NOTE 14 – RELATED PARTIES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One member of our Board of Directors is currently the President and Chief Executive Officer of a customer of ours. Total net sales to that customer, including sales to subsidiaries of that customer, were $395,000 and $434,000 for fiscal years 2017 and 2016, respectively. There were no outstanding accounts receivable from that customer, and its subsidiaries, as of July 31, 2017. Outstanding amounts due from that customer, and its subsidiaries, were $28,000 as of July 31, 2016.</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One member of our Board of Directors is currently the President and Chief Executive Officer of a vendor of ours. Total payments to this vendor for fees and cost reimbursements were $321,000 and $207,000 for fiscal years 2017 and 2016, respectively. Outstanding accounts payable to that vendor were $19,000 as of July 31, 2017. There were no outstanding amounts due to that vendor as of July 31, 2016.</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1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framework) issued by the Committee Sponsoring Organizations of the Treadway Commission (COSO). Based on our assessment,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as of July 31, 2017.</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Our internal controls over financial reporting as of July 31, 2017 have been audited by Grant Thornton LLP, an independent registered public accounting firm, as stated in their report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We have audited the accompanying consolidated balance sheets of Oil- Dri Corporation of America (a Delaware corporation) and subsidiaries (collectively, the “Company”) as of July 31, 2017 and 2016, and the related consolidated statements of operations, comprehensive income, stockholders’ equity, and cash flows for each of the three years in the period ended July 31, 2017. Our audits of the basic consolidated financial statements included the financial statement schedules listed in the index appearing under Item 15(a)(2).We also have audited the Company’s internal control over financial reporting as of July 31, 2017, based on criteria established in the 2013 </w:t>
      </w:r>
      <w:r>
        <w:rPr>
          <w:rFonts w:ascii="Arial" w:cs="Arial" w:eastAsia="Arial" w:hAnsi="Arial"/>
          <w:sz w:val="19"/>
          <w:szCs w:val="19"/>
          <w:i w:val="1"/>
          <w:iCs w:val="1"/>
          <w:color w:val="auto"/>
        </w:rPr>
        <w:t>Internal Control-Integrated Framework</w:t>
      </w:r>
      <w:r>
        <w:rPr>
          <w:rFonts w:ascii="Arial" w:cs="Arial" w:eastAsia="Arial" w:hAnsi="Arial"/>
          <w:sz w:val="19"/>
          <w:szCs w:val="19"/>
          <w:color w:val="auto"/>
        </w:rPr>
        <w:t xml:space="preserve">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Oil-Dri Corporation of America and subsidiaries as of July 31, 2017 and 2016, and the results of their operations and their cash flows for each of the three years in the period ended July 31, 2017 in conformity with accounting principles generally accepted in the United States of America. Also in our opinion, the related financial statement schedule, when considered in relation to the basic consolidated financial statements taken as a whole, present fairly, in all material respects, the information set forth therein. Also in our opinion,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0" w:right="239" w:bottom="1440" w:gutter="0" w:footer="0" w:header="0"/>
        </w:sectPr>
      </w:pPr>
    </w:p>
    <w:bookmarkStart w:id="68" w:name="page69"/>
    <w:bookmarkEnd w:id="68"/>
    <w:p>
      <w:pPr>
        <w:spacing w:after="0" w:line="260" w:lineRule="auto"/>
        <w:rPr>
          <w:sz w:val="20"/>
          <w:szCs w:val="20"/>
          <w:color w:val="auto"/>
        </w:rPr>
      </w:pPr>
      <w:r>
        <w:rPr>
          <w:rFonts w:ascii="Arial" w:cs="Arial" w:eastAsia="Arial" w:hAnsi="Arial"/>
          <w:sz w:val="20"/>
          <w:szCs w:val="20"/>
          <w:color w:val="auto"/>
        </w:rPr>
        <w:t xml:space="preserve">maintained, in all material respects, effective internal control over financial reporting as of July 31, 2017, based on criteria established in the 2013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COSO.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2017</w:t>
      </w:r>
    </w:p>
    <w:p>
      <w:pPr>
        <w:spacing w:after="0" w:line="200" w:lineRule="exact"/>
        <w:rPr>
          <w:sz w:val="20"/>
          <w:szCs w:val="20"/>
          <w:color w:val="auto"/>
        </w:rPr>
      </w:pPr>
    </w:p>
    <w:p>
      <w:pPr>
        <w:spacing w:after="0" w:line="2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240" w:top="366" w:right="5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Report on Internal Control Over Financial Reporting is set forth in Part II, Item 8 of this Annual Report on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0"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(except as set forth below) is contained in Oil-Dri’s Proxy Statement for its 2017 annual meeting of stockholders under the captions “1. Election of Directors,” “Executive Officers,” “Section 16(a) Beneficial Ownership Reporting Compliance,” “Director Nominations,” “Audit Committee” and “Corporate Governance Matters” and is incorporated herein by this reference.</w:t>
      </w:r>
    </w:p>
    <w:p>
      <w:pPr>
        <w:spacing w:after="0" w:line="20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and its compensation committee does not have a charter.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contained in Oil-Dri</w:t>
      </w:r>
      <w:r>
        <w:rPr>
          <w:rFonts w:ascii="Arial" w:cs="Arial" w:eastAsia="Arial" w:hAnsi="Arial"/>
          <w:sz w:val="18"/>
          <w:szCs w:val="18"/>
          <w:i w:val="1"/>
          <w:iCs w:val="1"/>
          <w:color w:val="auto"/>
        </w:rPr>
        <w:t>’</w:t>
      </w:r>
      <w:r>
        <w:rPr>
          <w:rFonts w:ascii="Arial" w:cs="Arial" w:eastAsia="Arial" w:hAnsi="Arial"/>
          <w:sz w:val="18"/>
          <w:szCs w:val="18"/>
          <w:color w:val="auto"/>
        </w:rPr>
        <w:t>s Proxy Statement for its 2017 annual meeting of stockholders under the captions “Executive Compensation,” “Report of the Compensation Committee of the Board of Directors,” “Director Compensation,” “Compensation Committee” and “Compensation Committee Interlocks and Insider Participation” and is incorporated herein by reference.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93" w:lineRule="exact"/>
        <w:rPr>
          <w:sz w:val="20"/>
          <w:szCs w:val="20"/>
          <w:color w:val="auto"/>
        </w:rPr>
      </w:pPr>
    </w:p>
    <w:p>
      <w:pPr>
        <w:jc w:val="both"/>
        <w:ind w:right="20" w:firstLine="648"/>
        <w:spacing w:after="0" w:line="357" w:lineRule="auto"/>
        <w:rPr>
          <w:sz w:val="20"/>
          <w:szCs w:val="20"/>
          <w:color w:val="auto"/>
        </w:rPr>
      </w:pPr>
      <w:r>
        <w:rPr>
          <w:rFonts w:ascii="Arial" w:cs="Arial" w:eastAsia="Arial" w:hAnsi="Arial"/>
          <w:sz w:val="17"/>
          <w:szCs w:val="17"/>
          <w:color w:val="auto"/>
        </w:rPr>
        <w:t>The information required by this Item is contained in Oil-Dri’s Proxy Statement for its 2017 annual meeting of stockholders under the captions “Principal Stockholders,” “Security Ownership of Management” and “Equity Compensation Plans” and is incorporated 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2017 annual meeting of stockholders under the captions “Certain Relationships and Related Party Transactions” and “Director Independence”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2017 annual meeting of stockholders under the caption “Auditor Fees”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0" w:right="239" w:bottom="1440" w:gutter="0" w:footer="0" w:header="0"/>
        </w:sectPr>
      </w:pPr>
    </w:p>
    <w:bookmarkStart w:id="71" w:name="page72"/>
    <w:bookmarkEnd w:id="71"/>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391"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July 31, 2017 and July 31, 2016.</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Operations for the fiscal years ended July 31, 2017, July 31, 2016 and July 31, 2015.</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Comprehensive Income for the fiscal years ended July 31, 2017, July 31, 2016 and July 31, 2015.</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Stockholders’ Equity for the fiscal years ended July 31, 2017, July 31, 2016 and July 31, 2015.</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fiscal years ended July 31, 2017, July 31, 2016 and July 31, 2015.</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the Consolidated Financial Statements.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333"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The following financial statement schedule is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to Financial Statements, as follows: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II - Valuation and Qualifying Accounts, years ended July 31, 2017, July 31, 2016 and July 31, 2015.</w:t>
      </w:r>
    </w:p>
    <w:p>
      <w:pPr>
        <w:spacing w:after="0" w:line="333" w:lineRule="exact"/>
        <w:rPr>
          <w:sz w:val="20"/>
          <w:szCs w:val="20"/>
          <w:color w:val="auto"/>
        </w:rPr>
      </w:pPr>
    </w:p>
    <w:p>
      <w:pPr>
        <w:ind w:left="1300" w:right="500"/>
        <w:spacing w:after="0" w:line="277" w:lineRule="auto"/>
        <w:rPr>
          <w:sz w:val="20"/>
          <w:szCs w:val="20"/>
          <w:color w:val="auto"/>
        </w:rPr>
      </w:pPr>
      <w:r>
        <w:rPr>
          <w:rFonts w:ascii="Arial" w:cs="Arial" w:eastAsia="Arial" w:hAnsi="Arial"/>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400"/>
          </w:cols>
          <w:pgMar w:left="240" w:top="580" w:right="259" w:bottom="1440" w:gutter="0" w:footer="0" w:header="0"/>
        </w:sectPr>
      </w:pPr>
    </w:p>
    <w:p>
      <w:pPr>
        <w:spacing w:after="0" w:line="279"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(a)(3)</w:t>
      </w:r>
      <w:r>
        <w:rPr>
          <w:sz w:val="20"/>
          <w:szCs w:val="20"/>
          <w:color w:val="auto"/>
        </w:rPr>
        <w:tab/>
      </w:r>
      <w:r>
        <w:rPr>
          <w:rFonts w:ascii="Arial" w:cs="Arial" w:eastAsia="Arial" w:hAnsi="Arial"/>
          <w:sz w:val="16"/>
          <w:szCs w:val="16"/>
          <w:color w:val="auto"/>
        </w:rPr>
        <w:t>The following documents are exhibits to this Report:</w:t>
      </w: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340"/>
        <w:spacing w:after="0"/>
        <w:tabs>
          <w:tab w:leader="none" w:pos="3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of Oil-Dri,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Incorporated by reference to Exhibit 4.1 to Oil-Dri’s Registration</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Statement on Form S-8 (Registration No. 333-57625), filed on June</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24, 1998.</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5600" w:space="720"/>
            <w:col w:w="5080"/>
          </w:cols>
          <w:pgMar w:left="240" w:top="580" w:right="259" w:bottom="1440" w:gutter="0" w:footer="0" w:header="0"/>
          <w:type w:val="continuous"/>
        </w:sectPr>
      </w:pPr>
    </w:p>
    <w:p>
      <w:pPr>
        <w:spacing w:after="0" w:line="89" w:lineRule="exact"/>
        <w:rPr>
          <w:rFonts w:ascii="Arial" w:cs="Arial" w:eastAsia="Arial" w:hAnsi="Arial"/>
          <w:sz w:val="18"/>
          <w:szCs w:val="18"/>
          <w:u w:val="single" w:color="auto"/>
          <w:color w:val="0000FF"/>
        </w:rPr>
      </w:pPr>
    </w:p>
    <w:p>
      <w:pPr>
        <w:ind w:left="1300" w:hanging="949"/>
        <w:spacing w:after="0" w:line="277"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Oil-Dri Corporation of America, as Amended and Restated on December 5, 2006.</w:t>
      </w:r>
    </w:p>
    <w:p>
      <w:pPr>
        <w:spacing w:after="0" w:line="279" w:lineRule="exact"/>
        <w:rPr>
          <w:rFonts w:ascii="Arial" w:cs="Arial" w:eastAsia="Arial" w:hAnsi="Arial"/>
          <w:sz w:val="18"/>
          <w:szCs w:val="18"/>
          <w:u w:val="single" w:color="auto"/>
          <w:color w:val="0000FF"/>
        </w:rPr>
      </w:pPr>
    </w:p>
    <w:p>
      <w:pPr>
        <w:jc w:val="both"/>
        <w:ind w:left="1300" w:hanging="994"/>
        <w:spacing w:after="0" w:line="275"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Memorandum of Agreement #1450 “Fresh Step“</w:t>
      </w:r>
      <w:r>
        <w:rPr>
          <w:rFonts w:ascii="Arial" w:cs="Arial" w:eastAsia="Arial" w:hAnsi="Arial"/>
          <w:sz w:val="18"/>
          <w:szCs w:val="18"/>
          <w:color w:val="auto"/>
        </w:rPr>
        <w:t>®</w:t>
      </w:r>
      <w:r>
        <w:rPr>
          <w:rFonts w:ascii="Arial" w:cs="Arial" w:eastAsia="Arial" w:hAnsi="Arial"/>
          <w:sz w:val="17"/>
          <w:szCs w:val="17"/>
          <w:color w:val="auto"/>
        </w:rPr>
        <w:t xml:space="preserve"> dated as of March 12, 2001 between A&amp;M Products Manufacturing Company and Oil-Dri (confidential treatment of certain portions of this exhibit has been granted).</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69" w:lineRule="exact"/>
        <w:rPr>
          <w:rFonts w:ascii="Arial" w:cs="Arial" w:eastAsia="Arial" w:hAnsi="Arial"/>
          <w:sz w:val="18"/>
          <w:szCs w:val="18"/>
          <w:u w:val="single" w:color="auto"/>
          <w:color w:val="0000FF"/>
        </w:rPr>
      </w:pPr>
    </w:p>
    <w:p>
      <w:pPr>
        <w:ind w:right="20"/>
        <w:spacing w:after="0" w:line="308" w:lineRule="auto"/>
        <w:rPr>
          <w:rFonts w:ascii="Arial" w:cs="Arial" w:eastAsia="Arial" w:hAnsi="Arial"/>
          <w:sz w:val="17"/>
          <w:szCs w:val="17"/>
          <w:u w:val="single" w:color="auto"/>
          <w:color w:val="0000FF"/>
        </w:rPr>
      </w:pPr>
      <w:hyperlink r:id="rId20">
        <w:r>
          <w:rPr>
            <w:rFonts w:ascii="Arial" w:cs="Arial" w:eastAsia="Arial" w:hAnsi="Arial"/>
            <w:sz w:val="17"/>
            <w:szCs w:val="17"/>
            <w:u w:val="single" w:color="auto"/>
            <w:color w:val="0000FF"/>
          </w:rPr>
          <w:t>Incorporated by reference to Exhibit 3.1 to Oil-Dri’s (file No. 001-</w:t>
        </w:r>
      </w:hyperlink>
      <w:hyperlink r:id="rId20">
        <w:r>
          <w:rPr>
            <w:rFonts w:ascii="Arial" w:cs="Arial" w:eastAsia="Arial" w:hAnsi="Arial"/>
            <w:sz w:val="17"/>
            <w:szCs w:val="17"/>
            <w:u w:val="single" w:color="auto"/>
            <w:color w:val="0000FF"/>
          </w:rPr>
          <w:t>12622) Current Report on Form 8-K filed on December 11, 2006.</w:t>
        </w:r>
      </w:hyperlink>
    </w:p>
    <w:p>
      <w:pPr>
        <w:spacing w:after="0" w:line="255" w:lineRule="exact"/>
        <w:rPr>
          <w:sz w:val="20"/>
          <w:szCs w:val="20"/>
          <w:color w:val="auto"/>
        </w:rPr>
      </w:pPr>
    </w:p>
    <w:p>
      <w:pPr>
        <w:spacing w:after="0" w:line="277" w:lineRule="auto"/>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Incorporated by reference to Exhibit 10(s) to Oil-Dri’s (File No. 001-</w:t>
        </w:r>
      </w:hyperlink>
      <w:hyperlink r:id="rId21">
        <w:r>
          <w:rPr>
            <w:rFonts w:ascii="Arial" w:cs="Arial" w:eastAsia="Arial" w:hAnsi="Arial"/>
            <w:sz w:val="18"/>
            <w:szCs w:val="18"/>
            <w:u w:val="single" w:color="auto"/>
            <w:color w:val="0000FF"/>
          </w:rPr>
          <w:t>12622) Current Report on Form 8-K filed on May 1, 2001.</w:t>
        </w:r>
      </w:hyperlink>
    </w:p>
    <w:p>
      <w:pPr>
        <w:spacing w:after="0" w:line="631" w:lineRule="exact"/>
        <w:rPr>
          <w:sz w:val="20"/>
          <w:szCs w:val="20"/>
          <w:color w:val="auto"/>
        </w:rPr>
      </w:pPr>
    </w:p>
    <w:p>
      <w:pPr>
        <w:sectPr>
          <w:pgSz w:w="11900" w:h="16838" w:orient="portrait"/>
          <w:cols w:equalWidth="0" w:num="2">
            <w:col w:w="5920" w:space="400"/>
            <w:col w:w="5080"/>
          </w:cols>
          <w:pgMar w:left="240" w:top="580" w:right="259" w:bottom="1440" w:gutter="0" w:footer="0" w:header="0"/>
          <w:type w:val="continuous"/>
        </w:sectPr>
      </w:pPr>
    </w:p>
    <w:p>
      <w:pPr>
        <w:spacing w:after="0" w:line="93" w:lineRule="exact"/>
        <w:rPr>
          <w:sz w:val="20"/>
          <w:szCs w:val="20"/>
          <w:color w:val="auto"/>
        </w:rPr>
      </w:pPr>
    </w:p>
    <w:p>
      <w:pPr>
        <w:jc w:val="both"/>
        <w:ind w:left="1300" w:hanging="994"/>
        <w:spacing w:after="0" w:line="265"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dated as of December 13, 2002, to Memorandum of Agreement #1450 “Fresh Step”</w:t>
      </w:r>
      <w:r>
        <w:rPr>
          <w:rFonts w:ascii="Arial" w:cs="Arial" w:eastAsia="Arial" w:hAnsi="Arial"/>
          <w:sz w:val="19"/>
          <w:szCs w:val="19"/>
          <w:color w:val="auto"/>
        </w:rPr>
        <w:t>®</w:t>
      </w:r>
      <w:r>
        <w:rPr>
          <w:rFonts w:ascii="Arial" w:cs="Arial" w:eastAsia="Arial" w:hAnsi="Arial"/>
          <w:sz w:val="18"/>
          <w:szCs w:val="18"/>
          <w:color w:val="auto"/>
        </w:rPr>
        <w:t xml:space="preserve"> dated as of March 12, 2001.</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Incorporated by reference to Exhibit 10.2 to Oil-Dri’s (File No. 001-</w:t>
        </w:r>
      </w:hyperlink>
      <w:hyperlink r:id="rId22">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31, 2007.</w:t>
        </w:r>
      </w:hyperlink>
    </w:p>
    <w:p>
      <w:pPr>
        <w:spacing w:after="0" w:line="215" w:lineRule="exact"/>
        <w:rPr>
          <w:rFonts w:ascii="Arial" w:cs="Arial" w:eastAsia="Arial" w:hAnsi="Arial"/>
          <w:sz w:val="18"/>
          <w:szCs w:val="18"/>
          <w:u w:val="single" w:color="auto"/>
          <w:color w:val="0000FF"/>
        </w:rPr>
      </w:pPr>
    </w:p>
    <w:p>
      <w:pPr>
        <w:sectPr>
          <w:pgSz w:w="11900" w:h="16838" w:orient="portrait"/>
          <w:cols w:equalWidth="0" w:num="2">
            <w:col w:w="5920" w:space="400"/>
            <w:col w:w="5080"/>
          </w:cols>
          <w:pgMar w:left="240" w:top="580" w:right="259" w:bottom="1440" w:gutter="0" w:footer="0" w:header="0"/>
          <w:type w:val="continuous"/>
        </w:sectPr>
      </w:pPr>
    </w:p>
    <w:p>
      <w:pPr>
        <w:spacing w:after="0" w:line="34"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00"/>
          </w:cols>
          <w:pgMar w:left="240" w:top="580" w:right="25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3"/>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Second  Amendment,  dated  as  of  October  15,  2007,  to</w:t>
            </w:r>
          </w:p>
        </w:tc>
      </w:tr>
      <w:tr>
        <w:trPr>
          <w:trHeight w:val="219"/>
        </w:trPr>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Memorandum of Agreement #1450 “Fresh Step”</w:t>
            </w:r>
            <w:r>
              <w:rPr>
                <w:rFonts w:ascii="Arial" w:cs="Arial" w:eastAsia="Arial" w:hAnsi="Arial"/>
                <w:sz w:val="19"/>
                <w:szCs w:val="19"/>
                <w:color w:val="auto"/>
                <w:w w:val="94"/>
              </w:rPr>
              <w:t>®</w:t>
            </w:r>
            <w:r>
              <w:rPr>
                <w:rFonts w:ascii="Arial" w:cs="Arial" w:eastAsia="Arial" w:hAnsi="Arial"/>
                <w:sz w:val="18"/>
                <w:szCs w:val="18"/>
                <w:color w:val="auto"/>
                <w:w w:val="94"/>
              </w:rPr>
              <w:t xml:space="preserve"> dated as of</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7"/>
              </w:rPr>
              <w:t>March 12, 2001 (confidential treatment of certain portions of</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this exhibit has been granted).</w:t>
            </w:r>
          </w:p>
        </w:tc>
      </w:tr>
      <w:tr>
        <w:trPr>
          <w:trHeight w:val="564"/>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Third Amendment, dated as of May 27, 2016, to Memorandum</w:t>
            </w:r>
          </w:p>
        </w:tc>
      </w:tr>
      <w:tr>
        <w:trPr>
          <w:trHeight w:val="219"/>
        </w:trPr>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of Agreement #1450 “Fresh Step”</w:t>
            </w:r>
            <w:r>
              <w:rPr>
                <w:rFonts w:ascii="Arial" w:cs="Arial" w:eastAsia="Arial" w:hAnsi="Arial"/>
                <w:sz w:val="19"/>
                <w:szCs w:val="19"/>
                <w:color w:val="auto"/>
              </w:rPr>
              <w:t>®</w:t>
            </w:r>
            <w:r>
              <w:rPr>
                <w:rFonts w:ascii="Arial" w:cs="Arial" w:eastAsia="Arial" w:hAnsi="Arial"/>
                <w:sz w:val="18"/>
                <w:szCs w:val="18"/>
                <w:color w:val="auto"/>
              </w:rPr>
              <w:t xml:space="preserve"> dated as of March 12,</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2001 (confidential treatment of certain portions of this exhibit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have been requested).</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9"/>
              </w:rPr>
              <w:t>Exclusive Supply Agreement dated May 19, 1999 between</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Church &amp; Dwight Co., Inc. and Oil-Dri (confidential treatment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of certain portions of this exhibit has been granted).</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1"/>
              </w:rPr>
              <w:t>$15,000,000 Credit Agreement, dated January 27, 2006 among</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the Company, certain subsidiaries of the Company and Harris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N.A.</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dated as of December 19, 2008 to Credit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Second Amendment, dated as of December 21, 2011 to Credit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Third  Amendment,  dated  as  of  June  21,  2012  to  Credit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Fourth Amendment, dated as of December 4, 2014 to Credit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 dated as of January 27, 2006.</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$18,500,000 Note Agreement dated as of November 12, 2010</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among  Oil-Dri  Corporation  of  America,  The  Prudential</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Insurance  Company  of  America,  Prudential  Retirement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Insurance and Annuity Company, Forethought Life Insurance</w:t>
            </w:r>
          </w:p>
        </w:tc>
      </w:tr>
    </w:tbl>
    <w:p>
      <w:pPr>
        <w:ind w:left="1300" w:right="40"/>
        <w:spacing w:after="0" w:line="290" w:lineRule="auto"/>
        <w:rPr>
          <w:sz w:val="20"/>
          <w:szCs w:val="20"/>
          <w:color w:val="auto"/>
        </w:rPr>
      </w:pPr>
      <w:r>
        <w:rPr>
          <w:rFonts w:ascii="Arial" w:cs="Arial" w:eastAsia="Arial" w:hAnsi="Arial"/>
          <w:sz w:val="17"/>
          <w:szCs w:val="17"/>
          <w:color w:val="auto"/>
        </w:rPr>
        <w:t>Company, Physicians Mutual Insurance Company and BCBSM, Inc. dba Blue Cross and Blue Shield of Minnesota.</w:t>
      </w:r>
    </w:p>
    <w:p>
      <w:pPr>
        <w:spacing w:after="0" w:line="200" w:lineRule="exact"/>
        <w:rPr>
          <w:sz w:val="20"/>
          <w:szCs w:val="20"/>
          <w:color w:val="auto"/>
        </w:rPr>
      </w:pP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Incorporated by reference to Exhibit 10.1 to Oil-Dri’s (File No. 001-</w:t>
        </w:r>
      </w:hyperlink>
      <w:hyperlink r:id="rId24">
        <w:r>
          <w:rPr>
            <w:rFonts w:ascii="Arial" w:cs="Arial" w:eastAsia="Arial" w:hAnsi="Arial"/>
            <w:sz w:val="18"/>
            <w:szCs w:val="18"/>
            <w:u w:val="single" w:color="auto"/>
            <w:color w:val="0000FF"/>
          </w:rPr>
          <w:t>12622) Quarterly Report on Form 10-Q for the quarter ended October</w:t>
        </w:r>
      </w:hyperlink>
      <w:r>
        <w:rPr>
          <w:rFonts w:ascii="Arial" w:cs="Arial" w:eastAsia="Arial" w:hAnsi="Arial"/>
          <w:sz w:val="18"/>
          <w:szCs w:val="18"/>
          <w:u w:val="single" w:color="auto"/>
          <w:color w:val="0000FF"/>
        </w:rPr>
        <w:t xml:space="preserve"> </w:t>
      </w:r>
      <w:hyperlink r:id="rId24">
        <w:r>
          <w:rPr>
            <w:rFonts w:ascii="Arial" w:cs="Arial" w:eastAsia="Arial" w:hAnsi="Arial"/>
            <w:sz w:val="18"/>
            <w:szCs w:val="18"/>
            <w:u w:val="single" w:color="auto"/>
            <w:color w:val="0000FF"/>
          </w:rPr>
          <w:t>31, 2007.</w:t>
        </w:r>
      </w:hyperlink>
    </w:p>
    <w:p>
      <w:pPr>
        <w:spacing w:after="0" w:line="200" w:lineRule="exact"/>
        <w:rPr>
          <w:rFonts w:ascii="Arial" w:cs="Arial" w:eastAsia="Arial" w:hAnsi="Arial"/>
          <w:sz w:val="18"/>
          <w:szCs w:val="18"/>
          <w:u w:val="single" w:color="auto"/>
          <w:color w:val="0000FF"/>
        </w:rPr>
      </w:pPr>
    </w:p>
    <w:p>
      <w:pPr>
        <w:spacing w:after="0" w:line="346"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Incorporated by reference to Exhibit 10.4 to Oil-Dri’s (File No. 001-</w:t>
        </w:r>
      </w:hyperlink>
      <w:hyperlink r:id="rId25">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31, 2016.</w:t>
        </w:r>
      </w:hyperlink>
    </w:p>
    <w:p>
      <w:pPr>
        <w:spacing w:after="0" w:line="200" w:lineRule="exact"/>
        <w:rPr>
          <w:rFonts w:ascii="Arial" w:cs="Arial" w:eastAsia="Arial" w:hAnsi="Arial"/>
          <w:sz w:val="18"/>
          <w:szCs w:val="18"/>
          <w:u w:val="single" w:color="auto"/>
          <w:color w:val="0000FF"/>
        </w:rPr>
      </w:pPr>
    </w:p>
    <w:p>
      <w:pPr>
        <w:spacing w:after="0" w:line="346"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Incorporated by reference to Exhibit (10)(r) to Oil-Dri’s (File No.</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001-12622) Annual Report on Form 10-K for the fiscal year ended</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July 31, 1999.</w:t>
        </w:r>
      </w:hyperlink>
    </w:p>
    <w:p>
      <w:pPr>
        <w:spacing w:after="0" w:line="289"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27">
        <w:r>
          <w:rPr>
            <w:rFonts w:ascii="Arial" w:cs="Arial" w:eastAsia="Arial" w:hAnsi="Arial"/>
            <w:sz w:val="17"/>
            <w:szCs w:val="17"/>
            <w:u w:val="single" w:color="auto"/>
            <w:color w:val="0000FF"/>
          </w:rPr>
          <w:t>Incorporated by reference to Exhibit 10.1 to Oil-Dri’s (File No. 001-</w:t>
        </w:r>
      </w:hyperlink>
      <w:hyperlink r:id="rId27">
        <w:r>
          <w:rPr>
            <w:rFonts w:ascii="Arial" w:cs="Arial" w:eastAsia="Arial" w:hAnsi="Arial"/>
            <w:sz w:val="17"/>
            <w:szCs w:val="17"/>
            <w:u w:val="single" w:color="auto"/>
            <w:color w:val="0000FF"/>
          </w:rPr>
          <w:t>12622) Current Report on Form 8-K filed on February 1, 2006.</w:t>
        </w:r>
      </w:hyperlink>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Incorporated by reference to Exhibit 10.1 to Oil-Dri’s (File No. 001-</w:t>
        </w:r>
      </w:hyperlink>
      <w:hyperlink r:id="rId28">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31, 2009.</w:t>
        </w:r>
      </w:hyperlink>
    </w:p>
    <w:p>
      <w:pPr>
        <w:spacing w:after="0" w:line="289"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29">
        <w:r>
          <w:rPr>
            <w:rFonts w:ascii="Arial" w:cs="Arial" w:eastAsia="Arial" w:hAnsi="Arial"/>
            <w:sz w:val="17"/>
            <w:szCs w:val="17"/>
            <w:u w:val="single" w:color="auto"/>
            <w:color w:val="0000FF"/>
          </w:rPr>
          <w:t>Incorporated by reference to Exhibit 10 to Oil-Dri’s (File No. 001-</w:t>
        </w:r>
      </w:hyperlink>
      <w:hyperlink r:id="rId29">
        <w:r>
          <w:rPr>
            <w:rFonts w:ascii="Arial" w:cs="Arial" w:eastAsia="Arial" w:hAnsi="Arial"/>
            <w:sz w:val="17"/>
            <w:szCs w:val="17"/>
            <w:u w:val="single" w:color="auto"/>
            <w:color w:val="0000FF"/>
          </w:rPr>
          <w:t>12622) Current Report on Form 8-K filed on December 28, 2011.</w:t>
        </w:r>
      </w:hyperlink>
    </w:p>
    <w:p>
      <w:pPr>
        <w:spacing w:after="0" w:line="255" w:lineRule="exact"/>
        <w:rPr>
          <w:sz w:val="20"/>
          <w:szCs w:val="20"/>
          <w:color w:val="auto"/>
        </w:rPr>
      </w:pPr>
    </w:p>
    <w:p>
      <w:pPr>
        <w:jc w:val="both"/>
        <w:ind w:right="20"/>
        <w:spacing w:after="0" w:line="264" w:lineRule="auto"/>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Incorporated by reference to Exhibit 10.12 to Oil-Dri’s (File No. 001-</w:t>
        </w:r>
      </w:hyperlink>
      <w:hyperlink r:id="rId30">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31, 2012.</w:t>
        </w:r>
      </w:hyperlink>
    </w:p>
    <w:p>
      <w:pPr>
        <w:spacing w:after="0" w:line="316"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Incorporated by reference to Exhibit 10.1 to Oil-Dri’s (File No. 001-</w:t>
        </w:r>
      </w:hyperlink>
      <w:hyperlink r:id="rId31">
        <w:r>
          <w:rPr>
            <w:rFonts w:ascii="Arial" w:cs="Arial" w:eastAsia="Arial" w:hAnsi="Arial"/>
            <w:sz w:val="18"/>
            <w:szCs w:val="18"/>
            <w:u w:val="single" w:color="auto"/>
            <w:color w:val="0000FF"/>
          </w:rPr>
          <w:t>12622) Quarterly Report on Form 10-Q for the quarter ended October</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31, 2014.</w:t>
        </w:r>
      </w:hyperlink>
    </w:p>
    <w:p>
      <w:pPr>
        <w:spacing w:after="0" w:line="289"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32">
        <w:r>
          <w:rPr>
            <w:rFonts w:ascii="Arial" w:cs="Arial" w:eastAsia="Arial" w:hAnsi="Arial"/>
            <w:sz w:val="17"/>
            <w:szCs w:val="17"/>
            <w:u w:val="single" w:color="auto"/>
            <w:color w:val="0000FF"/>
          </w:rPr>
          <w:t>Incorporated by reference to Exhibit 10.1 to Oil-Dri’s (File No. 001-</w:t>
        </w:r>
      </w:hyperlink>
      <w:hyperlink r:id="rId32">
        <w:r>
          <w:rPr>
            <w:rFonts w:ascii="Arial" w:cs="Arial" w:eastAsia="Arial" w:hAnsi="Arial"/>
            <w:sz w:val="17"/>
            <w:szCs w:val="17"/>
            <w:u w:val="single" w:color="auto"/>
            <w:color w:val="0000FF"/>
          </w:rPr>
          <w:t>12622) Current Report on Form 8-K filed on November 16, 2010.</w:t>
        </w:r>
      </w:hyperlink>
    </w:p>
    <w:p>
      <w:pPr>
        <w:sectPr>
          <w:pgSz w:w="11900" w:h="16838" w:orient="portrait"/>
          <w:cols w:equalWidth="0" w:num="2">
            <w:col w:w="5960" w:space="360"/>
            <w:col w:w="5080"/>
          </w:cols>
          <w:pgMar w:left="240" w:top="530" w:right="2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Description  of  1987  Executive  Deferred  Compensation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Program.*</w:t>
            </w: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Salary Continuation Agreement dated August 1, l989 between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Richard M. Jaffee and Oil-Dri (“1989 Agreement”).*</w:t>
            </w: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1"/>
              </w:rPr>
              <w:t>Extension and Amendment, dated October 9, 1998,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Second Amendment, effective October 31, 2000,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Third Amendment, dated as of January 31, 2006,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Fourth Amendment, dated as of October 14, 2010,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Oil-Dri Corporation of America Deferred Compensation Plan,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as amended and restated effective April 1, 2003.*</w:t>
            </w: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effective as of January 1, 2007,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Corporation  of  America  Deferred  Compensation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2"/>
              </w:rPr>
              <w:t>Second Amendment, effective as of January 1, 2008,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Corporation  of  America  Deferred  Compensation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r>
      <w:tr>
        <w:trPr>
          <w:trHeight w:val="540"/>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Supplemental Executive Retirement Plan dated April 1, 2003.*</w:t>
            </w:r>
          </w:p>
        </w:tc>
      </w:tr>
      <w:tr>
        <w:trPr>
          <w:trHeight w:val="95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Oil-Dri Corporation of America Annual Incentive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January 1, 2008).*</w:t>
            </w:r>
          </w:p>
        </w:tc>
      </w:tr>
      <w:tr>
        <w:trPr>
          <w:trHeight w:val="702"/>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tcPr>
          <w:p>
            <w:pPr>
              <w:ind w:left="4340"/>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(10)(f) to Oil-Dri’s (File No. 001-12622) Annual Report on Form 10-K for the fiscal year ended July 31, 1988.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(10)(g) to Oil-Dri’s (File No. 001-12622) Annual Report on Form 10-K for the fiscal year ended July 31, 1989.</w:t>
      </w:r>
    </w:p>
    <w:p>
      <w:pPr>
        <w:spacing w:after="0" w:line="316" w:lineRule="exact"/>
        <w:rPr>
          <w:sz w:val="20"/>
          <w:szCs w:val="20"/>
          <w:color w:val="auto"/>
        </w:rPr>
      </w:pPr>
    </w:p>
    <w:p>
      <w:pPr>
        <w:jc w:val="both"/>
        <w:ind w:right="20"/>
        <w:spacing w:after="0" w:line="264" w:lineRule="auto"/>
        <w:rPr>
          <w:rFonts w:ascii="Arial" w:cs="Arial" w:eastAsia="Arial" w:hAnsi="Arial"/>
          <w:sz w:val="18"/>
          <w:szCs w:val="18"/>
          <w:u w:val="single" w:color="auto"/>
          <w:color w:val="0000FF"/>
        </w:rPr>
      </w:pPr>
      <w:hyperlink r:id="rId34">
        <w:r>
          <w:rPr>
            <w:rFonts w:ascii="Arial" w:cs="Arial" w:eastAsia="Arial" w:hAnsi="Arial"/>
            <w:sz w:val="18"/>
            <w:szCs w:val="18"/>
            <w:u w:val="single" w:color="auto"/>
            <w:color w:val="0000FF"/>
          </w:rPr>
          <w:t>Incorporated by reference to Exhibit 10.12 to Oil-Dri’s (File No. 001-</w:t>
        </w:r>
      </w:hyperlink>
      <w:hyperlink r:id="rId34">
        <w:r>
          <w:rPr>
            <w:rFonts w:ascii="Arial" w:cs="Arial" w:eastAsia="Arial" w:hAnsi="Arial"/>
            <w:sz w:val="18"/>
            <w:szCs w:val="18"/>
            <w:u w:val="single" w:color="auto"/>
            <w:color w:val="0000FF"/>
          </w:rPr>
          <w:t>12622) Annual Report on Form 10-K for the fiscal year ended July</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31, 2006.</w:t>
        </w:r>
      </w:hyperlink>
    </w:p>
    <w:p>
      <w:pPr>
        <w:spacing w:after="0" w:line="289"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35">
        <w:r>
          <w:rPr>
            <w:rFonts w:ascii="Arial" w:cs="Arial" w:eastAsia="Arial" w:hAnsi="Arial"/>
            <w:sz w:val="17"/>
            <w:szCs w:val="17"/>
            <w:u w:val="single" w:color="auto"/>
            <w:color w:val="0000FF"/>
          </w:rPr>
          <w:t>Incorporated by reference to Exhibit 99.1 to Oil-Dri’s (File No. 001-</w:t>
        </w:r>
      </w:hyperlink>
      <w:hyperlink r:id="rId35">
        <w:r>
          <w:rPr>
            <w:rFonts w:ascii="Arial" w:cs="Arial" w:eastAsia="Arial" w:hAnsi="Arial"/>
            <w:sz w:val="17"/>
            <w:szCs w:val="17"/>
            <w:u w:val="single" w:color="auto"/>
            <w:color w:val="0000FF"/>
          </w:rPr>
          <w:t>12622) Current Report on Form 8-K filed on November 13, 2000.</w:t>
        </w:r>
      </w:hyperlink>
    </w:p>
    <w:p>
      <w:pPr>
        <w:spacing w:after="0" w:line="282"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36">
        <w:r>
          <w:rPr>
            <w:rFonts w:ascii="Arial" w:cs="Arial" w:eastAsia="Arial" w:hAnsi="Arial"/>
            <w:sz w:val="17"/>
            <w:szCs w:val="17"/>
            <w:u w:val="single" w:color="auto"/>
            <w:color w:val="0000FF"/>
          </w:rPr>
          <w:t>Incorporated by reference to Exhibit 10.1 to Oil-Dri’s (File No. 001-</w:t>
        </w:r>
      </w:hyperlink>
      <w:hyperlink r:id="rId36">
        <w:r>
          <w:rPr>
            <w:rFonts w:ascii="Arial" w:cs="Arial" w:eastAsia="Arial" w:hAnsi="Arial"/>
            <w:sz w:val="17"/>
            <w:szCs w:val="17"/>
            <w:u w:val="single" w:color="auto"/>
            <w:color w:val="0000FF"/>
          </w:rPr>
          <w:t>12622) Current Report on Form 8-K filed on February 13, 2006.</w:t>
        </w:r>
      </w:hyperlink>
    </w:p>
    <w:p>
      <w:pPr>
        <w:spacing w:after="0" w:line="255"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37">
        <w:r>
          <w:rPr>
            <w:rFonts w:ascii="Arial" w:cs="Arial" w:eastAsia="Arial" w:hAnsi="Arial"/>
            <w:sz w:val="17"/>
            <w:szCs w:val="17"/>
            <w:u w:val="single" w:color="auto"/>
            <w:color w:val="0000FF"/>
          </w:rPr>
          <w:t>Incorporated by reference to Exhibit 10.1 to Oil-Dri’s (File No. 001-</w:t>
        </w:r>
      </w:hyperlink>
      <w:hyperlink r:id="rId37">
        <w:r>
          <w:rPr>
            <w:rFonts w:ascii="Arial" w:cs="Arial" w:eastAsia="Arial" w:hAnsi="Arial"/>
            <w:sz w:val="17"/>
            <w:szCs w:val="17"/>
            <w:u w:val="single" w:color="auto"/>
            <w:color w:val="0000FF"/>
          </w:rPr>
          <w:t>12622) Current Report on Form 8-K filed on October 14, 2010.</w:t>
        </w:r>
      </w:hyperlink>
    </w:p>
    <w:p>
      <w:pPr>
        <w:spacing w:after="0" w:line="255" w:lineRule="exact"/>
        <w:rPr>
          <w:sz w:val="20"/>
          <w:szCs w:val="20"/>
          <w:color w:val="auto"/>
        </w:rPr>
      </w:pPr>
    </w:p>
    <w:p>
      <w:pPr>
        <w:jc w:val="both"/>
        <w:ind w:right="20"/>
        <w:spacing w:after="0" w:line="264" w:lineRule="auto"/>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Incorporated by reference to Exhibit (10)(j)(1) to Oil-Dri’s (File No.</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001-12622) Quarterly Report on Form 10-Q for the quarter ended</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April 30, 2003.</w:t>
        </w:r>
      </w:hyperlink>
    </w:p>
    <w:p>
      <w:pPr>
        <w:spacing w:after="0" w:line="316"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Incorporated by reference to Exhibit 10.1 to Oil-Dri’s (File No. 001-</w:t>
        </w:r>
      </w:hyperlink>
      <w:hyperlink r:id="rId39">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31, 2008.</w:t>
        </w:r>
      </w:hyperlink>
    </w:p>
    <w:p>
      <w:pPr>
        <w:spacing w:after="0" w:line="289"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Incorporated by reference to Exhibit 10.2 to Oil-Dri’s (File No. 001-</w:t>
        </w:r>
      </w:hyperlink>
      <w:hyperlink r:id="rId40">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31, 2008.</w:t>
        </w:r>
      </w:hyperlink>
    </w:p>
    <w:p>
      <w:pPr>
        <w:spacing w:after="0" w:line="289"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Incorporated by reference to Exhibit (10)(1) to Oil-Dri’s (File No.</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001-12622) Quarterly Report on Form 10-Q for the quarter ended</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April 30, 2003.</w:t>
        </w:r>
      </w:hyperlink>
    </w:p>
    <w:p>
      <w:pPr>
        <w:spacing w:after="0" w:line="289"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Incorporated by reference to Exhibit 10.4 to Oil-Dri’s (File No. 001-</w:t>
        </w:r>
      </w:hyperlink>
      <w:hyperlink r:id="rId42">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31, 2008.</w:t>
        </w:r>
      </w:hyperlink>
    </w:p>
    <w:p>
      <w:pPr>
        <w:sectPr>
          <w:pgSz w:w="11900" w:h="16838" w:orient="portrait"/>
          <w:cols w:equalWidth="0" w:num="2">
            <w:col w:w="5960" w:space="360"/>
            <w:col w:w="5080"/>
          </w:cols>
          <w:pgMar w:left="240" w:top="530"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140"/>
        <w:spacing w:after="0"/>
        <w:tabs>
          <w:tab w:leader="none" w:pos="29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31750</wp:posOffset>
            </wp:positionV>
            <wp:extent cx="3773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jc w:val="both"/>
        <w:ind w:left="1100" w:hanging="1039"/>
        <w:spacing w:after="0" w:line="308" w:lineRule="auto"/>
        <w:tabs>
          <w:tab w:leader="none" w:pos="10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Oil-Dri Corporation of America 2005 Deferred Compensation Plan (as amended and restated effective January 1, 2008)*</w:t>
      </w:r>
    </w:p>
    <w:p>
      <w:pPr>
        <w:spacing w:after="0" w:line="200" w:lineRule="exact"/>
        <w:rPr>
          <w:sz w:val="20"/>
          <w:szCs w:val="20"/>
          <w:color w:val="auto"/>
        </w:rPr>
      </w:pPr>
    </w:p>
    <w:p>
      <w:pPr>
        <w:spacing w:after="0" w:line="298" w:lineRule="exact"/>
        <w:rPr>
          <w:sz w:val="20"/>
          <w:szCs w:val="20"/>
          <w:color w:val="auto"/>
        </w:rPr>
      </w:pPr>
    </w:p>
    <w:p>
      <w:pPr>
        <w:jc w:val="both"/>
        <w:ind w:left="1100" w:hanging="1039"/>
        <w:spacing w:after="0" w:line="277" w:lineRule="auto"/>
        <w:tabs>
          <w:tab w:leader="none" w:pos="10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Oil-Dri Corporation of America 2006 Long Term Incentive Plan (as amended and restated effective July 28, 2006)*</w:t>
      </w:r>
    </w:p>
    <w:p>
      <w:pPr>
        <w:spacing w:after="0" w:line="200" w:lineRule="exact"/>
        <w:rPr>
          <w:sz w:val="20"/>
          <w:szCs w:val="20"/>
          <w:color w:val="auto"/>
        </w:rPr>
      </w:pPr>
    </w:p>
    <w:p>
      <w:pPr>
        <w:spacing w:after="0" w:line="322"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First Amendment, effective as of January 1, 2008, to Oil-Dri Corporation of America 2006 Long Term Incentive Plan (as amended and restated effective July 28, 2006)*</w:t>
      </w:r>
    </w:p>
    <w:p>
      <w:pPr>
        <w:spacing w:after="0" w:line="289" w:lineRule="exact"/>
        <w:rPr>
          <w:sz w:val="20"/>
          <w:szCs w:val="20"/>
          <w:color w:val="auto"/>
        </w:rPr>
      </w:pPr>
    </w:p>
    <w:p>
      <w:pPr>
        <w:jc w:val="both"/>
        <w:ind w:left="1100" w:hanging="1039"/>
        <w:spacing w:after="0" w:line="312" w:lineRule="auto"/>
        <w:tabs>
          <w:tab w:leader="none" w:pos="10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Second Amendment, effective as of October 15, 2015, to Oil-Dri Corporation of America 2006 Long Term Incentive Plan (as previously amended and restated effective July 28, 2006)*</w:t>
      </w:r>
    </w:p>
    <w:p>
      <w:pPr>
        <w:spacing w:after="0" w:line="282"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Class A Common Stock.*</w:t>
      </w:r>
    </w:p>
    <w:p>
      <w:pPr>
        <w:spacing w:after="0" w:line="289"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Common Stock.*</w:t>
      </w:r>
    </w:p>
    <w:p>
      <w:pPr>
        <w:spacing w:after="0" w:line="289"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Class B Stock.*</w:t>
      </w:r>
    </w:p>
    <w:p>
      <w:pPr>
        <w:spacing w:after="0" w:line="289"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of Oil-Dri Corporation of America 2006 Long Term Incentive Plan Director Stock Option Agreement for Common Stock.*</w:t>
      </w:r>
    </w:p>
    <w:p>
      <w:pPr>
        <w:spacing w:after="0" w:line="289"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Form of Oil-Dri Corporation of America 2006 Long Term Incentive Plan Restricted Stock Agreement for Class A Common Stock.*</w:t>
      </w:r>
    </w:p>
    <w:p>
      <w:pPr>
        <w:spacing w:after="0" w:line="289"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Form of Oil-Dri Corporation of America 2006 Long Term Incentive Plan Restricted Stock Agreement for Common Stock.*</w:t>
      </w:r>
    </w:p>
    <w:p>
      <w:pPr>
        <w:spacing w:after="0" w:line="289" w:lineRule="exact"/>
        <w:rPr>
          <w:sz w:val="20"/>
          <w:szCs w:val="20"/>
          <w:color w:val="auto"/>
        </w:rPr>
      </w:pPr>
    </w:p>
    <w:p>
      <w:pPr>
        <w:jc w:val="both"/>
        <w:ind w:left="1100" w:hanging="1039"/>
        <w:spacing w:after="0" w:line="342" w:lineRule="auto"/>
        <w:tabs>
          <w:tab w:leader="none" w:pos="10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Form of Oil-Dri Corporation of America 2006 Long Term Incentive Plan Restricted Stock Agreement for Class B Stock.*</w:t>
      </w:r>
    </w:p>
    <w:p>
      <w:pPr>
        <w:spacing w:after="0" w:line="259"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Statement re: Computation of Net Income Per Share.</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Incorporated by reference to Exhibit 10.3 to Oil-Dri’s (File No. 001-</w:t>
        </w:r>
      </w:hyperlink>
      <w:hyperlink r:id="rId45">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31, 2008.</w:t>
        </w:r>
      </w:hyperlink>
    </w:p>
    <w:p>
      <w:pPr>
        <w:spacing w:after="0" w:line="316"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Incorporated by reference to Appendix A to Oil-Dri’s (File No. 001-</w:t>
        </w:r>
      </w:hyperlink>
      <w:hyperlink r:id="rId46">
        <w:r>
          <w:rPr>
            <w:rFonts w:ascii="Arial" w:cs="Arial" w:eastAsia="Arial" w:hAnsi="Arial"/>
            <w:sz w:val="18"/>
            <w:szCs w:val="18"/>
            <w:u w:val="single" w:color="auto"/>
            <w:color w:val="0000FF"/>
          </w:rPr>
          <w:t>12622) Definitive Proxy Statement on Schedule 14A filed on</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November 3, 2006.</w:t>
        </w:r>
      </w:hyperlink>
    </w:p>
    <w:p>
      <w:pPr>
        <w:spacing w:after="0" w:line="316" w:lineRule="exact"/>
        <w:rPr>
          <w:rFonts w:ascii="Arial" w:cs="Arial" w:eastAsia="Arial" w:hAnsi="Arial"/>
          <w:sz w:val="18"/>
          <w:szCs w:val="18"/>
          <w:u w:val="single" w:color="auto"/>
          <w:color w:val="0000FF"/>
        </w:rPr>
      </w:pPr>
    </w:p>
    <w:p>
      <w:pPr>
        <w:jc w:val="both"/>
        <w:spacing w:after="0" w:line="264" w:lineRule="auto"/>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Incorporated by reference to Exhibit 10.5 to Oil-Dri’s (File No. 001-</w:t>
        </w:r>
      </w:hyperlink>
      <w:hyperlink r:id="rId47">
        <w:r>
          <w:rPr>
            <w:rFonts w:ascii="Arial" w:cs="Arial" w:eastAsia="Arial" w:hAnsi="Arial"/>
            <w:sz w:val="18"/>
            <w:szCs w:val="18"/>
            <w:u w:val="single" w:color="auto"/>
            <w:color w:val="0000FF"/>
          </w:rPr>
          <w:t>12622) Quarterly Report on Form 10-Q for the quarter ended January</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31, 2008.</w:t>
        </w:r>
      </w:hyperlink>
    </w:p>
    <w:p>
      <w:pPr>
        <w:spacing w:after="0" w:line="289"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Incorporated by reference to Appendix A to Oil-Dri’s (File No. 001-</w:t>
        </w:r>
      </w:hyperlink>
      <w:hyperlink r:id="rId48">
        <w:r>
          <w:rPr>
            <w:rFonts w:ascii="Arial" w:cs="Arial" w:eastAsia="Arial" w:hAnsi="Arial"/>
            <w:sz w:val="18"/>
            <w:szCs w:val="18"/>
            <w:u w:val="single" w:color="auto"/>
            <w:color w:val="0000FF"/>
          </w:rPr>
          <w:t>12622) Definitive Proxy Statement on Schedule 14A filed on October</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28, 2015.</w:t>
        </w:r>
      </w:hyperlink>
    </w:p>
    <w:p>
      <w:pPr>
        <w:spacing w:after="0" w:line="316" w:lineRule="exact"/>
        <w:rPr>
          <w:rFonts w:ascii="Arial" w:cs="Arial" w:eastAsia="Arial" w:hAnsi="Arial"/>
          <w:sz w:val="18"/>
          <w:szCs w:val="18"/>
          <w:u w:val="single" w:color="auto"/>
          <w:color w:val="0000FF"/>
        </w:rPr>
      </w:pPr>
    </w:p>
    <w:p>
      <w:pPr>
        <w:jc w:val="both"/>
        <w:spacing w:after="0" w:line="308" w:lineRule="auto"/>
        <w:rPr>
          <w:rFonts w:ascii="Arial" w:cs="Arial" w:eastAsia="Arial" w:hAnsi="Arial"/>
          <w:sz w:val="17"/>
          <w:szCs w:val="17"/>
          <w:u w:val="single" w:color="auto"/>
          <w:color w:val="0000FF"/>
        </w:rPr>
      </w:pPr>
      <w:hyperlink r:id="rId49">
        <w:r>
          <w:rPr>
            <w:rFonts w:ascii="Arial" w:cs="Arial" w:eastAsia="Arial" w:hAnsi="Arial"/>
            <w:sz w:val="17"/>
            <w:szCs w:val="17"/>
            <w:u w:val="single" w:color="auto"/>
            <w:color w:val="0000FF"/>
          </w:rPr>
          <w:t>Incorporated by reference to Exhibit 10.2 to Oil-Dri’s (file No. 001-</w:t>
        </w:r>
      </w:hyperlink>
      <w:hyperlink r:id="rId49">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50">
        <w:r>
          <w:rPr>
            <w:rFonts w:ascii="Arial" w:cs="Arial" w:eastAsia="Arial" w:hAnsi="Arial"/>
            <w:sz w:val="17"/>
            <w:szCs w:val="17"/>
            <w:u w:val="single" w:color="auto"/>
            <w:color w:val="0000FF"/>
          </w:rPr>
          <w:t>Incorporated by reference to Exhibit 10.3 to Oil-Dri’s (file No. 001-</w:t>
        </w:r>
      </w:hyperlink>
      <w:hyperlink r:id="rId50">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51">
        <w:r>
          <w:rPr>
            <w:rFonts w:ascii="Arial" w:cs="Arial" w:eastAsia="Arial" w:hAnsi="Arial"/>
            <w:sz w:val="17"/>
            <w:szCs w:val="17"/>
            <w:u w:val="single" w:color="auto"/>
            <w:color w:val="0000FF"/>
          </w:rPr>
          <w:t>Incorporated by reference to Exhibit 10.4 to Oil-Dri’s (file No. 001-</w:t>
        </w:r>
      </w:hyperlink>
      <w:hyperlink r:id="rId51">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52">
        <w:r>
          <w:rPr>
            <w:rFonts w:ascii="Arial" w:cs="Arial" w:eastAsia="Arial" w:hAnsi="Arial"/>
            <w:sz w:val="17"/>
            <w:szCs w:val="17"/>
            <w:u w:val="single" w:color="auto"/>
            <w:color w:val="0000FF"/>
          </w:rPr>
          <w:t>Incorporated by reference to Exhibit 10.5 to Oil-Dri’s (file No. 001-</w:t>
        </w:r>
      </w:hyperlink>
      <w:hyperlink r:id="rId52">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53">
        <w:r>
          <w:rPr>
            <w:rFonts w:ascii="Arial" w:cs="Arial" w:eastAsia="Arial" w:hAnsi="Arial"/>
            <w:sz w:val="17"/>
            <w:szCs w:val="17"/>
            <w:u w:val="single" w:color="auto"/>
            <w:color w:val="0000FF"/>
          </w:rPr>
          <w:t>Incorporated by reference to Exhibit 10.6 to Oil-Dri’s (file No. 001-</w:t>
        </w:r>
      </w:hyperlink>
      <w:hyperlink r:id="rId53">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54">
        <w:r>
          <w:rPr>
            <w:rFonts w:ascii="Arial" w:cs="Arial" w:eastAsia="Arial" w:hAnsi="Arial"/>
            <w:sz w:val="17"/>
            <w:szCs w:val="17"/>
            <w:u w:val="single" w:color="auto"/>
            <w:color w:val="0000FF"/>
          </w:rPr>
          <w:t>Incorporated by reference to Exhibit 10.7 to Oil-Dri’s (file No. 001-</w:t>
        </w:r>
      </w:hyperlink>
      <w:hyperlink r:id="rId54">
        <w:r>
          <w:rPr>
            <w:rFonts w:ascii="Arial" w:cs="Arial" w:eastAsia="Arial" w:hAnsi="Arial"/>
            <w:sz w:val="17"/>
            <w:szCs w:val="17"/>
            <w:u w:val="single" w:color="auto"/>
            <w:color w:val="0000FF"/>
          </w:rPr>
          <w:t>12622) Current Report on Form 8-K filed on December 11, 2006.</w:t>
        </w:r>
      </w:hyperlink>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rFonts w:ascii="Arial" w:cs="Arial" w:eastAsia="Arial" w:hAnsi="Arial"/>
          <w:sz w:val="17"/>
          <w:szCs w:val="17"/>
          <w:u w:val="single" w:color="auto"/>
          <w:color w:val="0000FF"/>
        </w:rPr>
      </w:pPr>
      <w:hyperlink r:id="rId55">
        <w:r>
          <w:rPr>
            <w:rFonts w:ascii="Arial" w:cs="Arial" w:eastAsia="Arial" w:hAnsi="Arial"/>
            <w:sz w:val="17"/>
            <w:szCs w:val="17"/>
            <w:u w:val="single" w:color="auto"/>
            <w:color w:val="0000FF"/>
          </w:rPr>
          <w:t>Incorporated by reference to Exhibit 10.8 to Oil-Dri’s (file No. 001-</w:t>
        </w:r>
      </w:hyperlink>
      <w:hyperlink r:id="rId55">
        <w:r>
          <w:rPr>
            <w:rFonts w:ascii="Arial" w:cs="Arial" w:eastAsia="Arial" w:hAnsi="Arial"/>
            <w:sz w:val="17"/>
            <w:szCs w:val="17"/>
            <w:u w:val="single" w:color="auto"/>
            <w:color w:val="0000FF"/>
          </w:rPr>
          <w:t>12622) Current Report on Form 8-K filed on December 11, 2006.</w:t>
        </w:r>
      </w:hyperlink>
    </w:p>
    <w:p>
      <w:pPr>
        <w:spacing w:after="0" w:line="282" w:lineRule="exact"/>
        <w:rPr>
          <w:sz w:val="20"/>
          <w:szCs w:val="20"/>
          <w:color w:val="auto"/>
        </w:rPr>
      </w:pPr>
    </w:p>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Filed herewith.</w:t>
        </w:r>
      </w:hyperlink>
    </w:p>
    <w:p>
      <w:pPr>
        <w:sectPr>
          <w:pgSz w:w="11900" w:h="16838" w:orient="portrait"/>
          <w:cols w:equalWidth="0" w:num="2">
            <w:col w:w="5720" w:space="400"/>
            <w:col w:w="5080"/>
          </w:cols>
          <w:pgMar w:left="440" w:top="530" w:right="2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5000" w:type="dxa"/>
            <w:vAlign w:val="bottom"/>
            <w:gridSpan w:val="2"/>
          </w:tcPr>
          <w:p>
            <w:pPr>
              <w:ind w:left="1900"/>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60" w:type="dxa"/>
            <w:vAlign w:val="bottom"/>
          </w:tcPr>
          <w:p>
            <w:pPr>
              <w:ind w:left="140"/>
              <w:spacing w:after="0"/>
              <w:rPr>
                <w:sz w:val="20"/>
                <w:szCs w:val="20"/>
                <w:color w:val="auto"/>
              </w:rPr>
            </w:pPr>
            <w:r>
              <w:rPr>
                <w:rFonts w:ascii="Arial" w:cs="Arial" w:eastAsia="Arial" w:hAnsi="Arial"/>
                <w:sz w:val="18"/>
                <w:szCs w:val="18"/>
                <w:color w:val="auto"/>
              </w:rPr>
              <w:t>SEC Document Reference</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360" w:type="dxa"/>
            <w:vAlign w:val="bottom"/>
          </w:tcPr>
          <w:p>
            <w:pPr>
              <w:spacing w:after="0"/>
              <w:rPr>
                <w:sz w:val="19"/>
                <w:szCs w:val="19"/>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Code of Ethics</w:t>
            </w:r>
          </w:p>
        </w:tc>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Available at Oil-Dri’s website at www.oildri.com or in print upon</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w w:val="97"/>
              </w:rPr>
              <w:t>request to Investor Relations, Oil-Dri Corporation of America, 410</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w w:val="98"/>
              </w:rPr>
              <w:t>North  Michigan  Avenue,  Suite  400,  Chicago,  IL  60611-4213,</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telephone (312) 321-1515 or e-mail to info@oildri.com.</w:t>
            </w:r>
          </w:p>
        </w:tc>
      </w:tr>
      <w:tr>
        <w:trPr>
          <w:trHeight w:val="527"/>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3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Subsidiaries of Oil-Dri Corporation of America</w:t>
            </w:r>
          </w:p>
        </w:tc>
        <w:tc>
          <w:tcPr>
            <w:tcW w:w="20" w:type="dxa"/>
            <w:vAlign w:val="bottom"/>
          </w:tcPr>
          <w:p>
            <w:pPr>
              <w:spacing w:after="0"/>
              <w:rPr>
                <w:sz w:val="24"/>
                <w:szCs w:val="24"/>
                <w:color w:val="auto"/>
              </w:rPr>
            </w:pPr>
          </w:p>
        </w:tc>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82">
              <w:r>
                <w:rPr>
                  <w:rFonts w:ascii="Arial" w:cs="Arial" w:eastAsia="Arial" w:hAnsi="Arial"/>
                  <w:sz w:val="18"/>
                  <w:szCs w:val="18"/>
                  <w:color w:val="0000FF"/>
                  <w:w w:val="92"/>
                </w:rPr>
                <w:t>Filed herewith.</w:t>
              </w:r>
            </w:hyperlink>
          </w:p>
        </w:tc>
        <w:tc>
          <w:tcPr>
            <w:tcW w:w="4000" w:type="dxa"/>
            <w:vAlign w:val="bottom"/>
            <w:gridSpan w:val="2"/>
          </w:tcPr>
          <w:p>
            <w:pPr>
              <w:spacing w:after="0"/>
              <w:rPr>
                <w:sz w:val="24"/>
                <w:szCs w:val="24"/>
                <w:color w:val="auto"/>
              </w:rPr>
            </w:pPr>
          </w:p>
        </w:tc>
      </w:tr>
      <w:tr>
        <w:trPr>
          <w:trHeight w:val="547"/>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3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c>
          <w:tcPr>
            <w:tcW w:w="20" w:type="dxa"/>
            <w:vAlign w:val="bottom"/>
          </w:tcPr>
          <w:p>
            <w:pPr>
              <w:spacing w:after="0"/>
              <w:rPr>
                <w:sz w:val="24"/>
                <w:szCs w:val="24"/>
                <w:color w:val="auto"/>
              </w:rPr>
            </w:pPr>
          </w:p>
        </w:tc>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83">
              <w:r>
                <w:rPr>
                  <w:rFonts w:ascii="Arial" w:cs="Arial" w:eastAsia="Arial" w:hAnsi="Arial"/>
                  <w:sz w:val="18"/>
                  <w:szCs w:val="18"/>
                  <w:color w:val="0000FF"/>
                  <w:w w:val="92"/>
                </w:rPr>
                <w:t>Filed herewith.</w:t>
              </w:r>
            </w:hyperlink>
          </w:p>
        </w:tc>
        <w:tc>
          <w:tcPr>
            <w:tcW w:w="4000" w:type="dxa"/>
            <w:vAlign w:val="bottom"/>
            <w:gridSpan w:val="2"/>
          </w:tcPr>
          <w:p>
            <w:pPr>
              <w:spacing w:after="0"/>
              <w:rPr>
                <w:sz w:val="24"/>
                <w:szCs w:val="24"/>
                <w:color w:val="auto"/>
              </w:rPr>
            </w:pPr>
          </w:p>
        </w:tc>
      </w:tr>
      <w:tr>
        <w:trPr>
          <w:trHeight w:val="547"/>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 – 14(a).</w:t>
            </w:r>
          </w:p>
        </w:tc>
        <w:tc>
          <w:tcPr>
            <w:tcW w:w="20" w:type="dxa"/>
            <w:vAlign w:val="bottom"/>
          </w:tcPr>
          <w:p>
            <w:pPr>
              <w:spacing w:after="0"/>
              <w:rPr>
                <w:sz w:val="24"/>
                <w:szCs w:val="24"/>
                <w:color w:val="auto"/>
              </w:rPr>
            </w:pPr>
          </w:p>
        </w:tc>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84">
              <w:r>
                <w:rPr>
                  <w:rFonts w:ascii="Arial" w:cs="Arial" w:eastAsia="Arial" w:hAnsi="Arial"/>
                  <w:sz w:val="18"/>
                  <w:szCs w:val="18"/>
                  <w:color w:val="0000FF"/>
                  <w:w w:val="92"/>
                </w:rPr>
                <w:t>Filed herewith.</w:t>
              </w:r>
            </w:hyperlink>
          </w:p>
        </w:tc>
        <w:tc>
          <w:tcPr>
            <w:tcW w:w="4000" w:type="dxa"/>
            <w:vAlign w:val="bottom"/>
            <w:gridSpan w:val="2"/>
          </w:tcPr>
          <w:p>
            <w:pPr>
              <w:spacing w:after="0"/>
              <w:rPr>
                <w:sz w:val="24"/>
                <w:szCs w:val="24"/>
                <w:color w:val="auto"/>
              </w:rPr>
            </w:pPr>
          </w:p>
        </w:tc>
      </w:tr>
      <w:tr>
        <w:trPr>
          <w:trHeight w:val="547"/>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Section 1350 of the Sarbanes-Oxley</w:t>
            </w:r>
          </w:p>
        </w:tc>
        <w:tc>
          <w:tcPr>
            <w:tcW w:w="20" w:type="dxa"/>
            <w:vAlign w:val="bottom"/>
          </w:tcPr>
          <w:p>
            <w:pPr>
              <w:spacing w:after="0"/>
              <w:rPr>
                <w:sz w:val="24"/>
                <w:szCs w:val="24"/>
                <w:color w:val="auto"/>
              </w:rPr>
            </w:pPr>
          </w:p>
        </w:tc>
        <w:tc>
          <w:tcPr>
            <w:tcW w:w="5100" w:type="dxa"/>
            <w:vAlign w:val="bottom"/>
            <w:gridSpan w:val="3"/>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Furnished herewith.</w:t>
              </w:r>
            </w:hyperlink>
          </w:p>
        </w:tc>
      </w:tr>
      <w:tr>
        <w:trPr>
          <w:trHeight w:val="237"/>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Act of 2002.</w:t>
            </w:r>
          </w:p>
        </w:tc>
        <w:tc>
          <w:tcPr>
            <w:tcW w:w="20" w:type="dxa"/>
            <w:vAlign w:val="bottom"/>
          </w:tcPr>
          <w:p>
            <w:pPr>
              <w:spacing w:after="0"/>
              <w:rPr>
                <w:sz w:val="20"/>
                <w:szCs w:val="20"/>
                <w:color w:val="auto"/>
              </w:rPr>
            </w:pPr>
          </w:p>
        </w:tc>
        <w:tc>
          <w:tcPr>
            <w:tcW w:w="110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3660" w:type="dxa"/>
            <w:vAlign w:val="bottom"/>
          </w:tcPr>
          <w:p>
            <w:pPr>
              <w:spacing w:after="0"/>
              <w:rPr>
                <w:sz w:val="20"/>
                <w:szCs w:val="20"/>
                <w:color w:val="auto"/>
              </w:rPr>
            </w:pPr>
          </w:p>
        </w:tc>
      </w:tr>
      <w:tr>
        <w:trPr>
          <w:trHeight w:val="554"/>
        </w:trPr>
        <w:tc>
          <w:tcPr>
            <w:tcW w:w="92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3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Mine Safety Disclosure</w:t>
            </w:r>
          </w:p>
        </w:tc>
        <w:tc>
          <w:tcPr>
            <w:tcW w:w="20" w:type="dxa"/>
            <w:vAlign w:val="bottom"/>
          </w:tcPr>
          <w:p>
            <w:pPr>
              <w:spacing w:after="0"/>
              <w:rPr>
                <w:sz w:val="24"/>
                <w:szCs w:val="24"/>
                <w:color w:val="auto"/>
              </w:rPr>
            </w:pPr>
          </w:p>
        </w:tc>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87">
              <w:r>
                <w:rPr>
                  <w:rFonts w:ascii="Arial" w:cs="Arial" w:eastAsia="Arial" w:hAnsi="Arial"/>
                  <w:sz w:val="18"/>
                  <w:szCs w:val="18"/>
                  <w:color w:val="0000FF"/>
                  <w:w w:val="92"/>
                </w:rPr>
                <w:t>Filed herewith.</w:t>
              </w:r>
            </w:hyperlink>
          </w:p>
        </w:tc>
        <w:tc>
          <w:tcPr>
            <w:tcW w:w="4000" w:type="dxa"/>
            <w:vAlign w:val="bottom"/>
            <w:gridSpan w:val="2"/>
          </w:tcPr>
          <w:p>
            <w:pPr>
              <w:spacing w:after="0"/>
              <w:rPr>
                <w:sz w:val="24"/>
                <w:szCs w:val="24"/>
                <w:color w:val="auto"/>
              </w:rPr>
            </w:pPr>
          </w:p>
        </w:tc>
      </w:tr>
      <w:tr>
        <w:trPr>
          <w:trHeight w:val="561"/>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101.INS</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2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Furnished herewith.</w:t>
            </w:r>
          </w:p>
        </w:tc>
      </w:tr>
      <w:tr>
        <w:trPr>
          <w:trHeight w:val="567"/>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101.SCH</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Furnished herewith.</w:t>
            </w:r>
          </w:p>
        </w:tc>
      </w:tr>
      <w:tr>
        <w:trPr>
          <w:trHeight w:val="56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101.CAL</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Furnished herewith.</w:t>
            </w:r>
          </w:p>
        </w:tc>
      </w:tr>
      <w:tr>
        <w:trPr>
          <w:trHeight w:val="567"/>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101.DEF</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Furnished herewith.</w:t>
            </w:r>
          </w:p>
        </w:tc>
      </w:tr>
      <w:tr>
        <w:trPr>
          <w:trHeight w:val="56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101.LAB</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2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Furnished herewith.</w:t>
            </w:r>
          </w:p>
        </w:tc>
      </w:tr>
      <w:tr>
        <w:trPr>
          <w:trHeight w:val="56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101.PRE</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20" w:type="dxa"/>
            <w:vAlign w:val="bottom"/>
          </w:tcPr>
          <w:p>
            <w:pPr>
              <w:spacing w:after="0"/>
              <w:rPr>
                <w:sz w:val="24"/>
                <w:szCs w:val="24"/>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Furnished herewith.</w:t>
            </w:r>
          </w:p>
        </w:tc>
      </w:tr>
    </w:tbl>
    <w:p>
      <w:pPr>
        <w:spacing w:after="0" w:line="337" w:lineRule="exact"/>
        <w:rPr>
          <w:sz w:val="20"/>
          <w:szCs w:val="20"/>
          <w:color w:val="auto"/>
        </w:rPr>
      </w:pPr>
    </w:p>
    <w:p>
      <w:pPr>
        <w:ind w:left="1300" w:hanging="491"/>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76</w:t>
      </w:r>
    </w:p>
    <w:p>
      <w:pPr>
        <w:sectPr>
          <w:pgSz w:w="11900" w:h="16838" w:orient="portrait"/>
          <w:cols w:equalWidth="0" w:num="1">
            <w:col w:w="11400"/>
          </w:cols>
          <w:pgMar w:left="240" w:top="530" w:right="2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21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OIL-DRI CORPORATION OF AMERICA</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160"/>
              <w:spacing w:after="0"/>
              <w:rPr>
                <w:sz w:val="20"/>
                <w:szCs w:val="20"/>
                <w:color w:val="auto"/>
              </w:rPr>
            </w:pPr>
            <w:r>
              <w:rPr>
                <w:rFonts w:ascii="Arial" w:cs="Arial" w:eastAsia="Arial" w:hAnsi="Arial"/>
                <w:sz w:val="18"/>
                <w:szCs w:val="18"/>
                <w:color w:val="auto"/>
              </w:rPr>
              <w:t>/s/ Daniel S. Jaffee</w:t>
            </w:r>
          </w:p>
        </w:tc>
      </w:tr>
      <w:tr>
        <w:trPr>
          <w:trHeight w:val="27"/>
        </w:trPr>
        <w:tc>
          <w:tcPr>
            <w:tcW w:w="66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Daniel S. Jaffee</w:t>
            </w:r>
          </w:p>
        </w:tc>
      </w:tr>
      <w:tr>
        <w:trPr>
          <w:trHeight w:val="270"/>
        </w:trPr>
        <w:tc>
          <w:tcPr>
            <w:tcW w:w="660" w:type="dxa"/>
            <w:vAlign w:val="bottom"/>
          </w:tcPr>
          <w:p>
            <w:pPr>
              <w:spacing w:after="0"/>
              <w:rPr>
                <w:sz w:val="23"/>
                <w:szCs w:val="23"/>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10, 2017</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 Richard M. Jaffee</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2017</w:t>
            </w:r>
          </w:p>
        </w:tc>
      </w:tr>
      <w:tr>
        <w:trPr>
          <w:trHeight w:val="27"/>
        </w:trPr>
        <w:tc>
          <w:tcPr>
            <w:tcW w:w="5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2"/>
              </w:rPr>
              <w:t>Richard M. Jaffee</w:t>
            </w:r>
          </w:p>
        </w:tc>
        <w:tc>
          <w:tcPr>
            <w:tcW w:w="16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62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Daniel S. Jaffee</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2017</w:t>
            </w:r>
          </w:p>
        </w:tc>
      </w:tr>
      <w:tr>
        <w:trPr>
          <w:trHeight w:val="27"/>
        </w:trPr>
        <w:tc>
          <w:tcPr>
            <w:tcW w:w="5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89"/>
              </w:rPr>
              <w:t>Daniel S. Jaffee</w:t>
            </w:r>
          </w:p>
        </w:tc>
        <w:tc>
          <w:tcPr>
            <w:tcW w:w="16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c>
          <w:tcPr>
            <w:tcW w:w="1620" w:type="dxa"/>
            <w:vAlign w:val="bottom"/>
          </w:tcPr>
          <w:p>
            <w:pPr>
              <w:spacing w:after="0"/>
              <w:rPr>
                <w:sz w:val="23"/>
                <w:szCs w:val="23"/>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62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Daniel T. Smith</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2017</w:t>
            </w:r>
          </w:p>
        </w:tc>
      </w:tr>
      <w:tr>
        <w:trPr>
          <w:trHeight w:val="27"/>
        </w:trPr>
        <w:tc>
          <w:tcPr>
            <w:tcW w:w="5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2"/>
              </w:rPr>
              <w:t>Daniel T. Smith</w:t>
            </w:r>
          </w:p>
        </w:tc>
        <w:tc>
          <w:tcPr>
            <w:tcW w:w="16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3"/>
              </w:rPr>
              <w:t>Vice President, Chief Financial Officer</w:t>
            </w:r>
          </w:p>
        </w:tc>
        <w:tc>
          <w:tcPr>
            <w:tcW w:w="1620" w:type="dxa"/>
            <w:vAlign w:val="bottom"/>
          </w:tcPr>
          <w:p>
            <w:pPr>
              <w:spacing w:after="0"/>
              <w:rPr>
                <w:sz w:val="23"/>
                <w:szCs w:val="23"/>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1620" w:type="dxa"/>
            <w:vAlign w:val="bottom"/>
          </w:tcPr>
          <w:p>
            <w:pPr>
              <w:spacing w:after="0"/>
              <w:rPr>
                <w:sz w:val="23"/>
                <w:szCs w:val="23"/>
                <w:color w:val="auto"/>
              </w:rPr>
            </w:pPr>
          </w:p>
        </w:tc>
      </w:tr>
      <w:tr>
        <w:trPr>
          <w:trHeight w:val="594"/>
        </w:trPr>
        <w:tc>
          <w:tcPr>
            <w:tcW w:w="5620" w:type="dxa"/>
            <w:vAlign w:val="bottom"/>
          </w:tcPr>
          <w:p>
            <w:pPr>
              <w:ind w:left="180"/>
              <w:spacing w:after="0"/>
              <w:rPr>
                <w:sz w:val="20"/>
                <w:szCs w:val="20"/>
                <w:color w:val="auto"/>
              </w:rPr>
            </w:pPr>
            <w:r>
              <w:rPr>
                <w:rFonts w:ascii="Arial" w:cs="Arial" w:eastAsia="Arial" w:hAnsi="Arial"/>
                <w:sz w:val="18"/>
                <w:szCs w:val="18"/>
                <w:color w:val="auto"/>
              </w:rPr>
              <w:t>/s/ Paula J. Krystopolski</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2017</w:t>
            </w:r>
          </w:p>
        </w:tc>
      </w:tr>
      <w:tr>
        <w:trPr>
          <w:trHeight w:val="27"/>
        </w:trPr>
        <w:tc>
          <w:tcPr>
            <w:tcW w:w="5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2"/>
              </w:rPr>
              <w:t>Paula J. Krystopolski</w:t>
            </w:r>
          </w:p>
        </w:tc>
        <w:tc>
          <w:tcPr>
            <w:tcW w:w="16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0"/>
              </w:rPr>
              <w:t>Vice President, Corporate Controller</w:t>
            </w:r>
          </w:p>
        </w:tc>
        <w:tc>
          <w:tcPr>
            <w:tcW w:w="1620" w:type="dxa"/>
            <w:vAlign w:val="bottom"/>
          </w:tcPr>
          <w:p>
            <w:pPr>
              <w:spacing w:after="0"/>
              <w:rPr>
                <w:sz w:val="23"/>
                <w:szCs w:val="23"/>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5"/>
              </w:rPr>
              <w:t>(Controller)</w:t>
            </w:r>
          </w:p>
        </w:tc>
        <w:tc>
          <w:tcPr>
            <w:tcW w:w="162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J. Steven Cole</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2017</w:t>
            </w:r>
          </w:p>
        </w:tc>
      </w:tr>
      <w:tr>
        <w:trPr>
          <w:trHeight w:val="27"/>
        </w:trPr>
        <w:tc>
          <w:tcPr>
            <w:tcW w:w="5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87"/>
              </w:rPr>
              <w:t>J. Steven Cole</w:t>
            </w:r>
          </w:p>
        </w:tc>
        <w:tc>
          <w:tcPr>
            <w:tcW w:w="16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62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Joseph C. Miller</w:t>
            </w: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2017</w:t>
            </w:r>
          </w:p>
        </w:tc>
      </w:tr>
      <w:tr>
        <w:trPr>
          <w:trHeight w:val="27"/>
        </w:trPr>
        <w:tc>
          <w:tcPr>
            <w:tcW w:w="5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1"/>
              </w:rPr>
              <w:t>Joseph C. Miller</w:t>
            </w:r>
          </w:p>
        </w:tc>
        <w:tc>
          <w:tcPr>
            <w:tcW w:w="16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2"/>
              </w:rPr>
              <w:t>Vice Chairman of the Board of Directors</w:t>
            </w:r>
          </w:p>
        </w:tc>
        <w:tc>
          <w:tcPr>
            <w:tcW w:w="16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w w:val="96"/>
              </w:rPr>
              <w:t>/s/ Michael A. Nemeroff</w:t>
            </w:r>
          </w:p>
        </w:tc>
        <w:tc>
          <w:tcPr>
            <w:tcW w:w="3620" w:type="dxa"/>
            <w:vAlign w:val="bottom"/>
          </w:tcPr>
          <w:p>
            <w:pPr>
              <w:spacing w:after="0"/>
              <w:rPr>
                <w:sz w:val="20"/>
                <w:szCs w:val="20"/>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2017</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530"/>
              <w:spacing w:after="0"/>
              <w:rPr>
                <w:sz w:val="20"/>
                <w:szCs w:val="20"/>
                <w:color w:val="auto"/>
              </w:rPr>
            </w:pPr>
            <w:r>
              <w:rPr>
                <w:rFonts w:ascii="Arial" w:cs="Arial" w:eastAsia="Arial" w:hAnsi="Arial"/>
                <w:sz w:val="18"/>
                <w:szCs w:val="18"/>
                <w:color w:val="auto"/>
                <w:w w:val="94"/>
              </w:rPr>
              <w:t>Michael A. Nemeroff</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George C. Roeth</w:t>
            </w:r>
          </w:p>
        </w:tc>
        <w:tc>
          <w:tcPr>
            <w:tcW w:w="362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2017</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390"/>
              <w:spacing w:after="0"/>
              <w:rPr>
                <w:sz w:val="20"/>
                <w:szCs w:val="20"/>
                <w:color w:val="auto"/>
              </w:rPr>
            </w:pPr>
            <w:r>
              <w:rPr>
                <w:rFonts w:ascii="Arial" w:cs="Arial" w:eastAsia="Arial" w:hAnsi="Arial"/>
                <w:sz w:val="18"/>
                <w:szCs w:val="18"/>
                <w:color w:val="auto"/>
                <w:w w:val="88"/>
              </w:rPr>
              <w:t>George C. Roeth</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390"/>
              <w:spacing w:after="0"/>
              <w:rPr>
                <w:sz w:val="20"/>
                <w:szCs w:val="20"/>
                <w:color w:val="auto"/>
              </w:rPr>
            </w:pPr>
            <w:r>
              <w:rPr>
                <w:rFonts w:ascii="Arial" w:cs="Arial" w:eastAsia="Arial" w:hAnsi="Arial"/>
                <w:sz w:val="18"/>
                <w:szCs w:val="18"/>
                <w:color w:val="auto"/>
                <w:w w:val="95"/>
              </w:rPr>
              <w:t>Director</w:t>
            </w:r>
          </w:p>
        </w:tc>
      </w:tr>
      <w:tr>
        <w:trPr>
          <w:trHeight w:val="567"/>
        </w:trPr>
        <w:tc>
          <w:tcPr>
            <w:tcW w:w="2000" w:type="dxa"/>
            <w:vAlign w:val="bottom"/>
          </w:tcPr>
          <w:p>
            <w:pPr>
              <w:ind w:left="180"/>
              <w:spacing w:after="0"/>
              <w:rPr>
                <w:sz w:val="20"/>
                <w:szCs w:val="20"/>
                <w:color w:val="auto"/>
              </w:rPr>
            </w:pPr>
            <w:r>
              <w:rPr>
                <w:rFonts w:ascii="Arial" w:cs="Arial" w:eastAsia="Arial" w:hAnsi="Arial"/>
                <w:sz w:val="18"/>
                <w:szCs w:val="18"/>
                <w:color w:val="auto"/>
              </w:rPr>
              <w:t>/s/ Allan H. Selig</w:t>
            </w:r>
          </w:p>
        </w:tc>
        <w:tc>
          <w:tcPr>
            <w:tcW w:w="362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2017</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530"/>
              <w:spacing w:after="0"/>
              <w:rPr>
                <w:sz w:val="20"/>
                <w:szCs w:val="20"/>
                <w:color w:val="auto"/>
              </w:rPr>
            </w:pPr>
            <w:r>
              <w:rPr>
                <w:rFonts w:ascii="Arial" w:cs="Arial" w:eastAsia="Arial" w:hAnsi="Arial"/>
                <w:sz w:val="18"/>
                <w:szCs w:val="18"/>
                <w:color w:val="auto"/>
                <w:w w:val="94"/>
              </w:rPr>
              <w:t>Allan H. Selig</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Paul E. Suckow</w:t>
            </w:r>
          </w:p>
        </w:tc>
        <w:tc>
          <w:tcPr>
            <w:tcW w:w="362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2017</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530"/>
              <w:spacing w:after="0"/>
              <w:rPr>
                <w:sz w:val="20"/>
                <w:szCs w:val="20"/>
                <w:color w:val="auto"/>
              </w:rPr>
            </w:pPr>
            <w:r>
              <w:rPr>
                <w:rFonts w:ascii="Arial" w:cs="Arial" w:eastAsia="Arial" w:hAnsi="Arial"/>
                <w:sz w:val="18"/>
                <w:szCs w:val="18"/>
                <w:color w:val="auto"/>
                <w:w w:val="90"/>
              </w:rPr>
              <w:t>Paul E. Suckow</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567"/>
        </w:trPr>
        <w:tc>
          <w:tcPr>
            <w:tcW w:w="2000" w:type="dxa"/>
            <w:vAlign w:val="bottom"/>
          </w:tcPr>
          <w:p>
            <w:pPr>
              <w:ind w:left="180"/>
              <w:spacing w:after="0"/>
              <w:rPr>
                <w:sz w:val="20"/>
                <w:szCs w:val="20"/>
                <w:color w:val="auto"/>
              </w:rPr>
            </w:pPr>
            <w:r>
              <w:rPr>
                <w:rFonts w:ascii="Arial" w:cs="Arial" w:eastAsia="Arial" w:hAnsi="Arial"/>
                <w:sz w:val="18"/>
                <w:szCs w:val="18"/>
                <w:color w:val="auto"/>
                <w:w w:val="90"/>
              </w:rPr>
              <w:t>/s/ Lawrence E. Washow</w:t>
            </w:r>
          </w:p>
        </w:tc>
        <w:tc>
          <w:tcPr>
            <w:tcW w:w="3620" w:type="dxa"/>
            <w:vAlign w:val="bottom"/>
          </w:tcPr>
          <w:p>
            <w:pPr>
              <w:spacing w:after="0"/>
              <w:rPr>
                <w:sz w:val="24"/>
                <w:szCs w:val="24"/>
                <w:color w:val="auto"/>
              </w:rPr>
            </w:pPr>
          </w:p>
        </w:tc>
        <w:tc>
          <w:tcPr>
            <w:tcW w:w="1620" w:type="dxa"/>
            <w:vAlign w:val="bottom"/>
          </w:tcPr>
          <w:p>
            <w:pPr>
              <w:ind w:left="360"/>
              <w:spacing w:after="0"/>
              <w:rPr>
                <w:sz w:val="20"/>
                <w:szCs w:val="20"/>
                <w:color w:val="auto"/>
              </w:rPr>
            </w:pPr>
            <w:r>
              <w:rPr>
                <w:rFonts w:ascii="Arial" w:cs="Arial" w:eastAsia="Arial" w:hAnsi="Arial"/>
                <w:sz w:val="18"/>
                <w:szCs w:val="18"/>
                <w:color w:val="auto"/>
                <w:w w:val="89"/>
              </w:rPr>
              <w:t>October 10, 2017</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240" w:type="dxa"/>
            <w:vAlign w:val="bottom"/>
            <w:gridSpan w:val="2"/>
          </w:tcPr>
          <w:p>
            <w:pPr>
              <w:jc w:val="center"/>
              <w:ind w:right="3530"/>
              <w:spacing w:after="0"/>
              <w:rPr>
                <w:sz w:val="20"/>
                <w:szCs w:val="20"/>
                <w:color w:val="auto"/>
              </w:rPr>
            </w:pPr>
            <w:r>
              <w:rPr>
                <w:rFonts w:ascii="Arial" w:cs="Arial" w:eastAsia="Arial" w:hAnsi="Arial"/>
                <w:sz w:val="18"/>
                <w:szCs w:val="18"/>
                <w:color w:val="auto"/>
                <w:w w:val="90"/>
              </w:rPr>
              <w:t>Lawrence E. Washow</w:t>
            </w:r>
          </w:p>
        </w:tc>
      </w:tr>
      <w:tr>
        <w:trPr>
          <w:trHeight w:val="270"/>
        </w:trPr>
        <w:tc>
          <w:tcPr>
            <w:tcW w:w="2000" w:type="dxa"/>
            <w:vAlign w:val="bottom"/>
          </w:tcPr>
          <w:p>
            <w:pPr>
              <w:spacing w:after="0"/>
              <w:rPr>
                <w:sz w:val="23"/>
                <w:szCs w:val="23"/>
                <w:color w:val="auto"/>
              </w:rPr>
            </w:pPr>
          </w:p>
        </w:tc>
        <w:tc>
          <w:tcPr>
            <w:tcW w:w="5240" w:type="dxa"/>
            <w:vAlign w:val="bottom"/>
            <w:gridSpan w:val="2"/>
          </w:tcPr>
          <w:p>
            <w:pPr>
              <w:jc w:val="center"/>
              <w:ind w:right="3510"/>
              <w:spacing w:after="0"/>
              <w:rPr>
                <w:sz w:val="20"/>
                <w:szCs w:val="20"/>
                <w:color w:val="auto"/>
              </w:rPr>
            </w:pPr>
            <w:r>
              <w:rPr>
                <w:rFonts w:ascii="Arial" w:cs="Arial" w:eastAsia="Arial" w:hAnsi="Arial"/>
                <w:sz w:val="18"/>
                <w:szCs w:val="18"/>
                <w:color w:val="auto"/>
                <w:w w:val="95"/>
              </w:rPr>
              <w:t>Director</w:t>
            </w:r>
          </w:p>
        </w:tc>
      </w:tr>
      <w:tr>
        <w:trPr>
          <w:trHeight w:val="702"/>
        </w:trPr>
        <w:tc>
          <w:tcPr>
            <w:tcW w:w="2000" w:type="dxa"/>
            <w:vAlign w:val="bottom"/>
          </w:tcPr>
          <w:p>
            <w:pPr>
              <w:spacing w:after="0"/>
              <w:rPr>
                <w:sz w:val="24"/>
                <w:szCs w:val="24"/>
                <w:color w:val="auto"/>
              </w:rPr>
            </w:pPr>
          </w:p>
        </w:tc>
        <w:tc>
          <w:tcPr>
            <w:tcW w:w="5240" w:type="dxa"/>
            <w:vAlign w:val="bottom"/>
            <w:gridSpan w:val="2"/>
          </w:tcPr>
          <w:p>
            <w:pPr>
              <w:jc w:val="right"/>
              <w:ind w:right="135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0219"/>
          </w:cols>
          <w:pgMar w:left="240" w:top="800"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VALUATION AND QUALIFYING ACCOUNTS</w:t>
      </w:r>
    </w:p>
    <w:p>
      <w:pPr>
        <w:spacing w:after="0" w:line="387"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7"/>
          </w:tcPr>
          <w:p>
            <w:pPr>
              <w:jc w:val="center"/>
              <w:ind w:left="370"/>
              <w:spacing w:after="0"/>
              <w:rPr>
                <w:sz w:val="20"/>
                <w:szCs w:val="20"/>
                <w:color w:val="auto"/>
              </w:rPr>
            </w:pPr>
            <w:r>
              <w:rPr>
                <w:rFonts w:ascii="Arial" w:cs="Arial" w:eastAsia="Arial" w:hAnsi="Arial"/>
                <w:sz w:val="18"/>
                <w:szCs w:val="18"/>
                <w:b w:val="1"/>
                <w:bCs w:val="1"/>
                <w:color w:val="auto"/>
                <w:w w:val="90"/>
              </w:rPr>
              <w:t>Year Ended July 31,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b w:val="1"/>
                <w:bCs w:val="1"/>
                <w:color w:val="auto"/>
                <w:w w:val="84"/>
              </w:rPr>
              <w:t>2015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(in thousands</w:t>
            </w: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Allowance for doubtful accounts and cash discounts:</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753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Deductions*</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Balance, end of year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Net of recoveries.</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reserve for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1,170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w:t>
            </w:r>
          </w:p>
        </w:tc>
        <w:tc>
          <w:tcPr>
            <w:tcW w:w="1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(1,249)</w:t>
            </w:r>
          </w:p>
        </w:tc>
        <w:tc>
          <w:tcPr>
            <w:tcW w:w="0" w:type="dxa"/>
            <w:vAlign w:val="bottom"/>
          </w:tcPr>
          <w:p>
            <w:pPr>
              <w:spacing w:after="0"/>
              <w:rPr>
                <w:sz w:val="1"/>
                <w:szCs w:val="1"/>
                <w:color w:val="auto"/>
              </w:rPr>
            </w:pPr>
          </w:p>
        </w:tc>
      </w:tr>
      <w:tr>
        <w:trPr>
          <w:trHeight w:val="257"/>
        </w:trPr>
        <w:tc>
          <w:tcPr>
            <w:tcW w:w="3920" w:type="dxa"/>
            <w:vAlign w:val="bottom"/>
          </w:tcPr>
          <w:p>
            <w:pPr>
              <w:ind w:left="380"/>
              <w:spacing w:after="0"/>
              <w:rPr>
                <w:sz w:val="20"/>
                <w:szCs w:val="20"/>
                <w:color w:val="auto"/>
              </w:rPr>
            </w:pPr>
            <w:r>
              <w:rPr>
                <w:rFonts w:ascii="Arial" w:cs="Arial" w:eastAsia="Arial" w:hAnsi="Arial"/>
                <w:sz w:val="18"/>
                <w:szCs w:val="18"/>
                <w:color w:val="auto"/>
              </w:rPr>
              <w:t>Balance, end of year</w:t>
            </w:r>
          </w:p>
        </w:tc>
        <w:tc>
          <w:tcPr>
            <w:tcW w:w="14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60" w:type="dxa"/>
            <w:vAlign w:val="bottom"/>
            <w:vMerge w:val="restart"/>
          </w:tcPr>
          <w:p>
            <w:pPr>
              <w:jc w:val="right"/>
              <w:ind w:right="1110"/>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0" w:right="1440" w:bottom="1440" w:gutter="0" w:footer="0" w:header="0"/>
        </w:sectPr>
      </w:pPr>
    </w:p>
    <w:bookmarkStart w:id="79" w:name="page80"/>
    <w:bookmarkEnd w:id="79"/>
    <w:p>
      <w:pPr>
        <w:jc w:val="center"/>
        <w:ind w:right="60"/>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31750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11.1</w:t>
      </w:r>
      <w:r>
        <w:rPr>
          <w:sz w:val="20"/>
          <w:szCs w:val="20"/>
          <w:color w:val="auto"/>
        </w:rPr>
        <w:tab/>
      </w:r>
      <w:hyperlink w:anchor="page81">
        <w:r>
          <w:rPr>
            <w:rFonts w:ascii="Arial" w:cs="Arial" w:eastAsia="Arial" w:hAnsi="Arial"/>
            <w:sz w:val="16"/>
            <w:szCs w:val="16"/>
            <w:u w:val="single" w:color="auto"/>
            <w:color w:val="0000FF"/>
          </w:rPr>
          <w:t>Statement Re: Computation of Net Income Per Share</w:t>
        </w:r>
      </w:hyperlink>
    </w:p>
    <w:p>
      <w:pPr>
        <w:spacing w:after="0" w:line="333"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82">
        <w:r>
          <w:rPr>
            <w:rFonts w:ascii="Arial" w:cs="Arial" w:eastAsia="Arial" w:hAnsi="Arial"/>
            <w:sz w:val="16"/>
            <w:szCs w:val="16"/>
            <w:u w:val="single" w:color="auto"/>
            <w:color w:val="0000FF"/>
          </w:rPr>
          <w:t>Subsidiaries of Oil-Dri Corporation of America</w:t>
        </w:r>
      </w:hyperlink>
    </w:p>
    <w:p>
      <w:pPr>
        <w:spacing w:after="0" w:line="333"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83">
        <w:r>
          <w:rPr>
            <w:rFonts w:ascii="Arial" w:cs="Arial" w:eastAsia="Arial" w:hAnsi="Arial"/>
            <w:sz w:val="16"/>
            <w:szCs w:val="16"/>
            <w:u w:val="single" w:color="auto"/>
            <w:color w:val="0000FF"/>
          </w:rPr>
          <w:t>Consent of Independent Registered Public Accounting Firm</w:t>
        </w:r>
      </w:hyperlink>
    </w:p>
    <w:p>
      <w:pPr>
        <w:spacing w:after="0" w:line="333" w:lineRule="exact"/>
        <w:rPr>
          <w:sz w:val="20"/>
          <w:szCs w:val="20"/>
          <w:color w:val="auto"/>
        </w:rPr>
      </w:pPr>
    </w:p>
    <w:p>
      <w:pPr>
        <w:ind w:left="1080" w:hanging="811"/>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84">
        <w:r>
          <w:rPr>
            <w:rFonts w:ascii="Arial" w:cs="Arial" w:eastAsia="Arial" w:hAnsi="Arial"/>
            <w:sz w:val="18"/>
            <w:szCs w:val="18"/>
            <w:u w:val="single" w:color="auto"/>
            <w:color w:val="0000FF"/>
          </w:rPr>
          <w:t>Certifications by Daniel S. Jaffee, President and Chief Executive Officer and Daniel T. Smith, Vice President and Chief Financial Officer,</w:t>
        </w:r>
      </w:hyperlink>
      <w:r>
        <w:rPr>
          <w:rFonts w:ascii="Arial" w:cs="Arial" w:eastAsia="Arial" w:hAnsi="Arial"/>
          <w:sz w:val="18"/>
          <w:szCs w:val="18"/>
          <w:u w:val="single" w:color="auto"/>
          <w:color w:val="0000FF"/>
        </w:rPr>
        <w:t xml:space="preserve"> </w:t>
      </w:r>
      <w:hyperlink w:anchor="page84">
        <w:r>
          <w:rPr>
            <w:rFonts w:ascii="Arial" w:cs="Arial" w:eastAsia="Arial" w:hAnsi="Arial"/>
            <w:sz w:val="18"/>
            <w:szCs w:val="18"/>
            <w:u w:val="single" w:color="auto"/>
            <w:color w:val="0000FF"/>
          </w:rPr>
          <w:t>required by Rule 13a-14(a)</w:t>
        </w:r>
      </w:hyperlink>
    </w:p>
    <w:p>
      <w:pPr>
        <w:spacing w:after="0" w:line="279"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86">
        <w:r>
          <w:rPr>
            <w:rFonts w:ascii="Arial" w:cs="Arial" w:eastAsia="Arial" w:hAnsi="Arial"/>
            <w:sz w:val="16"/>
            <w:szCs w:val="16"/>
            <w:u w:val="single" w:color="auto"/>
            <w:color w:val="0000FF"/>
          </w:rPr>
          <w:t>Certifications pursuant to Section 1350 of the Sarbanes-Oxley Act of 2002</w:t>
        </w:r>
      </w:hyperlink>
    </w:p>
    <w:p>
      <w:pPr>
        <w:spacing w:after="0" w:line="333" w:lineRule="exact"/>
        <w:rPr>
          <w:sz w:val="20"/>
          <w:szCs w:val="20"/>
          <w:color w:val="auto"/>
        </w:rPr>
      </w:pPr>
    </w:p>
    <w:p>
      <w:pPr>
        <w:ind w:left="1080" w:hanging="742"/>
        <w:spacing w:after="0"/>
        <w:tabs>
          <w:tab w:leader="none" w:pos="1080" w:val="left"/>
        </w:tabs>
        <w:numPr>
          <w:ilvl w:val="0"/>
          <w:numId w:val="16"/>
        </w:numPr>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Mine Safety Disclosure</w:t>
        </w:r>
      </w:hyperlink>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5"/>
              </w:rPr>
              <w:t>101.INS</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0"/>
              </w:rPr>
              <w:t>101.SCH</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4"/>
              </w:rPr>
              <w:t>101.CAL</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2"/>
              </w:rPr>
              <w:t>101.DEF</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5"/>
              </w:rPr>
              <w:t>101.LAB</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820" w:type="dxa"/>
            <w:vAlign w:val="bottom"/>
          </w:tcPr>
          <w:p>
            <w:pPr>
              <w:jc w:val="center"/>
              <w:ind w:right="70"/>
              <w:spacing w:after="0"/>
              <w:rPr>
                <w:sz w:val="20"/>
                <w:szCs w:val="20"/>
                <w:color w:val="auto"/>
              </w:rPr>
            </w:pPr>
            <w:r>
              <w:rPr>
                <w:rFonts w:ascii="Arial" w:cs="Arial" w:eastAsia="Arial" w:hAnsi="Arial"/>
                <w:sz w:val="18"/>
                <w:szCs w:val="18"/>
                <w:color w:val="auto"/>
                <w:w w:val="91"/>
              </w:rPr>
              <w:t>101.PRE</w:t>
            </w:r>
          </w:p>
        </w:tc>
        <w:tc>
          <w:tcPr>
            <w:tcW w:w="1036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r>
        <w:trPr>
          <w:trHeight w:val="418"/>
        </w:trPr>
        <w:tc>
          <w:tcPr>
            <w:tcW w:w="820" w:type="dxa"/>
            <w:vAlign w:val="bottom"/>
          </w:tcPr>
          <w:p>
            <w:pPr>
              <w:jc w:val="center"/>
              <w:ind w:right="90"/>
              <w:spacing w:after="0"/>
              <w:rPr>
                <w:sz w:val="20"/>
                <w:szCs w:val="20"/>
                <w:color w:val="auto"/>
              </w:rPr>
            </w:pPr>
            <w:r>
              <w:rPr>
                <w:rFonts w:ascii="Arial" w:cs="Arial" w:eastAsia="Arial" w:hAnsi="Arial"/>
                <w:sz w:val="18"/>
                <w:szCs w:val="18"/>
                <w:color w:val="auto"/>
                <w:w w:val="92"/>
              </w:rPr>
              <w:t>Note:</w:t>
            </w:r>
          </w:p>
        </w:tc>
        <w:tc>
          <w:tcPr>
            <w:tcW w:w="10360" w:type="dxa"/>
            <w:vAlign w:val="bottom"/>
          </w:tcPr>
          <w:p>
            <w:pPr>
              <w:ind w:left="160"/>
              <w:spacing w:after="0"/>
              <w:rPr>
                <w:sz w:val="20"/>
                <w:szCs w:val="20"/>
                <w:color w:val="auto"/>
              </w:rPr>
            </w:pPr>
            <w:r>
              <w:rPr>
                <w:rFonts w:ascii="Arial" w:cs="Arial" w:eastAsia="Arial" w:hAnsi="Arial"/>
                <w:sz w:val="18"/>
                <w:szCs w:val="18"/>
                <w:color w:val="auto"/>
                <w:w w:val="94"/>
              </w:rPr>
              <w:t>Stockholders may receive copies of the above listed exhibits, without fee, by written request to Investor Relations, Oil-Dri Corporation of</w:t>
            </w:r>
          </w:p>
        </w:tc>
      </w:tr>
      <w:tr>
        <w:trPr>
          <w:trHeight w:val="230"/>
        </w:trPr>
        <w:tc>
          <w:tcPr>
            <w:tcW w:w="820" w:type="dxa"/>
            <w:vAlign w:val="bottom"/>
          </w:tcPr>
          <w:p>
            <w:pPr>
              <w:spacing w:after="0"/>
              <w:rPr>
                <w:sz w:val="20"/>
                <w:szCs w:val="20"/>
                <w:color w:val="auto"/>
              </w:rPr>
            </w:pPr>
          </w:p>
        </w:tc>
        <w:tc>
          <w:tcPr>
            <w:tcW w:w="10360" w:type="dxa"/>
            <w:vAlign w:val="bottom"/>
          </w:tcPr>
          <w:p>
            <w:pPr>
              <w:ind w:left="160"/>
              <w:spacing w:after="0"/>
              <w:rPr>
                <w:sz w:val="20"/>
                <w:szCs w:val="20"/>
                <w:color w:val="auto"/>
              </w:rPr>
            </w:pPr>
            <w:r>
              <w:rPr>
                <w:rFonts w:ascii="Arial" w:cs="Arial" w:eastAsia="Arial" w:hAnsi="Arial"/>
                <w:sz w:val="18"/>
                <w:szCs w:val="18"/>
                <w:color w:val="auto"/>
                <w:w w:val="95"/>
              </w:rPr>
              <w:t>America, 410 North Michigan Avenue, Suite 400, Chicago, Illinois 60611-4213, telephone (312) 321-1515 or e-mail to info@oildri.com.</w:t>
            </w:r>
          </w:p>
        </w:tc>
      </w:tr>
      <w:tr>
        <w:trPr>
          <w:trHeight w:val="702"/>
        </w:trPr>
        <w:tc>
          <w:tcPr>
            <w:tcW w:w="820" w:type="dxa"/>
            <w:vAlign w:val="bottom"/>
          </w:tcPr>
          <w:p>
            <w:pPr>
              <w:spacing w:after="0"/>
              <w:rPr>
                <w:sz w:val="24"/>
                <w:szCs w:val="24"/>
                <w:color w:val="auto"/>
              </w:rPr>
            </w:pPr>
          </w:p>
        </w:tc>
        <w:tc>
          <w:tcPr>
            <w:tcW w:w="10360" w:type="dxa"/>
            <w:vAlign w:val="bottom"/>
          </w:tcPr>
          <w:p>
            <w:pPr>
              <w:ind w:left="460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280"/>
          </w:cols>
          <w:pgMar w:left="340" w:top="580" w:right="2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EXHIBIT 11.1:</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OIL-DRI CORPORATION OF AMERICA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Computation of Net Income Per Share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July 31,</w:t>
            </w:r>
          </w:p>
        </w:tc>
        <w:tc>
          <w:tcPr>
            <w:tcW w:w="7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available to stockholders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10,792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11,368</w:t>
            </w:r>
          </w:p>
        </w:tc>
      </w:tr>
      <w:tr>
        <w:trPr>
          <w:trHeight w:val="243"/>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Less: Distributed and undistributed earnings allocated to nonvested restricted stock</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Earnings available to common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10,539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13,298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11,221</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80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Calculation</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6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r>
      <w:tr>
        <w:trPr>
          <w:trHeight w:val="250"/>
        </w:trPr>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Average shares outstanding - Basic Common</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5,017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4,955</w:t>
            </w:r>
          </w:p>
        </w:tc>
      </w:tr>
      <w:tr>
        <w:trPr>
          <w:trHeight w:val="243"/>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Average shares outstanding - Basic Class B Common</w:t>
            </w: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2,083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2,050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2,019</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Potential Common Stock relating to stock options and non-vested restricted stock</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97"/>
        </w:trPr>
        <w:tc>
          <w:tcPr>
            <w:tcW w:w="80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Average shares outstanding - Assuming dilution</w:t>
            </w: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7,158</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7,094</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7,037</w:t>
            </w:r>
          </w:p>
        </w:tc>
      </w:tr>
      <w:tr>
        <w:trPr>
          <w:trHeight w:val="257"/>
        </w:trPr>
        <w:tc>
          <w:tcPr>
            <w:tcW w:w="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6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304"/>
        </w:trPr>
        <w:tc>
          <w:tcPr>
            <w:tcW w:w="80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Income Per Share: Basic Common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1.60</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r>
      <w:tr>
        <w:trPr>
          <w:trHeight w:val="251"/>
        </w:trPr>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Basic Class B Common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1"/>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Net Income Per Share: Diluted Common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1.47</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240" w:top="364"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SUBSIDIARIES OF 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State or Country</w:t>
            </w:r>
          </w:p>
        </w:tc>
      </w:tr>
      <w:tr>
        <w:trPr>
          <w:trHeight w:val="234"/>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of Organization</w:t>
            </w:r>
          </w:p>
        </w:tc>
      </w:tr>
      <w:tr>
        <w:trPr>
          <w:trHeight w:val="27"/>
        </w:trPr>
        <w:tc>
          <w:tcPr>
            <w:tcW w:w="3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Amlan Trading (Shenzhen) Company, Ltd.</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Blue Mountain Production Company</w:t>
            </w:r>
          </w:p>
        </w:tc>
        <w:tc>
          <w:tcPr>
            <w:tcW w:w="3700" w:type="dxa"/>
            <w:vAlign w:val="bottom"/>
          </w:tcPr>
          <w:p>
            <w:pPr>
              <w:ind w:left="40"/>
              <w:spacing w:after="0"/>
              <w:rPr>
                <w:sz w:val="20"/>
                <w:szCs w:val="20"/>
                <w:color w:val="auto"/>
              </w:rPr>
            </w:pPr>
            <w:r>
              <w:rPr>
                <w:rFonts w:ascii="Arial" w:cs="Arial" w:eastAsia="Arial" w:hAnsi="Arial"/>
                <w:sz w:val="18"/>
                <w:szCs w:val="18"/>
                <w:color w:val="auto"/>
              </w:rPr>
              <w:t>Mississippi</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Mounds Management, Inc.</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Mounds Production Company, LLC</w:t>
            </w:r>
          </w:p>
        </w:tc>
        <w:tc>
          <w:tcPr>
            <w:tcW w:w="3700" w:type="dxa"/>
            <w:vAlign w:val="bottom"/>
          </w:tcPr>
          <w:p>
            <w:pPr>
              <w:ind w:left="40"/>
              <w:spacing w:after="0"/>
              <w:rPr>
                <w:sz w:val="20"/>
                <w:szCs w:val="20"/>
                <w:color w:val="auto"/>
              </w:rPr>
            </w:pPr>
            <w:r>
              <w:rPr>
                <w:rFonts w:ascii="Arial" w:cs="Arial" w:eastAsia="Arial" w:hAnsi="Arial"/>
                <w:sz w:val="18"/>
                <w:szCs w:val="18"/>
                <w:color w:val="auto"/>
              </w:rPr>
              <w:t>Illinois</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ODC Acquisition Corp.</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Canada ULC</w:t>
            </w:r>
          </w:p>
        </w:tc>
        <w:tc>
          <w:tcPr>
            <w:tcW w:w="370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Corporation of Georgia</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Georgia</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Amlan International</w:t>
            </w:r>
          </w:p>
        </w:tc>
        <w:tc>
          <w:tcPr>
            <w:tcW w:w="3700" w:type="dxa"/>
            <w:vAlign w:val="bottom"/>
          </w:tcPr>
          <w:p>
            <w:pPr>
              <w:ind w:left="40"/>
              <w:spacing w:after="0"/>
              <w:rPr>
                <w:sz w:val="20"/>
                <w:szCs w:val="20"/>
                <w:color w:val="auto"/>
              </w:rPr>
            </w:pPr>
            <w:r>
              <w:rPr>
                <w:rFonts w:ascii="Arial" w:cs="Arial" w:eastAsia="Arial" w:hAnsi="Arial"/>
                <w:sz w:val="18"/>
                <w:szCs w:val="18"/>
                <w:color w:val="auto"/>
              </w:rPr>
              <w:t>Nevada</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Production Company</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Mississippi</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SARL</w:t>
            </w:r>
          </w:p>
        </w:tc>
        <w:tc>
          <w:tcPr>
            <w:tcW w:w="370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(U.K.) Limited</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Kingdom</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Taft Production Company</w:t>
            </w:r>
          </w:p>
        </w:tc>
        <w:tc>
          <w:tcPr>
            <w:tcW w:w="3700" w:type="dxa"/>
            <w:vAlign w:val="bottom"/>
          </w:tcPr>
          <w:p>
            <w:pPr>
              <w:ind w:left="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219"/>
          </w:cols>
          <w:pgMar w:left="240" w:top="364"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issued our report dated October 10, 2017, with respect to the consolidated financial statements, schedule, and internal control over financial reporting included in the Annual Report of Oil-Dri Corporation of America on Form 10-K for the year ended July 31, 2017. We consent to the incorporation by reference of said report in the Registration Statements of Oil-Dri Corporation of America on Form S-8 (File No. 333-139550).</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2017</w:t>
      </w:r>
    </w:p>
    <w:p>
      <w:pPr>
        <w:sectPr>
          <w:pgSz w:w="11900" w:h="16838" w:orient="portrait"/>
          <w:cols w:equalWidth="0" w:num="1">
            <w:col w:w="11420"/>
          </w:cols>
          <w:pgMar w:left="240" w:top="364"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S. Jaffee, certify that:</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40"/>
              <w:spacing w:after="0"/>
              <w:rPr>
                <w:sz w:val="20"/>
                <w:szCs w:val="20"/>
                <w:color w:val="auto"/>
              </w:rPr>
            </w:pPr>
            <w:r>
              <w:rPr>
                <w:rFonts w:ascii="Arial" w:cs="Arial" w:eastAsia="Arial" w:hAnsi="Arial"/>
                <w:sz w:val="18"/>
                <w:szCs w:val="18"/>
                <w:color w:val="auto"/>
              </w:rPr>
              <w:t>October 10, 2017</w:t>
            </w:r>
          </w:p>
        </w:tc>
      </w:tr>
      <w:tr>
        <w:trPr>
          <w:trHeight w:val="27"/>
        </w:trPr>
        <w:tc>
          <w:tcPr>
            <w:tcW w:w="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ind w:left="40"/>
              <w:spacing w:after="0"/>
              <w:rPr>
                <w:sz w:val="20"/>
                <w:szCs w:val="20"/>
                <w:color w:val="auto"/>
              </w:rPr>
            </w:pPr>
            <w:r>
              <w:rPr>
                <w:rFonts w:ascii="Arial" w:cs="Arial" w:eastAsia="Arial" w:hAnsi="Arial"/>
                <w:sz w:val="18"/>
                <w:szCs w:val="18"/>
                <w:color w:val="auto"/>
              </w:rPr>
              <w:t>/s/ Daniel S. Jaffee</w:t>
            </w:r>
          </w:p>
        </w:tc>
      </w:tr>
      <w:tr>
        <w:trPr>
          <w:trHeight w:val="27"/>
        </w:trPr>
        <w:tc>
          <w:tcPr>
            <w:tcW w:w="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318"/>
        </w:trPr>
        <w:tc>
          <w:tcPr>
            <w:tcW w:w="86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Daniel S. Jaffee</w:t>
            </w:r>
          </w:p>
        </w:tc>
      </w:tr>
      <w:tr>
        <w:trPr>
          <w:trHeight w:val="297"/>
        </w:trPr>
        <w:tc>
          <w:tcPr>
            <w:tcW w:w="86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69"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EXHIBIT 31.1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T. Smith, certify that:</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401"/>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401"/>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401"/>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01"/>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ind w:left="20"/>
              <w:spacing w:after="0"/>
              <w:rPr>
                <w:sz w:val="20"/>
                <w:szCs w:val="20"/>
                <w:color w:val="auto"/>
              </w:rPr>
            </w:pPr>
            <w:r>
              <w:rPr>
                <w:rFonts w:ascii="Arial" w:cs="Arial" w:eastAsia="Arial" w:hAnsi="Arial"/>
                <w:sz w:val="18"/>
                <w:szCs w:val="18"/>
                <w:color w:val="auto"/>
              </w:rPr>
              <w:t>October 10, 2017</w:t>
            </w:r>
          </w:p>
        </w:tc>
      </w:tr>
      <w:tr>
        <w:trPr>
          <w:trHeight w:val="27"/>
        </w:trPr>
        <w:tc>
          <w:tcPr>
            <w:tcW w:w="88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ind w:left="20"/>
              <w:spacing w:after="0"/>
              <w:rPr>
                <w:sz w:val="20"/>
                <w:szCs w:val="20"/>
                <w:color w:val="auto"/>
              </w:rPr>
            </w:pPr>
            <w:r>
              <w:rPr>
                <w:rFonts w:ascii="Arial" w:cs="Arial" w:eastAsia="Arial" w:hAnsi="Arial"/>
                <w:sz w:val="18"/>
                <w:szCs w:val="18"/>
                <w:color w:val="auto"/>
              </w:rPr>
              <w:t>/s/ Daniel T. Smith</w:t>
            </w:r>
          </w:p>
        </w:tc>
      </w:tr>
      <w:tr>
        <w:trPr>
          <w:trHeight w:val="27"/>
        </w:trPr>
        <w:tc>
          <w:tcPr>
            <w:tcW w:w="88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318"/>
        </w:trPr>
        <w:tc>
          <w:tcPr>
            <w:tcW w:w="88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Daniel T. Smith</w:t>
            </w:r>
          </w:p>
        </w:tc>
      </w:tr>
      <w:tr>
        <w:trPr>
          <w:trHeight w:val="297"/>
        </w:trPr>
        <w:tc>
          <w:tcPr>
            <w:tcW w:w="88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Vice President, Chief Financial Officer</w:t>
            </w:r>
          </w:p>
        </w:tc>
      </w:tr>
    </w:tbl>
    <w:p>
      <w:pPr>
        <w:sectPr>
          <w:pgSz w:w="11900" w:h="16838" w:orient="portrait"/>
          <w:cols w:equalWidth="0" w:num="1">
            <w:col w:w="11420"/>
          </w:cols>
          <w:pgMar w:left="240" w:top="585"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2017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10,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2017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10,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Chief Financial Officer</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420"/>
          </w:cols>
          <w:pgMar w:left="240" w:top="80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year ended July 31, 2017.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8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ind w:left="120"/>
              <w:spacing w:after="0"/>
              <w:rPr>
                <w:sz w:val="20"/>
                <w:szCs w:val="20"/>
                <w:color w:val="auto"/>
              </w:rPr>
            </w:pPr>
            <w:r>
              <w:rPr>
                <w:rFonts w:ascii="Arial" w:cs="Arial" w:eastAsia="Arial" w:hAnsi="Arial"/>
                <w:sz w:val="18"/>
                <w:szCs w:val="18"/>
                <w:color w:val="auto"/>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ind w:left="180"/>
              <w:spacing w:after="0"/>
              <w:rPr>
                <w:sz w:val="20"/>
                <w:szCs w:val="20"/>
                <w:color w:val="auto"/>
              </w:rPr>
            </w:pPr>
            <w:r>
              <w:rPr>
                <w:rFonts w:ascii="Arial" w:cs="Arial" w:eastAsia="Arial" w:hAnsi="Arial"/>
                <w:sz w:val="18"/>
                <w:szCs w:val="18"/>
                <w:color w:val="auto"/>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40"/>
              <w:spacing w:after="0"/>
              <w:rPr>
                <w:sz w:val="20"/>
                <w:szCs w:val="20"/>
                <w:color w:val="auto"/>
              </w:rPr>
            </w:pPr>
            <w:r>
              <w:rPr>
                <w:rFonts w:ascii="Arial" w:cs="Arial" w:eastAsia="Arial" w:hAnsi="Arial"/>
                <w:sz w:val="18"/>
                <w:szCs w:val="18"/>
                <w:color w:val="auto"/>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ind w:left="20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6,426</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1,801</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4,625</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3"/>
              </w:rPr>
              <w:t>1,140</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9,893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twelve months ended July 31, 2017.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3"/>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95"/>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33" Type="http://schemas.openxmlformats.org/officeDocument/2006/relationships/image" Target="media/image13.png"/><Relationship Id="rId43" Type="http://schemas.openxmlformats.org/officeDocument/2006/relationships/image" Target="media/image14.png"/><Relationship Id="rId44" Type="http://schemas.openxmlformats.org/officeDocument/2006/relationships/image" Target="media/image15.png"/><Relationship Id="rId56" Type="http://schemas.openxmlformats.org/officeDocument/2006/relationships/image" Target="media/image16.png"/><Relationship Id="rId57" Type="http://schemas.openxmlformats.org/officeDocument/2006/relationships/image" Target="media/image17.png"/><Relationship Id="rId58" Type="http://schemas.openxmlformats.org/officeDocument/2006/relationships/image" Target="media/image18.png"/><Relationship Id="rId19" Type="http://schemas.openxmlformats.org/officeDocument/2006/relationships/hyperlink" Target="http://www.sec.gov/Archives/edgar/data/74046/0000074046-98-000008.txt" TargetMode="External"/><Relationship Id="rId20" Type="http://schemas.openxmlformats.org/officeDocument/2006/relationships/hyperlink" Target="http://www.sec.gov/Archives/edgar/data/74046/000127528706006429/od8243ex31.htm" TargetMode="External"/><Relationship Id="rId21" Type="http://schemas.openxmlformats.org/officeDocument/2006/relationships/hyperlink" Target="http://www.sec.gov/Archives/edgar/data/74046/000007404601500009/fs_1.txt" TargetMode="External"/><Relationship Id="rId22" Type="http://schemas.openxmlformats.org/officeDocument/2006/relationships/hyperlink" Target="http://www.sec.gov/Archives/edgar/data/74046/000120677407002369/exhibit10-2.htm" TargetMode="External"/><Relationship Id="rId24" Type="http://schemas.openxmlformats.org/officeDocument/2006/relationships/hyperlink" Target="http://www.sec.gov/Archives/edgar/data/74046/000114420407066302/v096599_ex10-1.htm" TargetMode="External"/><Relationship Id="rId25" Type="http://schemas.openxmlformats.org/officeDocument/2006/relationships/hyperlink" Target="http://www.sec.gov/Archives/edgar/data/74046/000007404616000094/odcex10407312016.htm" TargetMode="External"/><Relationship Id="rId26" Type="http://schemas.openxmlformats.org/officeDocument/2006/relationships/hyperlink" Target="http://www.sec.gov/Archives/edgar/data/74046/000095013799003743/0000950137-99-003743.txt" TargetMode="External"/><Relationship Id="rId27" Type="http://schemas.openxmlformats.org/officeDocument/2006/relationships/hyperlink" Target="http://www.sec.gov/Archives/edgar/data/74046/000101381606000051/form8k_020106ex101.txt" TargetMode="External"/><Relationship Id="rId28" Type="http://schemas.openxmlformats.org/officeDocument/2006/relationships/hyperlink" Target="http://www.sec.gov/Archives/edgar/data/74046/000114420409013035/v142330_ex10-1.htm" TargetMode="External"/><Relationship Id="rId29" Type="http://schemas.openxmlformats.org/officeDocument/2006/relationships/hyperlink" Target="http://www.sec.gov/Archives/edgar/data/74046/000114420411071922/v244230_ex10.htm" TargetMode="External"/><Relationship Id="rId30" Type="http://schemas.openxmlformats.org/officeDocument/2006/relationships/hyperlink" Target="http://www.sec.gov/Archives/edgar/data/74046/000007404612000012/odcex101207312012.htm" TargetMode="External"/><Relationship Id="rId31" Type="http://schemas.openxmlformats.org/officeDocument/2006/relationships/hyperlink" Target="http://www.sec.gov/Archives/edgar/data/74046/000007404614000017/odcex10110312014.htm" TargetMode="External"/><Relationship Id="rId32" Type="http://schemas.openxmlformats.org/officeDocument/2006/relationships/hyperlink" Target="http://www.sec.gov/Archives/edgar/data/74046/000114420410061518/v202918_ex10-1.htm" TargetMode="External"/><Relationship Id="rId34" Type="http://schemas.openxmlformats.org/officeDocument/2006/relationships/hyperlink" Target="http://www.sec.gov/Archives/edgar/data/74046/000120677406002151/exhibit10-12.htm" TargetMode="External"/><Relationship Id="rId35" Type="http://schemas.openxmlformats.org/officeDocument/2006/relationships/hyperlink" Target="http://www.sec.gov/Archives/edgar/data/74046/000007404600000016/0000074046-00-000016-0003.txt" TargetMode="External"/><Relationship Id="rId36" Type="http://schemas.openxmlformats.org/officeDocument/2006/relationships/hyperlink" Target="http://www.sec.gov/Archives/edgar/data/74046/000127528706000802/od4798ex101.htm" TargetMode="External"/><Relationship Id="rId37" Type="http://schemas.openxmlformats.org/officeDocument/2006/relationships/hyperlink" Target="http://www.sec.gov/Archives/edgar/data/74046/000114420410053810/v199012_ex10-1.htm" TargetMode="External"/><Relationship Id="rId38" Type="http://schemas.openxmlformats.org/officeDocument/2006/relationships/hyperlink" Target="http://www.sec.gov/Archives/edgar/data/74046/000007404603000021/q3f03x10.txt" TargetMode="External"/><Relationship Id="rId39" Type="http://schemas.openxmlformats.org/officeDocument/2006/relationships/hyperlink" Target="http://www.sec.gov/Archives/edgar/data/74046/000114420408014071/v105960_ex10-1.htm" TargetMode="External"/><Relationship Id="rId40" Type="http://schemas.openxmlformats.org/officeDocument/2006/relationships/hyperlink" Target="http://www.sec.gov/Archives/edgar/data/74046/000114420408014071/v105960_ex10-2.htm" TargetMode="External"/><Relationship Id="rId41" Type="http://schemas.openxmlformats.org/officeDocument/2006/relationships/hyperlink" Target="http://www.sec.gov/Archives/edgar/data/74046/000007404603000021/q3f03exl.txt" TargetMode="External"/><Relationship Id="rId42" Type="http://schemas.openxmlformats.org/officeDocument/2006/relationships/hyperlink" Target="http://www.sec.gov/Archives/edgar/data/74046/000114420408014071/v105960_ex10-4.htm" TargetMode="External"/><Relationship Id="rId45" Type="http://schemas.openxmlformats.org/officeDocument/2006/relationships/hyperlink" Target="http://www.sec.gov/Archives/edgar/data/74046/000114420408014071/v105960_ex10-3.htm" TargetMode="External"/><Relationship Id="rId46" Type="http://schemas.openxmlformats.org/officeDocument/2006/relationships/hyperlink" Target="http://www.sec.gov/Archives/edgar/data/74046/000120677406002257/oildri_nps.htm" TargetMode="External"/><Relationship Id="rId47" Type="http://schemas.openxmlformats.org/officeDocument/2006/relationships/hyperlink" Target="http://www.sec.gov/Archives/edgar/data/74046/000114420408014071/v105960_ex10-5.htm" TargetMode="External"/><Relationship Id="rId48" Type="http://schemas.openxmlformats.org/officeDocument/2006/relationships/hyperlink" Target="http://www.sec.gov/Archives/edgar/data/74046/000007404615000050/odcproxy07312015.htm#s249522831a274fd3a1b004bb0d87f4df" TargetMode="External"/><Relationship Id="rId49" Type="http://schemas.openxmlformats.org/officeDocument/2006/relationships/hyperlink" Target="http://www.sec.gov/Archives/edgar/data/74046/000127528706006429/od8243ex102.htm" TargetMode="External"/><Relationship Id="rId50" Type="http://schemas.openxmlformats.org/officeDocument/2006/relationships/hyperlink" Target="http://www.sec.gov/Archives/edgar/data/74046/000127528706006429/od8243ex103.htm" TargetMode="External"/><Relationship Id="rId51" Type="http://schemas.openxmlformats.org/officeDocument/2006/relationships/hyperlink" Target="http://www.sec.gov/Archives/edgar/data/74046/000127528706006429/od8243ex104.htm" TargetMode="External"/><Relationship Id="rId52" Type="http://schemas.openxmlformats.org/officeDocument/2006/relationships/hyperlink" Target="http://www.sec.gov/Archives/edgar/data/74046/000127528706006429/od8243ex105.htm" TargetMode="External"/><Relationship Id="rId53" Type="http://schemas.openxmlformats.org/officeDocument/2006/relationships/hyperlink" Target="http://www.sec.gov/Archives/edgar/data/74046/000127528706006429/od8243ex106.htm" TargetMode="External"/><Relationship Id="rId54" Type="http://schemas.openxmlformats.org/officeDocument/2006/relationships/hyperlink" Target="http://www.sec.gov/Archives/edgar/data/74046/000127528706006429/od8243ex107.htm" TargetMode="External"/><Relationship Id="rId55" Type="http://schemas.openxmlformats.org/officeDocument/2006/relationships/hyperlink" Target="http://www.sec.gov/Archives/edgar/data/74046/000127528706006429/od8243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2020-01-18T12:50:28Z</dcterms:created>
  <dcterms:modified xsi:type="dcterms:W3CDTF">2020-01-18T12:50:28Z</dcterms:modified>
</cp:coreProperties>
</file>