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620395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534670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440"/>
              <w:spacing w:after="0"/>
              <w:rPr>
                <w:sz w:val="20"/>
                <w:szCs w:val="20"/>
                <w:color w:val="auto"/>
              </w:rPr>
            </w:pPr>
            <w:r>
              <w:rPr>
                <w:rFonts w:ascii="Arial" w:cs="Arial" w:eastAsia="Arial" w:hAnsi="Arial"/>
                <w:sz w:val="18"/>
                <w:szCs w:val="18"/>
                <w:color w:val="auto"/>
                <w:w w:val="92"/>
              </w:rPr>
              <w:t>March 9, 2018</w:t>
            </w:r>
          </w:p>
        </w:tc>
      </w:tr>
      <w:tr>
        <w:trPr>
          <w:trHeight w:val="837"/>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405"/>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080" w:right="239" w:bottom="1440" w:gutter="0" w:footer="0" w:header="0"/>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9, 2018, Oil-Dri Corporation of America (the “Registrant”) issued a press release announcing its results of operations for its second quarter ended January 31, 2018.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6"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r>
      <w:tr>
        <w:trPr>
          <w:trHeight w:val="466"/>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60" w:type="dxa"/>
            <w:vAlign w:val="bottom"/>
            <w:tcBorders>
              <w:bottom w:val="single" w:sz="8" w:color="0000FF"/>
            </w:tcBorders>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Press Release of the Registrant dated March 9, 2018</w:t>
              </w:r>
            </w:hyperlink>
          </w:p>
        </w:tc>
        <w:tc>
          <w:tcPr>
            <w:tcW w:w="59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2018</w:t>
      </w:r>
    </w:p>
    <w:p>
      <w:pPr>
        <w:sectPr>
          <w:pgSz w:w="11900" w:h="16838" w:orient="portrait"/>
          <w:cols w:equalWidth="0" w:num="1">
            <w:col w:w="10880"/>
          </w:cols>
          <w:pgMar w:left="240" w:top="580" w:right="77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8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ind w:left="10360"/>
        <w:spacing w:after="0"/>
        <w:rPr>
          <w:sz w:val="20"/>
          <w:szCs w:val="20"/>
          <w:color w:val="auto"/>
        </w:rPr>
      </w:pPr>
      <w:r>
        <w:rPr>
          <w:rFonts w:ascii="Arial" w:cs="Arial" w:eastAsia="Arial" w:hAnsi="Arial"/>
          <w:sz w:val="19"/>
          <w:szCs w:val="19"/>
          <w:color w:val="auto"/>
        </w:rPr>
        <w:t>Exhibit 99.1</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Oil-Dri Announces Second Quarter and Year to Date Fiscal 2018 Results</w:t>
      </w:r>
    </w:p>
    <w:p>
      <w:pPr>
        <w:spacing w:after="0" w:line="266"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CHICAGO-(March 9, 2018)-Oil-Dri Corporation of America (NYSE: ODC), producer and marketer of sorbent mineral products, announced today its second quarter and six-month earnings of fiscal 2018.</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306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Second Quarter</w:t>
            </w: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80" w:type="dxa"/>
            <w:vAlign w:val="bottom"/>
          </w:tcPr>
          <w:p>
            <w:pPr>
              <w:jc w:val="right"/>
              <w:ind w:right="590"/>
              <w:spacing w:after="0"/>
              <w:rPr>
                <w:sz w:val="20"/>
                <w:szCs w:val="20"/>
                <w:color w:val="auto"/>
              </w:rPr>
            </w:pPr>
            <w:r>
              <w:rPr>
                <w:rFonts w:ascii="Arial" w:cs="Arial" w:eastAsia="Arial" w:hAnsi="Arial"/>
                <w:sz w:val="18"/>
                <w:szCs w:val="18"/>
                <w:b w:val="1"/>
                <w:bCs w:val="1"/>
                <w:color w:val="auto"/>
                <w:w w:val="93"/>
              </w:rPr>
              <w:t>Year to Date</w:t>
            </w:r>
          </w:p>
        </w:tc>
        <w:tc>
          <w:tcPr>
            <w:tcW w:w="960" w:type="dxa"/>
            <w:vAlign w:val="bottom"/>
          </w:tcPr>
          <w:p>
            <w:pPr>
              <w:spacing w:after="0"/>
              <w:rPr>
                <w:sz w:val="20"/>
                <w:szCs w:val="20"/>
                <w:color w:val="auto"/>
              </w:rPr>
            </w:pPr>
          </w:p>
        </w:tc>
      </w:tr>
      <w:tr>
        <w:trPr>
          <w:trHeight w:val="285"/>
        </w:trPr>
        <w:tc>
          <w:tcPr>
            <w:tcW w:w="3220" w:type="dxa"/>
            <w:vAlign w:val="bottom"/>
          </w:tcPr>
          <w:p>
            <w:pPr>
              <w:spacing w:after="0"/>
              <w:rPr>
                <w:sz w:val="24"/>
                <w:szCs w:val="24"/>
                <w:color w:val="auto"/>
              </w:rPr>
            </w:pPr>
          </w:p>
        </w:tc>
        <w:tc>
          <w:tcPr>
            <w:tcW w:w="3060" w:type="dxa"/>
            <w:vAlign w:val="bottom"/>
            <w:gridSpan w:val="2"/>
          </w:tcPr>
          <w:p>
            <w:pPr>
              <w:jc w:val="right"/>
              <w:ind w:right="270"/>
              <w:spacing w:after="0"/>
              <w:rPr>
                <w:sz w:val="20"/>
                <w:szCs w:val="20"/>
                <w:color w:val="auto"/>
              </w:rPr>
            </w:pPr>
            <w:r>
              <w:rPr>
                <w:rFonts w:ascii="Arial" w:cs="Arial" w:eastAsia="Arial" w:hAnsi="Arial"/>
                <w:sz w:val="14"/>
                <w:szCs w:val="14"/>
                <w:i w:val="1"/>
                <w:iCs w:val="1"/>
                <w:color w:val="auto"/>
              </w:rPr>
              <w:t>Ended January 31, 2018</w:t>
            </w:r>
          </w:p>
        </w:tc>
        <w:tc>
          <w:tcPr>
            <w:tcW w:w="940" w:type="dxa"/>
            <w:vAlign w:val="bottom"/>
          </w:tcPr>
          <w:p>
            <w:pPr>
              <w:spacing w:after="0"/>
              <w:rPr>
                <w:sz w:val="24"/>
                <w:szCs w:val="24"/>
                <w:color w:val="auto"/>
              </w:rPr>
            </w:pPr>
          </w:p>
        </w:tc>
        <w:tc>
          <w:tcPr>
            <w:tcW w:w="3260" w:type="dxa"/>
            <w:vAlign w:val="bottom"/>
            <w:gridSpan w:val="2"/>
          </w:tcPr>
          <w:p>
            <w:pPr>
              <w:jc w:val="right"/>
              <w:ind w:right="370"/>
              <w:spacing w:after="0"/>
              <w:rPr>
                <w:sz w:val="20"/>
                <w:szCs w:val="20"/>
                <w:color w:val="auto"/>
              </w:rPr>
            </w:pPr>
            <w:r>
              <w:rPr>
                <w:rFonts w:ascii="Arial" w:cs="Arial" w:eastAsia="Arial" w:hAnsi="Arial"/>
                <w:sz w:val="14"/>
                <w:szCs w:val="14"/>
                <w:i w:val="1"/>
                <w:iCs w:val="1"/>
                <w:color w:val="auto"/>
              </w:rPr>
              <w:t>Ended January 31, 2018</w:t>
            </w:r>
          </w:p>
        </w:tc>
        <w:tc>
          <w:tcPr>
            <w:tcW w:w="960" w:type="dxa"/>
            <w:vAlign w:val="bottom"/>
          </w:tcPr>
          <w:p>
            <w:pPr>
              <w:spacing w:after="0"/>
              <w:rPr>
                <w:sz w:val="24"/>
                <w:szCs w:val="24"/>
                <w:color w:val="auto"/>
              </w:rPr>
            </w:pPr>
          </w:p>
        </w:tc>
      </w:tr>
      <w:tr>
        <w:trPr>
          <w:trHeight w:val="228"/>
        </w:trPr>
        <w:tc>
          <w:tcPr>
            <w:tcW w:w="32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37"/>
        </w:trPr>
        <w:tc>
          <w:tcPr>
            <w:tcW w:w="3220" w:type="dxa"/>
            <w:vAlign w:val="bottom"/>
            <w:tcBorders>
              <w:right w:val="single" w:sz="8" w:color="auto"/>
            </w:tcBorders>
          </w:tcPr>
          <w:p>
            <w:pPr>
              <w:spacing w:after="0"/>
              <w:rPr>
                <w:sz w:val="20"/>
                <w:szCs w:val="20"/>
                <w:color w:val="auto"/>
              </w:rPr>
            </w:pPr>
          </w:p>
        </w:tc>
        <w:tc>
          <w:tcPr>
            <w:tcW w:w="1740" w:type="dxa"/>
            <w:vAlign w:val="bottom"/>
          </w:tcPr>
          <w:p>
            <w:pPr>
              <w:jc w:val="right"/>
              <w:ind w:right="772"/>
              <w:spacing w:after="0"/>
              <w:rPr>
                <w:sz w:val="20"/>
                <w:szCs w:val="20"/>
                <w:color w:val="auto"/>
              </w:rPr>
            </w:pPr>
            <w:r>
              <w:rPr>
                <w:rFonts w:ascii="Arial" w:cs="Arial" w:eastAsia="Arial" w:hAnsi="Arial"/>
                <w:sz w:val="18"/>
                <w:szCs w:val="18"/>
                <w:b w:val="1"/>
                <w:bCs w:val="1"/>
                <w:color w:val="auto"/>
              </w:rPr>
              <w:t>F18</w:t>
            </w:r>
          </w:p>
        </w:tc>
        <w:tc>
          <w:tcPr>
            <w:tcW w:w="1320" w:type="dxa"/>
            <w:vAlign w:val="bottom"/>
          </w:tcPr>
          <w:p>
            <w:pPr>
              <w:jc w:val="right"/>
              <w:ind w:right="610"/>
              <w:spacing w:after="0"/>
              <w:rPr>
                <w:sz w:val="20"/>
                <w:szCs w:val="20"/>
                <w:color w:val="auto"/>
              </w:rPr>
            </w:pPr>
            <w:r>
              <w:rPr>
                <w:rFonts w:ascii="Arial" w:cs="Arial" w:eastAsia="Arial" w:hAnsi="Arial"/>
                <w:sz w:val="18"/>
                <w:szCs w:val="18"/>
                <w:b w:val="1"/>
                <w:bCs w:val="1"/>
                <w:color w:val="auto"/>
              </w:rPr>
              <w:t>F17</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Change</w:t>
            </w:r>
          </w:p>
        </w:tc>
        <w:tc>
          <w:tcPr>
            <w:tcW w:w="1580" w:type="dxa"/>
            <w:vAlign w:val="bottom"/>
          </w:tcPr>
          <w:p>
            <w:pPr>
              <w:jc w:val="right"/>
              <w:ind w:right="552"/>
              <w:spacing w:after="0"/>
              <w:rPr>
                <w:sz w:val="20"/>
                <w:szCs w:val="20"/>
                <w:color w:val="auto"/>
              </w:rPr>
            </w:pPr>
            <w:r>
              <w:rPr>
                <w:rFonts w:ascii="Arial" w:cs="Arial" w:eastAsia="Arial" w:hAnsi="Arial"/>
                <w:sz w:val="18"/>
                <w:szCs w:val="18"/>
                <w:b w:val="1"/>
                <w:bCs w:val="1"/>
                <w:color w:val="auto"/>
              </w:rPr>
              <w:t>F18</w:t>
            </w:r>
          </w:p>
        </w:tc>
        <w:tc>
          <w:tcPr>
            <w:tcW w:w="1680" w:type="dxa"/>
            <w:vAlign w:val="bottom"/>
          </w:tcPr>
          <w:p>
            <w:pPr>
              <w:jc w:val="right"/>
              <w:ind w:right="650"/>
              <w:spacing w:after="0"/>
              <w:rPr>
                <w:sz w:val="20"/>
                <w:szCs w:val="20"/>
                <w:color w:val="auto"/>
              </w:rPr>
            </w:pPr>
            <w:r>
              <w:rPr>
                <w:rFonts w:ascii="Arial" w:cs="Arial" w:eastAsia="Arial" w:hAnsi="Arial"/>
                <w:sz w:val="18"/>
                <w:szCs w:val="18"/>
                <w:b w:val="1"/>
                <w:bCs w:val="1"/>
                <w:color w:val="auto"/>
              </w:rPr>
              <w:t>F17</w:t>
            </w:r>
          </w:p>
        </w:tc>
        <w:tc>
          <w:tcPr>
            <w:tcW w:w="9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Change</w:t>
            </w:r>
          </w:p>
        </w:tc>
      </w:tr>
      <w:tr>
        <w:trPr>
          <w:trHeight w:val="27"/>
        </w:trPr>
        <w:tc>
          <w:tcPr>
            <w:tcW w:w="3220" w:type="dxa"/>
            <w:vAlign w:val="bottom"/>
            <w:tcBorders>
              <w:right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r>
      <w:tr>
        <w:trPr>
          <w:trHeight w:val="250"/>
        </w:trPr>
        <w:tc>
          <w:tcPr>
            <w:tcW w:w="322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Consolidated Results</w:t>
            </w:r>
          </w:p>
        </w:tc>
        <w:tc>
          <w:tcPr>
            <w:tcW w:w="17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000000"/>
          </w:tcPr>
          <w:p>
            <w:pPr>
              <w:spacing w:after="0"/>
              <w:rPr>
                <w:sz w:val="21"/>
                <w:szCs w:val="21"/>
                <w:color w:val="auto"/>
              </w:rPr>
            </w:pPr>
          </w:p>
        </w:tc>
        <w:tc>
          <w:tcPr>
            <w:tcW w:w="940" w:type="dxa"/>
            <w:vAlign w:val="bottom"/>
            <w:tcBorders>
              <w:bottom w:val="single" w:sz="8" w:color="auto"/>
              <w:right w:val="single" w:sz="8" w:color="auto"/>
            </w:tcBorders>
            <w:shd w:val="clear" w:color="auto" w:fill="000000"/>
          </w:tcPr>
          <w:p>
            <w:pPr>
              <w:spacing w:after="0"/>
              <w:rPr>
                <w:sz w:val="21"/>
                <w:szCs w:val="21"/>
                <w:color w:val="auto"/>
              </w:rPr>
            </w:pPr>
          </w:p>
        </w:tc>
        <w:tc>
          <w:tcPr>
            <w:tcW w:w="1580" w:type="dxa"/>
            <w:vAlign w:val="bottom"/>
            <w:tcBorders>
              <w:bottom w:val="single" w:sz="8" w:color="auto"/>
            </w:tcBorders>
            <w:shd w:val="clear" w:color="auto" w:fill="000000"/>
          </w:tcPr>
          <w:p>
            <w:pPr>
              <w:spacing w:after="0"/>
              <w:rPr>
                <w:sz w:val="21"/>
                <w:szCs w:val="21"/>
                <w:color w:val="auto"/>
              </w:rPr>
            </w:pPr>
          </w:p>
        </w:tc>
        <w:tc>
          <w:tcPr>
            <w:tcW w:w="1680" w:type="dxa"/>
            <w:vAlign w:val="bottom"/>
            <w:tcBorders>
              <w:bottom w:val="single" w:sz="8" w:color="auto"/>
            </w:tcBorders>
            <w:shd w:val="clear" w:color="auto" w:fill="000000"/>
          </w:tcPr>
          <w:p>
            <w:pPr>
              <w:spacing w:after="0"/>
              <w:rPr>
                <w:sz w:val="21"/>
                <w:szCs w:val="21"/>
                <w:color w:val="auto"/>
              </w:rPr>
            </w:pPr>
          </w:p>
        </w:tc>
        <w:tc>
          <w:tcPr>
            <w:tcW w:w="9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$68,894,000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$65,174,000</w:t>
            </w: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6%</w:t>
            </w:r>
          </w:p>
        </w:tc>
        <w:tc>
          <w:tcPr>
            <w:tcW w:w="1580" w:type="dxa"/>
            <w:vAlign w:val="bottom"/>
          </w:tcPr>
          <w:p>
            <w:pPr>
              <w:jc w:val="right"/>
              <w:spacing w:after="0"/>
              <w:rPr>
                <w:sz w:val="20"/>
                <w:szCs w:val="20"/>
                <w:color w:val="auto"/>
              </w:rPr>
            </w:pPr>
            <w:r>
              <w:rPr>
                <w:rFonts w:ascii="Arial" w:cs="Arial" w:eastAsia="Arial" w:hAnsi="Arial"/>
                <w:sz w:val="18"/>
                <w:szCs w:val="18"/>
                <w:color w:val="auto"/>
              </w:rPr>
              <w:t>$135,540,000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$131,786,000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3%</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$(1,096,000)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$4,250,000</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N/A</w:t>
            </w:r>
          </w:p>
        </w:tc>
        <w:tc>
          <w:tcPr>
            <w:tcW w:w="1580" w:type="dxa"/>
            <w:vAlign w:val="bottom"/>
          </w:tcPr>
          <w:p>
            <w:pPr>
              <w:jc w:val="right"/>
              <w:spacing w:after="0"/>
              <w:rPr>
                <w:sz w:val="20"/>
                <w:szCs w:val="20"/>
                <w:color w:val="auto"/>
              </w:rPr>
            </w:pPr>
            <w:r>
              <w:rPr>
                <w:rFonts w:ascii="Arial" w:cs="Arial" w:eastAsia="Arial" w:hAnsi="Arial"/>
                <w:sz w:val="18"/>
                <w:szCs w:val="18"/>
                <w:color w:val="auto"/>
              </w:rPr>
              <w:t>$1,954,000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$6,259,000</w:t>
            </w:r>
          </w:p>
        </w:tc>
        <w:tc>
          <w:tcPr>
            <w:tcW w:w="9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-69%</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Earnings per Diluted Share</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$(0.15)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N/A</w:t>
            </w:r>
          </w:p>
        </w:tc>
        <w:tc>
          <w:tcPr>
            <w:tcW w:w="1580" w:type="dxa"/>
            <w:vAlign w:val="bottom"/>
          </w:tcPr>
          <w:p>
            <w:pPr>
              <w:jc w:val="right"/>
              <w:spacing w:after="0"/>
              <w:rPr>
                <w:sz w:val="20"/>
                <w:szCs w:val="20"/>
                <w:color w:val="auto"/>
              </w:rPr>
            </w:pPr>
            <w:r>
              <w:rPr>
                <w:rFonts w:ascii="Arial" w:cs="Arial" w:eastAsia="Arial" w:hAnsi="Arial"/>
                <w:sz w:val="18"/>
                <w:szCs w:val="18"/>
                <w:color w:val="auto"/>
              </w:rPr>
              <w:t>$0.26</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$0.86</w:t>
            </w:r>
          </w:p>
        </w:tc>
        <w:tc>
          <w:tcPr>
            <w:tcW w:w="9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-70%</w:t>
            </w:r>
          </w:p>
        </w:tc>
      </w:tr>
      <w:tr>
        <w:trPr>
          <w:trHeight w:val="27"/>
        </w:trPr>
        <w:tc>
          <w:tcPr>
            <w:tcW w:w="3220" w:type="dxa"/>
            <w:vAlign w:val="bottom"/>
            <w:tcBorders>
              <w:right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r>
      <w:tr>
        <w:trPr>
          <w:trHeight w:val="250"/>
        </w:trPr>
        <w:tc>
          <w:tcPr>
            <w:tcW w:w="322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Business to Business</w:t>
            </w:r>
          </w:p>
        </w:tc>
        <w:tc>
          <w:tcPr>
            <w:tcW w:w="17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000000"/>
          </w:tcPr>
          <w:p>
            <w:pPr>
              <w:spacing w:after="0"/>
              <w:rPr>
                <w:sz w:val="21"/>
                <w:szCs w:val="21"/>
                <w:color w:val="auto"/>
              </w:rPr>
            </w:pPr>
          </w:p>
        </w:tc>
        <w:tc>
          <w:tcPr>
            <w:tcW w:w="940" w:type="dxa"/>
            <w:vAlign w:val="bottom"/>
            <w:tcBorders>
              <w:bottom w:val="single" w:sz="8" w:color="auto"/>
              <w:right w:val="single" w:sz="8" w:color="auto"/>
            </w:tcBorders>
            <w:shd w:val="clear" w:color="auto" w:fill="000000"/>
          </w:tcPr>
          <w:p>
            <w:pPr>
              <w:spacing w:after="0"/>
              <w:rPr>
                <w:sz w:val="21"/>
                <w:szCs w:val="21"/>
                <w:color w:val="auto"/>
              </w:rPr>
            </w:pPr>
          </w:p>
        </w:tc>
        <w:tc>
          <w:tcPr>
            <w:tcW w:w="1580" w:type="dxa"/>
            <w:vAlign w:val="bottom"/>
            <w:tcBorders>
              <w:bottom w:val="single" w:sz="8" w:color="auto"/>
            </w:tcBorders>
            <w:shd w:val="clear" w:color="auto" w:fill="000000"/>
          </w:tcPr>
          <w:p>
            <w:pPr>
              <w:spacing w:after="0"/>
              <w:rPr>
                <w:sz w:val="21"/>
                <w:szCs w:val="21"/>
                <w:color w:val="auto"/>
              </w:rPr>
            </w:pPr>
          </w:p>
        </w:tc>
        <w:tc>
          <w:tcPr>
            <w:tcW w:w="1680" w:type="dxa"/>
            <w:vAlign w:val="bottom"/>
            <w:tcBorders>
              <w:bottom w:val="single" w:sz="8" w:color="auto"/>
            </w:tcBorders>
            <w:shd w:val="clear" w:color="auto" w:fill="000000"/>
          </w:tcPr>
          <w:p>
            <w:pPr>
              <w:spacing w:after="0"/>
              <w:rPr>
                <w:sz w:val="21"/>
                <w:szCs w:val="21"/>
                <w:color w:val="auto"/>
              </w:rPr>
            </w:pPr>
          </w:p>
        </w:tc>
        <w:tc>
          <w:tcPr>
            <w:tcW w:w="9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$27,355,000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$23,261,000</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4"/>
              </w:rPr>
              <w:t>18%</w:t>
            </w:r>
          </w:p>
        </w:tc>
        <w:tc>
          <w:tcPr>
            <w:tcW w:w="1580" w:type="dxa"/>
            <w:vAlign w:val="bottom"/>
          </w:tcPr>
          <w:p>
            <w:pPr>
              <w:jc w:val="right"/>
              <w:spacing w:after="0"/>
              <w:rPr>
                <w:sz w:val="20"/>
                <w:szCs w:val="20"/>
                <w:color w:val="auto"/>
              </w:rPr>
            </w:pPr>
            <w:r>
              <w:rPr>
                <w:rFonts w:ascii="Arial" w:cs="Arial" w:eastAsia="Arial" w:hAnsi="Arial"/>
                <w:sz w:val="18"/>
                <w:szCs w:val="18"/>
                <w:color w:val="auto"/>
              </w:rPr>
              <w:t>$54,442,000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$50,734,000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7%</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Segment Operating Income</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$9,759,000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$7,815,000</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4"/>
              </w:rPr>
              <w:t>25%</w:t>
            </w:r>
          </w:p>
        </w:tc>
        <w:tc>
          <w:tcPr>
            <w:tcW w:w="1580" w:type="dxa"/>
            <w:vAlign w:val="bottom"/>
          </w:tcPr>
          <w:p>
            <w:pPr>
              <w:jc w:val="right"/>
              <w:spacing w:after="0"/>
              <w:rPr>
                <w:sz w:val="20"/>
                <w:szCs w:val="20"/>
                <w:color w:val="auto"/>
              </w:rPr>
            </w:pPr>
            <w:r>
              <w:rPr>
                <w:rFonts w:ascii="Arial" w:cs="Arial" w:eastAsia="Arial" w:hAnsi="Arial"/>
                <w:sz w:val="18"/>
                <w:szCs w:val="18"/>
                <w:color w:val="auto"/>
              </w:rPr>
              <w:t>$18,635,000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$17,223,000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8%</w:t>
            </w:r>
          </w:p>
        </w:tc>
      </w:tr>
      <w:tr>
        <w:trPr>
          <w:trHeight w:val="27"/>
        </w:trPr>
        <w:tc>
          <w:tcPr>
            <w:tcW w:w="3220" w:type="dxa"/>
            <w:vAlign w:val="bottom"/>
            <w:tcBorders>
              <w:right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r>
      <w:tr>
        <w:trPr>
          <w:trHeight w:val="250"/>
        </w:trPr>
        <w:tc>
          <w:tcPr>
            <w:tcW w:w="3220" w:type="dxa"/>
            <w:vAlign w:val="bottom"/>
            <w:tcBorders>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Retail and Wholesale</w:t>
            </w:r>
          </w:p>
        </w:tc>
        <w:tc>
          <w:tcPr>
            <w:tcW w:w="1740" w:type="dxa"/>
            <w:vAlign w:val="bottom"/>
            <w:tcBorders>
              <w:bottom w:val="single" w:sz="8" w:color="auto"/>
            </w:tcBorders>
            <w:shd w:val="clear" w:color="auto" w:fill="000000"/>
          </w:tcPr>
          <w:p>
            <w:pPr>
              <w:spacing w:after="0"/>
              <w:rPr>
                <w:sz w:val="21"/>
                <w:szCs w:val="21"/>
                <w:color w:val="auto"/>
              </w:rPr>
            </w:pPr>
          </w:p>
        </w:tc>
        <w:tc>
          <w:tcPr>
            <w:tcW w:w="1320" w:type="dxa"/>
            <w:vAlign w:val="bottom"/>
            <w:tcBorders>
              <w:bottom w:val="single" w:sz="8" w:color="auto"/>
            </w:tcBorders>
            <w:shd w:val="clear" w:color="auto" w:fill="000000"/>
          </w:tcPr>
          <w:p>
            <w:pPr>
              <w:spacing w:after="0"/>
              <w:rPr>
                <w:sz w:val="21"/>
                <w:szCs w:val="21"/>
                <w:color w:val="auto"/>
              </w:rPr>
            </w:pPr>
          </w:p>
        </w:tc>
        <w:tc>
          <w:tcPr>
            <w:tcW w:w="940" w:type="dxa"/>
            <w:vAlign w:val="bottom"/>
            <w:tcBorders>
              <w:bottom w:val="single" w:sz="8" w:color="auto"/>
              <w:right w:val="single" w:sz="8" w:color="auto"/>
            </w:tcBorders>
            <w:shd w:val="clear" w:color="auto" w:fill="000000"/>
          </w:tcPr>
          <w:p>
            <w:pPr>
              <w:spacing w:after="0"/>
              <w:rPr>
                <w:sz w:val="21"/>
                <w:szCs w:val="21"/>
                <w:color w:val="auto"/>
              </w:rPr>
            </w:pPr>
          </w:p>
        </w:tc>
        <w:tc>
          <w:tcPr>
            <w:tcW w:w="1580" w:type="dxa"/>
            <w:vAlign w:val="bottom"/>
            <w:tcBorders>
              <w:bottom w:val="single" w:sz="8" w:color="auto"/>
            </w:tcBorders>
            <w:shd w:val="clear" w:color="auto" w:fill="000000"/>
          </w:tcPr>
          <w:p>
            <w:pPr>
              <w:spacing w:after="0"/>
              <w:rPr>
                <w:sz w:val="21"/>
                <w:szCs w:val="21"/>
                <w:color w:val="auto"/>
              </w:rPr>
            </w:pPr>
          </w:p>
        </w:tc>
        <w:tc>
          <w:tcPr>
            <w:tcW w:w="1680" w:type="dxa"/>
            <w:vAlign w:val="bottom"/>
            <w:tcBorders>
              <w:bottom w:val="single" w:sz="8" w:color="auto"/>
            </w:tcBorders>
            <w:shd w:val="clear" w:color="auto" w:fill="000000"/>
          </w:tcPr>
          <w:p>
            <w:pPr>
              <w:spacing w:after="0"/>
              <w:rPr>
                <w:sz w:val="21"/>
                <w:szCs w:val="21"/>
                <w:color w:val="auto"/>
              </w:rPr>
            </w:pPr>
          </w:p>
        </w:tc>
        <w:tc>
          <w:tcPr>
            <w:tcW w:w="9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$41,539,000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$41,913,000</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3"/>
              </w:rPr>
              <w:t>-1%</w:t>
            </w:r>
          </w:p>
        </w:tc>
        <w:tc>
          <w:tcPr>
            <w:tcW w:w="1580" w:type="dxa"/>
            <w:vAlign w:val="bottom"/>
          </w:tcPr>
          <w:p>
            <w:pPr>
              <w:jc w:val="right"/>
              <w:spacing w:after="0"/>
              <w:rPr>
                <w:sz w:val="20"/>
                <w:szCs w:val="20"/>
                <w:color w:val="auto"/>
              </w:rPr>
            </w:pPr>
            <w:r>
              <w:rPr>
                <w:rFonts w:ascii="Arial" w:cs="Arial" w:eastAsia="Arial" w:hAnsi="Arial"/>
                <w:sz w:val="18"/>
                <w:szCs w:val="18"/>
                <w:color w:val="auto"/>
              </w:rPr>
              <w:t>$81,098,000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$81,052,000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3"/>
              </w:rPr>
              <w:t>Flat</w:t>
            </w:r>
          </w:p>
        </w:tc>
      </w:tr>
      <w:tr>
        <w:trPr>
          <w:trHeight w:val="270"/>
        </w:trPr>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Segment Operating Income</w:t>
            </w:r>
          </w:p>
        </w:tc>
        <w:tc>
          <w:tcPr>
            <w:tcW w:w="1740" w:type="dxa"/>
            <w:vAlign w:val="bottom"/>
          </w:tcPr>
          <w:p>
            <w:pPr>
              <w:jc w:val="right"/>
              <w:ind w:right="212"/>
              <w:spacing w:after="0"/>
              <w:rPr>
                <w:sz w:val="20"/>
                <w:szCs w:val="20"/>
                <w:color w:val="auto"/>
              </w:rPr>
            </w:pPr>
            <w:r>
              <w:rPr>
                <w:rFonts w:ascii="Arial" w:cs="Arial" w:eastAsia="Arial" w:hAnsi="Arial"/>
                <w:sz w:val="18"/>
                <w:szCs w:val="18"/>
                <w:color w:val="auto"/>
              </w:rPr>
              <w:t>$2,422,000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$4,987,000</w:t>
            </w:r>
          </w:p>
        </w:tc>
        <w:tc>
          <w:tcPr>
            <w:tcW w:w="9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0"/>
              </w:rPr>
              <w:t>-51%</w:t>
            </w:r>
          </w:p>
        </w:tc>
        <w:tc>
          <w:tcPr>
            <w:tcW w:w="1580" w:type="dxa"/>
            <w:vAlign w:val="bottom"/>
          </w:tcPr>
          <w:p>
            <w:pPr>
              <w:jc w:val="right"/>
              <w:spacing w:after="0"/>
              <w:rPr>
                <w:sz w:val="20"/>
                <w:szCs w:val="20"/>
                <w:color w:val="auto"/>
              </w:rPr>
            </w:pPr>
            <w:r>
              <w:rPr>
                <w:rFonts w:ascii="Arial" w:cs="Arial" w:eastAsia="Arial" w:hAnsi="Arial"/>
                <w:sz w:val="18"/>
                <w:szCs w:val="18"/>
                <w:color w:val="auto"/>
              </w:rPr>
              <w:t>$4,787,000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$4,480,000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7%</w:t>
            </w:r>
          </w:p>
        </w:tc>
      </w:tr>
      <w:tr>
        <w:trPr>
          <w:trHeight w:val="27"/>
        </w:trPr>
        <w:tc>
          <w:tcPr>
            <w:tcW w:w="3220" w:type="dxa"/>
            <w:vAlign w:val="bottom"/>
            <w:tcBorders>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19" w:lineRule="exact"/>
        <w:rPr>
          <w:sz w:val="20"/>
          <w:szCs w:val="20"/>
          <w:color w:val="auto"/>
        </w:rPr>
      </w:pPr>
    </w:p>
    <w:p>
      <w:pPr>
        <w:ind w:right="100"/>
        <w:spacing w:after="0" w:line="287" w:lineRule="auto"/>
        <w:rPr>
          <w:sz w:val="20"/>
          <w:szCs w:val="20"/>
          <w:color w:val="auto"/>
        </w:rPr>
      </w:pPr>
      <w:r>
        <w:rPr>
          <w:rFonts w:ascii="Arial" w:cs="Arial" w:eastAsia="Arial" w:hAnsi="Arial"/>
          <w:sz w:val="21"/>
          <w:szCs w:val="21"/>
          <w:color w:val="auto"/>
        </w:rPr>
        <w:t>Daniel S. Jaffee stated, “With the recent passing of my father, the Board of Directors has appointed me as Chairman. I am humbled and honored to assume the role and to continue growing Oil-Dri in my father and grandfather’s legacy.</w:t>
      </w:r>
    </w:p>
    <w:p>
      <w:pPr>
        <w:spacing w:after="0" w:line="219"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With respect to financial results, our strategy to focus on value-added products continued to demonstrate success. Year to date sales were an all-time record for the first six months of a fiscal year.</w:t>
      </w:r>
    </w:p>
    <w:p>
      <w:pPr>
        <w:spacing w:after="0" w:line="242"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The reduction in net income detailed above was significantly impacted by a one-time $5,091,000 tax expense adjustment to reflect the impact on deferred income tax assets under the 2017 Tax Cut and Jobs Act. The tax expense adjustment effectively reduced diluted net income per share by $0.69 for the first six months of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40"/>
          </w:cols>
          <w:pgMar w:left="240" w:top="937" w:right="219" w:bottom="1440" w:gutter="0" w:footer="0" w:header="0"/>
        </w:sectPr>
      </w:pPr>
    </w:p>
    <w:bookmarkStart w:id="4" w:name="page5"/>
    <w:bookmarkEnd w:id="4"/>
    <w:p>
      <w:pPr>
        <w:ind w:right="440"/>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We saw strong performances by all business to business products and private label cat litter. Sales of our granules used for agricultural carrier applications increased approximately 50% during the quarter. Sales of our Amlan animal health products increased, specifically in Latin America. Fluids purification products sold to edible oil, petroleum and biodiesel producers also increased in the quarter.</w:t>
      </w:r>
    </w:p>
    <w:p>
      <w:pPr>
        <w:spacing w:after="0" w:line="175" w:lineRule="exact"/>
        <w:rPr>
          <w:sz w:val="20"/>
          <w:szCs w:val="20"/>
          <w:color w:val="auto"/>
        </w:rPr>
      </w:pPr>
    </w:p>
    <w:p>
      <w:pPr>
        <w:ind w:right="20"/>
        <w:spacing w:after="0" w:line="302" w:lineRule="auto"/>
        <w:rPr>
          <w:sz w:val="20"/>
          <w:szCs w:val="20"/>
          <w:color w:val="auto"/>
        </w:rPr>
      </w:pPr>
      <w:r>
        <w:rPr>
          <w:rFonts w:ascii="Arial" w:cs="Arial" w:eastAsia="Arial" w:hAnsi="Arial"/>
          <w:sz w:val="19"/>
          <w:szCs w:val="19"/>
          <w:color w:val="auto"/>
        </w:rPr>
        <w:t>We launched the Cat’s Pride Litter for Good campaign late in the quarter and are excited about the traction gained so far. Now, with every purchase of a Cat’s Pride Fresh &amp; Light jug, we will be donating a pound of litter to shelters across America. To date, we have increased our Cat’s Pride Club membership exponentially, received thousands of shelter nominations and promised 435,178 pounds of litter donations all helping to reach our goal of donating five million pounds of litter in 2018.</w:t>
      </w:r>
    </w:p>
    <w:p>
      <w:pPr>
        <w:spacing w:after="0" w:line="210" w:lineRule="exact"/>
        <w:rPr>
          <w:sz w:val="20"/>
          <w:szCs w:val="20"/>
          <w:color w:val="auto"/>
        </w:rPr>
      </w:pPr>
    </w:p>
    <w:p>
      <w:pPr>
        <w:jc w:val="both"/>
        <w:ind w:right="220"/>
        <w:spacing w:after="0" w:line="292" w:lineRule="auto"/>
        <w:rPr>
          <w:sz w:val="20"/>
          <w:szCs w:val="20"/>
          <w:color w:val="auto"/>
        </w:rPr>
      </w:pPr>
      <w:r>
        <w:rPr>
          <w:rFonts w:ascii="Arial" w:cs="Arial" w:eastAsia="Arial" w:hAnsi="Arial"/>
          <w:sz w:val="21"/>
          <w:szCs w:val="21"/>
          <w:color w:val="auto"/>
        </w:rPr>
        <w:t>For more details on our financial results and tax adjustment, please review the Form 10-Q that was filed today and join us for our next earnings teleconference on March 12</w:t>
      </w:r>
      <w:r>
        <w:rPr>
          <w:rFonts w:ascii="Arial" w:cs="Arial" w:eastAsia="Arial" w:hAnsi="Arial"/>
          <w:sz w:val="27"/>
          <w:szCs w:val="27"/>
          <w:color w:val="auto"/>
          <w:vertAlign w:val="superscript"/>
        </w:rPr>
        <w:t>th</w:t>
      </w:r>
      <w:r>
        <w:rPr>
          <w:rFonts w:ascii="Arial" w:cs="Arial" w:eastAsia="Arial" w:hAnsi="Arial"/>
          <w:sz w:val="21"/>
          <w:szCs w:val="21"/>
          <w:color w:val="auto"/>
        </w:rPr>
        <w:t>. Call details are available on our website’s ‘Events’ page.”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19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 xml:space="preserve">While Oil-Dri’s founding product was granular clay floor absorbents, it has since greatly diversified its portfolio. The Company’s mission to </w:t>
      </w:r>
      <w:r>
        <w:rPr>
          <w:rFonts w:ascii="Arial" w:cs="Arial" w:eastAsia="Arial" w:hAnsi="Arial"/>
          <w:sz w:val="16"/>
          <w:szCs w:val="16"/>
          <w:i w:val="1"/>
          <w:iCs w:val="1"/>
          <w:color w:val="auto"/>
        </w:rPr>
        <w:t>“</w:t>
      </w:r>
      <w:r>
        <w:rPr>
          <w:rFonts w:ascii="Arial" w:cs="Arial" w:eastAsia="Arial" w:hAnsi="Arial"/>
          <w:sz w:val="18"/>
          <w:szCs w:val="18"/>
          <w:i w:val="1"/>
          <w:iCs w:val="1"/>
          <w:color w:val="auto"/>
        </w:rPr>
        <w:t>Create Value from Sorbent Minerals</w:t>
      </w:r>
      <w:r>
        <w:rPr>
          <w:rFonts w:ascii="Arial" w:cs="Arial" w:eastAsia="Arial" w:hAnsi="Arial"/>
          <w:sz w:val="16"/>
          <w:szCs w:val="16"/>
          <w:i w:val="1"/>
          <w:iCs w:val="1"/>
          <w:color w:val="auto"/>
        </w:rPr>
        <w:t>”</w:t>
      </w:r>
      <w:r>
        <w:rPr>
          <w:rFonts w:ascii="Arial" w:cs="Arial" w:eastAsia="Arial" w:hAnsi="Arial"/>
          <w:sz w:val="18"/>
          <w:szCs w:val="18"/>
          <w:i w:val="1"/>
          <w:iCs w:val="1"/>
          <w:color w:val="auto"/>
        </w:rPr>
        <w:t xml:space="preserve"> is supported by its wide array of consumer and business to business product offerings. In 2016, Oil-Dri celebrated its seventy-fifth year of business and looks forward to the next milestone.</w:t>
      </w:r>
    </w:p>
    <w:p>
      <w:pPr>
        <w:spacing w:after="0" w:line="204"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color w:val="auto"/>
        </w:rPr>
        <w:t xml:space="preserve">The Company will host its second quarter fiscal 2018 earnings teleconference on </w:t>
      </w:r>
      <w:r>
        <w:rPr>
          <w:rFonts w:ascii="Arial" w:cs="Arial" w:eastAsia="Arial" w:hAnsi="Arial"/>
          <w:sz w:val="18"/>
          <w:szCs w:val="18"/>
          <w:b w:val="1"/>
          <w:bCs w:val="1"/>
          <w:color w:val="auto"/>
        </w:rPr>
        <w:t>Monday, March 12, 2018</w:t>
      </w:r>
      <w:r>
        <w:rPr>
          <w:rFonts w:ascii="Arial" w:cs="Arial" w:eastAsia="Arial" w:hAnsi="Arial"/>
          <w:sz w:val="18"/>
          <w:szCs w:val="18"/>
          <w:color w:val="auto"/>
        </w:rPr>
        <w:t xml:space="preserve"> and its third quarter teleconference on </w:t>
      </w:r>
      <w:r>
        <w:rPr>
          <w:rFonts w:ascii="Arial" w:cs="Arial" w:eastAsia="Arial" w:hAnsi="Arial"/>
          <w:sz w:val="18"/>
          <w:szCs w:val="18"/>
          <w:b w:val="1"/>
          <w:bCs w:val="1"/>
          <w:color w:val="auto"/>
        </w:rPr>
        <w:t>Monday,</w:t>
      </w:r>
      <w:r>
        <w:rPr>
          <w:rFonts w:ascii="Arial" w:cs="Arial" w:eastAsia="Arial" w:hAnsi="Arial"/>
          <w:sz w:val="18"/>
          <w:szCs w:val="18"/>
          <w:color w:val="auto"/>
        </w:rPr>
        <w:t xml:space="preserve"> </w:t>
      </w:r>
      <w:r>
        <w:rPr>
          <w:rFonts w:ascii="Arial" w:cs="Arial" w:eastAsia="Arial" w:hAnsi="Arial"/>
          <w:sz w:val="18"/>
          <w:szCs w:val="18"/>
          <w:b w:val="1"/>
          <w:bCs w:val="1"/>
          <w:color w:val="auto"/>
        </w:rPr>
        <w:t>June 11, 2018</w:t>
      </w:r>
      <w:r>
        <w:rPr>
          <w:rFonts w:ascii="Arial" w:cs="Arial" w:eastAsia="Arial" w:hAnsi="Arial"/>
          <w:sz w:val="18"/>
          <w:szCs w:val="18"/>
          <w:color w:val="auto"/>
        </w:rPr>
        <w:t>. Both teleconferences will commence at 10:00 am, Central Time. Dial-in details will be communicated via web alert approximately one week</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calls.</w:t>
      </w:r>
    </w:p>
    <w:p>
      <w:pPr>
        <w:spacing w:after="0" w:line="212" w:lineRule="exact"/>
        <w:rPr>
          <w:sz w:val="20"/>
          <w:szCs w:val="20"/>
          <w:color w:val="auto"/>
        </w:rPr>
      </w:pPr>
    </w:p>
    <w:p>
      <w:pPr>
        <w:ind w:right="700"/>
        <w:spacing w:after="0" w:line="275" w:lineRule="auto"/>
        <w:rPr>
          <w:sz w:val="20"/>
          <w:szCs w:val="20"/>
          <w:color w:val="auto"/>
        </w:rPr>
      </w:pPr>
      <w:r>
        <w:rPr>
          <w:rFonts w:ascii="Arial" w:cs="Arial" w:eastAsia="Arial" w:hAnsi="Arial"/>
          <w:sz w:val="16"/>
          <w:szCs w:val="16"/>
          <w:i w:val="1"/>
          <w:iCs w:val="1"/>
          <w:color w:val="auto"/>
        </w:rPr>
        <w:t>“Oil-Dri”, “Amlan”, “Cats Pride” and “Fresh &amp; Light” are registered trademarks of Oil-Dri Corporation of America.“ Litter for Good” is a trademark of Oil-Dri Corporation of America.</w:t>
      </w:r>
    </w:p>
    <w:p>
      <w:pPr>
        <w:spacing w:after="0" w:line="173"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or variations of such words and similar expressions are intended to identify such forward-looking statements, which are made pursuant to the safe harbor provisions of the Private Securities Litigation Reform Act of 1995.</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00"/>
          </w:cols>
          <w:pgMar w:left="240" w:top="1415" w:right="259" w:bottom="1440" w:gutter="0" w:footer="0" w:header="0"/>
        </w:sectPr>
      </w:pPr>
    </w:p>
    <w:bookmarkStart w:id="5" w:name="page6"/>
    <w:bookmarkEnd w:id="5"/>
    <w:p>
      <w:pPr>
        <w:spacing w:after="0" w:line="269"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340"/>
          </w:cols>
          <w:pgMar w:left="240" w:top="1413" w:right="319" w:bottom="1440" w:gutter="0" w:footer="0" w:header="0"/>
        </w:sectPr>
      </w:pPr>
    </w:p>
    <w:bookmarkStart w:id="6" w:name="page7"/>
    <w:bookmarkEnd w:id="6"/>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i w:val="1"/>
                <w:iCs w:val="1"/>
                <w:color w:val="auto"/>
              </w:rPr>
              <w:t>(unaudited)</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5"/>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5"/>
          </w:tcPr>
          <w:p>
            <w:pPr>
              <w:ind w:left="220"/>
              <w:spacing w:after="0"/>
              <w:rPr>
                <w:sz w:val="20"/>
                <w:szCs w:val="20"/>
                <w:color w:val="auto"/>
              </w:rPr>
            </w:pPr>
            <w:r>
              <w:rPr>
                <w:rFonts w:ascii="Arial" w:cs="Arial" w:eastAsia="Arial" w:hAnsi="Arial"/>
                <w:sz w:val="18"/>
                <w:szCs w:val="18"/>
                <w:b w:val="1"/>
                <w:bCs w:val="1"/>
                <w:color w:val="auto"/>
              </w:rPr>
              <w:t>Second Quarter Ended January 31</w:t>
            </w:r>
          </w:p>
        </w:tc>
        <w:tc>
          <w:tcPr>
            <w:tcW w:w="14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60" w:type="dxa"/>
            <w:vAlign w:val="bottom"/>
            <w:gridSpan w:val="2"/>
          </w:tcPr>
          <w:p>
            <w:pPr>
              <w:ind w:left="380"/>
              <w:spacing w:after="0"/>
              <w:rPr>
                <w:sz w:val="20"/>
                <w:szCs w:val="20"/>
                <w:color w:val="auto"/>
              </w:rPr>
            </w:pPr>
            <w:r>
              <w:rPr>
                <w:rFonts w:ascii="Arial" w:cs="Arial" w:eastAsia="Arial" w:hAnsi="Arial"/>
                <w:sz w:val="18"/>
                <w:szCs w:val="18"/>
                <w:b w:val="1"/>
                <w:bCs w:val="1"/>
                <w:color w:val="auto"/>
              </w:rPr>
              <w:t>% of Sales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68,894</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65,174</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(49,254)</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(46,049)</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19,640</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19,125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(14,883)</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(13,538)</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4,757</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(Loss)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5,071</w:t>
            </w:r>
          </w:p>
        </w:tc>
        <w:tc>
          <w:tcPr>
            <w:tcW w:w="2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5,244</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8.0 %</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22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4,250</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6.5 %</w:t>
            </w:r>
          </w:p>
        </w:tc>
      </w:tr>
      <w:tr>
        <w:trPr>
          <w:trHeight w:val="23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0.63</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5,035</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5,019</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2,104</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2,088</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7,139</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7,155</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149"/>
        </w:trPr>
        <w:tc>
          <w:tcPr>
            <w:tcW w:w="50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gridSpan w:val="5"/>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5"/>
          </w:tcPr>
          <w:p>
            <w:pPr>
              <w:ind w:left="400"/>
              <w:spacing w:after="0"/>
              <w:rPr>
                <w:sz w:val="20"/>
                <w:szCs w:val="20"/>
                <w:color w:val="auto"/>
              </w:rPr>
            </w:pPr>
            <w:r>
              <w:rPr>
                <w:rFonts w:ascii="Arial" w:cs="Arial" w:eastAsia="Arial" w:hAnsi="Arial"/>
                <w:sz w:val="18"/>
                <w:szCs w:val="18"/>
                <w:b w:val="1"/>
                <w:bCs w:val="1"/>
                <w:color w:val="auto"/>
              </w:rPr>
              <w:t>Six Months Ended January 31</w:t>
            </w:r>
          </w:p>
        </w:tc>
        <w:tc>
          <w:tcPr>
            <w:tcW w:w="14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60" w:type="dxa"/>
            <w:vAlign w:val="bottom"/>
            <w:gridSpan w:val="2"/>
          </w:tcPr>
          <w:p>
            <w:pPr>
              <w:ind w:left="380"/>
              <w:spacing w:after="0"/>
              <w:rPr>
                <w:sz w:val="20"/>
                <w:szCs w:val="20"/>
                <w:color w:val="auto"/>
              </w:rPr>
            </w:pPr>
            <w:r>
              <w:rPr>
                <w:rFonts w:ascii="Arial" w:cs="Arial" w:eastAsia="Arial" w:hAnsi="Arial"/>
                <w:sz w:val="18"/>
                <w:szCs w:val="18"/>
                <w:b w:val="1"/>
                <w:bCs w:val="1"/>
                <w:color w:val="auto"/>
              </w:rPr>
              <w:t>% of Sales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135,540</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131,786</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(96,931)</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(91,936)</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38,609</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39,850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(29,936)</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(31,217)</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8,673</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8,633</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(Loss)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8,910</w:t>
            </w:r>
          </w:p>
        </w:tc>
        <w:tc>
          <w:tcPr>
            <w:tcW w:w="2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7,923</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6.0 %</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(6,956)</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1,954</w:t>
            </w:r>
          </w:p>
        </w:tc>
        <w:tc>
          <w:tcPr>
            <w:tcW w:w="22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6,259</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4.7 %</w:t>
            </w:r>
          </w:p>
        </w:tc>
      </w:tr>
      <w:tr>
        <w:trPr>
          <w:trHeight w:val="23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0.93</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0.86</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5,030</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5,011</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2,097</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7,215</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7,145</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bl>
    <w:p>
      <w:pPr>
        <w:spacing w:after="0" w:line="26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200"/>
          </w:cols>
          <w:pgMar w:left="240" w:top="1440" w:right="459" w:bottom="1440" w:gutter="0" w:footer="0" w:header="0"/>
        </w:sectPr>
      </w:pPr>
    </w:p>
    <w:bookmarkStart w:id="7" w:name="page8"/>
    <w:bookmarkEnd w:id="7"/>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 January 31</w:t>
            </w:r>
          </w:p>
        </w:tc>
        <w:tc>
          <w:tcPr>
            <w:tcW w:w="120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9,381</w:t>
            </w:r>
          </w:p>
        </w:tc>
        <w:tc>
          <w:tcPr>
            <w:tcW w:w="34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17,560</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Short-term Investments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21,894</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7,358</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32,309</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32,047</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Inventories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22,603</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23,217</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 xml:space="preserve">Prepaid Expenses </w:t>
            </w:r>
            <w:r>
              <w:rPr>
                <w:rFonts w:ascii="Arial" w:cs="Arial" w:eastAsia="Arial" w:hAnsi="Arial"/>
                <w:sz w:val="18"/>
                <w:szCs w:val="18"/>
                <w:b w:val="1"/>
                <w:bCs w:val="1"/>
                <w:i w:val="1"/>
                <w:iCs w:val="1"/>
                <w:color w:val="auto"/>
              </w:rPr>
              <w:t>(1)</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7,967</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12,596</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94,154</w:t>
            </w: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92,778</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84,289</w:t>
            </w:r>
          </w:p>
        </w:tc>
        <w:tc>
          <w:tcPr>
            <w:tcW w:w="3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81,498</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18"/>
                <w:szCs w:val="18"/>
                <w:b w:val="1"/>
                <w:bCs w:val="1"/>
                <w:i w:val="1"/>
                <w:iCs w:val="1"/>
                <w:color w:val="auto"/>
              </w:rPr>
              <w:t>(1)</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27,092</w:t>
            </w:r>
          </w:p>
        </w:tc>
        <w:tc>
          <w:tcPr>
            <w:tcW w:w="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32,298</w:t>
            </w:r>
          </w:p>
        </w:tc>
      </w:tr>
      <w:tr>
        <w:trPr>
          <w:trHeight w:val="297"/>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205,535</w:t>
            </w:r>
          </w:p>
        </w:tc>
        <w:tc>
          <w:tcPr>
            <w:tcW w:w="34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206,574</w:t>
            </w:r>
          </w:p>
        </w:tc>
      </w:tr>
      <w:tr>
        <w:trPr>
          <w:trHeight w:val="284"/>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8,089</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7,316</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Accrued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20,603</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17,614</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33,334</w:t>
            </w: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29,498</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6,092</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9,147</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39,847</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47,424</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Noncurrent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45,939</w:t>
            </w: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56,571</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126,262</w:t>
            </w:r>
          </w:p>
        </w:tc>
        <w:tc>
          <w:tcPr>
            <w:tcW w:w="3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120,505</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205,535</w:t>
            </w: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206,574</w:t>
            </w: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Book Value Per Share Outstanding</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17.72</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r>
      <w:tr>
        <w:trPr>
          <w:trHeight w:val="297"/>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Acquisitions of:</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Second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2,805</w:t>
            </w:r>
          </w:p>
        </w:tc>
        <w:tc>
          <w:tcPr>
            <w:tcW w:w="34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2,984</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6,850</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7,279</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 Charges</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Second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3,221</w:t>
            </w:r>
          </w:p>
        </w:tc>
        <w:tc>
          <w:tcPr>
            <w:tcW w:w="34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3,230</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260" w:type="dxa"/>
            <w:vAlign w:val="bottom"/>
            <w:shd w:val="clear" w:color="auto" w:fill="CCEEFF"/>
          </w:tcPr>
          <w:p>
            <w:pPr>
              <w:spacing w:after="0"/>
              <w:rPr>
                <w:sz w:val="21"/>
                <w:szCs w:val="21"/>
                <w:color w:val="auto"/>
              </w:rPr>
            </w:pPr>
          </w:p>
        </w:tc>
        <w:tc>
          <w:tcPr>
            <w:tcW w:w="318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6,413</w:t>
            </w: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6,389</w:t>
            </w:r>
          </w:p>
        </w:tc>
      </w:tr>
      <w:tr>
        <w:trPr>
          <w:trHeight w:val="27"/>
        </w:trPr>
        <w:tc>
          <w:tcPr>
            <w:tcW w:w="426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74" w:lineRule="exact"/>
        <w:rPr>
          <w:sz w:val="20"/>
          <w:szCs w:val="20"/>
          <w:color w:val="auto"/>
        </w:rPr>
      </w:pPr>
    </w:p>
    <w:p>
      <w:pPr>
        <w:ind w:right="520" w:firstLine="8"/>
        <w:spacing w:after="0" w:line="275" w:lineRule="auto"/>
        <w:tabs>
          <w:tab w:leader="none" w:pos="229"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Prior year amounts have been retrospectively adjusted to conform to the current year presentation of current deferred income taxes required by new guidance under Accounting Standards Codification (</w:t>
      </w:r>
      <w:r>
        <w:rPr>
          <w:rFonts w:ascii="Arial" w:cs="Arial" w:eastAsia="Arial" w:hAnsi="Arial"/>
          <w:sz w:val="16"/>
          <w:szCs w:val="16"/>
          <w:color w:val="auto"/>
        </w:rPr>
        <w:t>“</w:t>
      </w:r>
      <w:r>
        <w:rPr>
          <w:rFonts w:ascii="Arial" w:cs="Arial" w:eastAsia="Arial" w:hAnsi="Arial"/>
          <w:sz w:val="16"/>
          <w:szCs w:val="16"/>
          <w:i w:val="1"/>
          <w:iCs w:val="1"/>
          <w:color w:val="auto"/>
        </w:rPr>
        <w:t>ASC</w:t>
      </w:r>
      <w:r>
        <w:rPr>
          <w:rFonts w:ascii="Arial" w:cs="Arial" w:eastAsia="Arial" w:hAnsi="Arial"/>
          <w:sz w:val="16"/>
          <w:szCs w:val="16"/>
          <w:color w:val="auto"/>
        </w:rPr>
        <w:t>”</w:t>
      </w:r>
      <w:r>
        <w:rPr>
          <w:rFonts w:ascii="Arial" w:cs="Arial" w:eastAsia="Arial" w:hAnsi="Arial"/>
          <w:sz w:val="16"/>
          <w:szCs w:val="16"/>
          <w:i w:val="1"/>
          <w:iCs w:val="1"/>
          <w:color w:val="auto"/>
        </w:rPr>
        <w:t>) 740, Balance Sheet Classification of Deferred Taxes.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20"/>
          </w:cols>
          <w:pgMar w:left="240" w:top="1440" w:right="239" w:bottom="1440" w:gutter="0" w:footer="0" w:header="0"/>
        </w:sectPr>
      </w:pPr>
    </w:p>
    <w:bookmarkStart w:id="8" w:name="page9"/>
    <w:bookmarkEnd w:id="8"/>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32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For the Six Months Ended</w:t>
            </w:r>
          </w:p>
        </w:tc>
        <w:tc>
          <w:tcPr>
            <w:tcW w:w="660" w:type="dxa"/>
            <w:vAlign w:val="bottom"/>
          </w:tcPr>
          <w:p>
            <w:pPr>
              <w:spacing w:after="0"/>
              <w:rPr>
                <w:sz w:val="20"/>
                <w:szCs w:val="20"/>
                <w:color w:val="auto"/>
              </w:rPr>
            </w:pPr>
          </w:p>
        </w:tc>
      </w:tr>
      <w:tr>
        <w:trPr>
          <w:trHeight w:val="270"/>
        </w:trPr>
        <w:tc>
          <w:tcPr>
            <w:tcW w:w="7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16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January 31</w:t>
            </w:r>
          </w:p>
        </w:tc>
        <w:tc>
          <w:tcPr>
            <w:tcW w:w="660" w:type="dxa"/>
            <w:vAlign w:val="bottom"/>
          </w:tcPr>
          <w:p>
            <w:pPr>
              <w:spacing w:after="0"/>
              <w:rPr>
                <w:sz w:val="23"/>
                <w:szCs w:val="23"/>
                <w:color w:val="auto"/>
              </w:rPr>
            </w:pPr>
          </w:p>
        </w:tc>
      </w:tr>
      <w:tr>
        <w:trPr>
          <w:trHeight w:val="27"/>
        </w:trPr>
        <w:tc>
          <w:tcPr>
            <w:tcW w:w="7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20"/>
                <w:szCs w:val="20"/>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1,954</w:t>
            </w:r>
          </w:p>
        </w:tc>
        <w:tc>
          <w:tcPr>
            <w:tcW w:w="340" w:type="dxa"/>
            <w:vAlign w:val="bottom"/>
          </w:tcPr>
          <w:p>
            <w:pPr>
              <w:spacing w:after="0"/>
              <w:rPr>
                <w:sz w:val="21"/>
                <w:szCs w:val="21"/>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6,259</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provided by operating activities, net of acquisition:</w:t>
            </w: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Depreciation and Amortization</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6,413</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6,389</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Decrease (Increase) in Accounts Receivable</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(1,829)</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Decrease in Inventories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(Decrease) Increase in Accounts Payable</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(743)</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852</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Decrease in Accrued Expenses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in Pension and Postretirement Benefits</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649</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1,001</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b w:val="1"/>
                <w:bCs w:val="1"/>
                <w:i w:val="1"/>
                <w:iCs w:val="1"/>
                <w:color w:val="auto"/>
              </w:rPr>
              <w:t>(2)</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6,556</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Total Adjustments</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9,675</w:t>
            </w:r>
          </w:p>
        </w:tc>
        <w:tc>
          <w:tcPr>
            <w:tcW w:w="3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2,834</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11,629</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9,093</w:t>
            </w:r>
          </w:p>
        </w:tc>
      </w:tr>
      <w:tr>
        <w:trPr>
          <w:trHeight w:val="291"/>
        </w:trPr>
        <w:tc>
          <w:tcPr>
            <w:tcW w:w="74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Capital Expenditures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(6,850)</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(7,279)</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Purchase of Investment Securities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1,739</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2,831</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Other</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(4,446)</w:t>
            </w:r>
          </w:p>
        </w:tc>
      </w:tr>
      <w:tr>
        <w:trPr>
          <w:trHeight w:val="291"/>
        </w:trPr>
        <w:tc>
          <w:tcPr>
            <w:tcW w:w="74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Principal Payments on Long-Term Debt</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(3,083)</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Dividends Paid</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Purchase of Treasury Stock</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(6,222)</w:t>
            </w:r>
          </w:p>
        </w:tc>
        <w:tc>
          <w:tcPr>
            <w:tcW w:w="3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(5,784)</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9,095</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18,629</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9,381</w:t>
            </w:r>
          </w:p>
        </w:tc>
        <w:tc>
          <w:tcPr>
            <w:tcW w:w="34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17,560</w:t>
            </w:r>
          </w:p>
        </w:tc>
      </w:tr>
      <w:tr>
        <w:trPr>
          <w:trHeight w:val="20"/>
        </w:trPr>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5680" w:right="3360" w:hanging="5672"/>
        <w:spacing w:after="0" w:line="592" w:lineRule="auto"/>
        <w:tabs>
          <w:tab w:leader="none" w:pos="244"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Includes a $5,091 one-time adjustment to deferred tax assets required upon enactment of the 2017 Tax Cut and Jobs Act. </w:t>
      </w: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2020-01-14T16:44:50Z</dcterms:created>
  <dcterms:modified xsi:type="dcterms:W3CDTF">2020-01-14T16:44:50Z</dcterms:modified>
</cp:coreProperties>
</file>