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AND EXCHANGE COMMISSION</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DEFINITIVE PROXY STATEMENT</w:t>
      </w:r>
    </w:p>
    <w:p>
      <w:pPr>
        <w:pStyle w:val="TextBody"/>
        <w:bidi w:val="0"/>
        <w:spacing w:lineRule="auto" w:line="288" w:before="0" w:after="0"/>
        <w:jc w:val="center"/>
        <w:rPr/>
      </w:pPr>
      <w:r>
        <w:rPr>
          <w:rFonts w:ascii="Times New Roman;sans-serif" w:hAnsi="Times New Roman;sans-serif"/>
          <w:b w:val="false"/>
          <w:color w:val="000000"/>
          <w:sz w:val="20"/>
        </w:rPr>
        <w:t>SCHEDULE 14A</w:t>
      </w:r>
      <w:r>
        <w:rPr>
          <w:color w:val="000000"/>
        </w:rPr>
        <w:t> </w:t>
      </w:r>
    </w:p>
    <w:p>
      <w:pPr>
        <w:pStyle w:val="TextBody"/>
        <w:bidi w:val="0"/>
        <w:spacing w:lineRule="auto" w:line="288" w:before="0" w:after="0"/>
        <w:jc w:val="center"/>
        <w:rPr/>
      </w:pPr>
      <w:r>
        <w:rPr>
          <w:rFonts w:ascii="Times New Roman;sans-serif" w:hAnsi="Times New Roman;sans-serif"/>
          <w:b w:val="false"/>
          <w:color w:val="000000"/>
          <w:sz w:val="20"/>
        </w:rPr>
        <w:t>(Rule 14a-101)</w:t>
      </w:r>
      <w:r>
        <w:rPr>
          <w:color w:val="000000"/>
        </w:rPr>
        <w:t> </w:t>
      </w:r>
    </w:p>
    <w:p>
      <w:pPr>
        <w:pStyle w:val="TextBody"/>
        <w:bidi w:val="0"/>
        <w:spacing w:lineRule="auto" w:line="288" w:before="0" w:after="120"/>
        <w:jc w:val="center"/>
        <w:rPr/>
      </w:pPr>
      <w:r>
        <w:rPr>
          <w:rFonts w:ascii="Times New Roman;sans-serif" w:hAnsi="Times New Roman;sans-serif"/>
          <w:b w:val="false"/>
          <w:color w:val="000000"/>
          <w:sz w:val="20"/>
        </w:rPr>
        <w:t>INFORMATION REQUIRED IN PROXY STATEMENT</w:t>
      </w:r>
      <w:r>
        <w:rPr>
          <w:color w:val="000000"/>
        </w:rPr>
        <w:t> </w:t>
      </w:r>
    </w:p>
    <w:p>
      <w:pPr>
        <w:pStyle w:val="TextBody"/>
        <w:bidi w:val="0"/>
        <w:spacing w:lineRule="auto" w:line="288" w:before="0" w:after="120"/>
        <w:jc w:val="center"/>
        <w:rPr/>
      </w:pPr>
      <w:r>
        <w:rPr>
          <w:rFonts w:ascii="Times New Roman;sans-serif" w:hAnsi="Times New Roman;sans-serif"/>
          <w:b w:val="false"/>
          <w:color w:val="000000"/>
          <w:sz w:val="20"/>
        </w:rPr>
        <w:t>SCHEDULE 14A INFORMATION</w:t>
      </w:r>
      <w:r>
        <w:rPr>
          <w:color w:val="000000"/>
        </w:rPr>
        <w:t> </w:t>
      </w:r>
    </w:p>
    <w:p>
      <w:pPr>
        <w:pStyle w:val="TextBody"/>
        <w:bidi w:val="0"/>
        <w:spacing w:lineRule="auto" w:line="288" w:before="0" w:after="120"/>
        <w:jc w:val="center"/>
        <w:rPr/>
      </w:pPr>
      <w:r>
        <w:rPr>
          <w:rFonts w:ascii="Times New Roman;sans-serif" w:hAnsi="Times New Roman;sans-serif"/>
          <w:b w:val="false"/>
          <w:color w:val="000000"/>
          <w:sz w:val="20"/>
        </w:rPr>
        <w:t>Proxy Statement Pursuant to Section 14(a) of the Securities Exchange Act of 1934 (Amendment No. )</w:t>
      </w:r>
      <w:r>
        <w:rPr>
          <w:color w:val="000000"/>
        </w:rPr>
        <w:t> </w:t>
      </w:r>
    </w:p>
    <w:tbl>
      <w:tblPr>
        <w:tblW w:w="10205" w:type="dxa"/>
        <w:jc w:val="left"/>
        <w:tblInd w:w="0" w:type="dxa"/>
        <w:tblLayout w:type="fixed"/>
        <w:tblCellMar>
          <w:top w:w="28" w:type="dxa"/>
          <w:left w:w="28" w:type="dxa"/>
          <w:bottom w:w="28" w:type="dxa"/>
          <w:right w:w="28" w:type="dxa"/>
        </w:tblCellMar>
      </w:tblPr>
      <w:tblGrid>
        <w:gridCol w:w="379"/>
        <w:gridCol w:w="319"/>
        <w:gridCol w:w="319"/>
        <w:gridCol w:w="319"/>
        <w:gridCol w:w="319"/>
        <w:gridCol w:w="319"/>
        <w:gridCol w:w="1776"/>
        <w:gridCol w:w="1741"/>
        <w:gridCol w:w="1706"/>
        <w:gridCol w:w="109"/>
        <w:gridCol w:w="109"/>
        <w:gridCol w:w="109"/>
        <w:gridCol w:w="781"/>
        <w:gridCol w:w="781"/>
        <w:gridCol w:w="1119"/>
      </w:tblGrid>
      <w:tr>
        <w:trPr/>
        <w:tc>
          <w:tcPr>
            <w:tcW w:w="37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r>
      <w:tr>
        <w:trPr/>
        <w:tc>
          <w:tcPr>
            <w:tcW w:w="7197"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Filed by the Registrant </w:t>
            </w: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197"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Filed by a Party other than the Registrant </w:t>
            </w: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197"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19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Preliminary Proxy Statement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Under Rule 14a-12</w:t>
            </w:r>
          </w:p>
        </w:tc>
      </w:tr>
      <w:tr>
        <w:trPr/>
        <w:tc>
          <w:tcPr>
            <w:tcW w:w="101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ingdings;sans-serif" w:hAnsi="Wingdings;sans-serif"/>
                <w:b w:val="false"/>
                <w:color w:val="000000"/>
                <w:sz w:val="20"/>
              </w:rPr>
            </w:pPr>
            <w:r>
              <w:rPr>
                <w:rFonts w:ascii="Wingdings;sans-serif" w:hAnsi="Wingdings;sans-serif"/>
                <w:b w:val="false"/>
                <w:color w:val="000000"/>
                <w:sz w:val="20"/>
              </w:rPr>
              <w:t>o</w:t>
            </w:r>
          </w:p>
          <w:p>
            <w:pPr>
              <w:pStyle w:val="TableContents"/>
              <w:bidi w:val="0"/>
              <w:spacing w:before="0" w:after="0"/>
              <w:jc w:val="left"/>
              <w:rPr/>
            </w:pPr>
            <w:r>
              <w:rPr/>
            </w:r>
          </w:p>
        </w:tc>
        <w:tc>
          <w:tcPr>
            <w:tcW w:w="9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Confidential, For Use of the Commission Only (as permitted by Rule 14a-6(e)(2))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Definitive Proxy Statement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1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ingdings;sans-serif" w:hAnsi="Wingdings;sans-serif"/>
                <w:b w:val="false"/>
                <w:color w:val="000000"/>
                <w:sz w:val="20"/>
              </w:rPr>
            </w:pPr>
            <w:r>
              <w:rPr>
                <w:rFonts w:ascii="Wingdings;sans-serif" w:hAnsi="Wingdings;sans-serif"/>
                <w:b w:val="false"/>
                <w:color w:val="000000"/>
                <w:sz w:val="20"/>
              </w:rPr>
              <w:t>x</w:t>
            </w:r>
          </w:p>
          <w:p>
            <w:pPr>
              <w:pStyle w:val="TableContents"/>
              <w:bidi w:val="0"/>
              <w:spacing w:before="0" w:after="0"/>
              <w:jc w:val="left"/>
              <w:rPr/>
            </w:pPr>
            <w:r>
              <w:rPr/>
            </w:r>
          </w:p>
        </w:tc>
        <w:tc>
          <w:tcPr>
            <w:tcW w:w="9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Definitive Additional Materials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0" w:after="0"/>
        <w:jc w:val="left"/>
        <w:rPr>
          <w:color w:val="000000"/>
        </w:rPr>
      </w:pPr>
      <w:r>
        <w:rPr>
          <w:color w:val="000000"/>
        </w:rPr>
        <w:t> </w:t>
      </w:r>
    </w:p>
    <w:tbl>
      <w:tblPr>
        <w:tblW w:w="6669" w:type="dxa"/>
        <w:jc w:val="left"/>
        <w:tblInd w:w="0" w:type="dxa"/>
        <w:tblLayout w:type="fixed"/>
        <w:tblCellMar>
          <w:top w:w="28" w:type="dxa"/>
          <w:left w:w="28" w:type="dxa"/>
          <w:bottom w:w="28" w:type="dxa"/>
          <w:right w:w="28" w:type="dxa"/>
        </w:tblCellMar>
      </w:tblPr>
      <w:tblGrid>
        <w:gridCol w:w="124"/>
        <w:gridCol w:w="109"/>
        <w:gridCol w:w="109"/>
        <w:gridCol w:w="1984"/>
        <w:gridCol w:w="1984"/>
        <w:gridCol w:w="198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4" w:type="dxa"/>
            <w:tcBorders/>
            <w:vAlign w:val="center"/>
          </w:tcPr>
          <w:p>
            <w:pPr>
              <w:pStyle w:val="TableContents"/>
              <w:bidi w:val="0"/>
              <w:spacing w:before="0" w:after="283"/>
              <w:jc w:val="left"/>
              <w:rPr>
                <w:sz w:val="4"/>
                <w:szCs w:val="4"/>
              </w:rPr>
            </w:pPr>
            <w:r>
              <w:rPr>
                <w:sz w:val="4"/>
                <w:szCs w:val="4"/>
              </w:rPr>
            </w:r>
          </w:p>
        </w:tc>
        <w:tc>
          <w:tcPr>
            <w:tcW w:w="1984"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8"/>
              </w:rPr>
            </w:pPr>
            <w:r>
              <w:rPr>
                <w:rFonts w:ascii="Times New Roman;sans-serif" w:hAnsi="Times New Roman;sans-serif"/>
                <w:b/>
                <w:color w:val="000000"/>
                <w:sz w:val="28"/>
              </w:rPr>
              <w:t>Oil-Dri Corporation of America</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Registrant as Specified In Its Charter)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95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Person(s) Filing Proxy Statement, if Other Than the Registrant)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bl>
    <w:tbl>
      <w:tblPr>
        <w:tblW w:w="10205" w:type="dxa"/>
        <w:jc w:val="left"/>
        <w:tblInd w:w="0" w:type="dxa"/>
        <w:tblLayout w:type="fixed"/>
        <w:tblCellMar>
          <w:top w:w="28" w:type="dxa"/>
          <w:left w:w="28" w:type="dxa"/>
          <w:bottom w:w="28" w:type="dxa"/>
          <w:right w:w="28" w:type="dxa"/>
        </w:tblCellMar>
      </w:tblPr>
      <w:tblGrid>
        <w:gridCol w:w="194"/>
        <w:gridCol w:w="170"/>
        <w:gridCol w:w="170"/>
        <w:gridCol w:w="170"/>
        <w:gridCol w:w="170"/>
        <w:gridCol w:w="170"/>
        <w:gridCol w:w="361"/>
        <w:gridCol w:w="337"/>
        <w:gridCol w:w="337"/>
        <w:gridCol w:w="337"/>
        <w:gridCol w:w="337"/>
        <w:gridCol w:w="337"/>
        <w:gridCol w:w="2353"/>
        <w:gridCol w:w="2014"/>
        <w:gridCol w:w="2748"/>
      </w:tblGrid>
      <w:tr>
        <w:trPr/>
        <w:tc>
          <w:tcPr>
            <w:tcW w:w="19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353" w:type="dxa"/>
            <w:tcBorders/>
            <w:vAlign w:val="center"/>
          </w:tcPr>
          <w:p>
            <w:pPr>
              <w:pStyle w:val="TableContents"/>
              <w:bidi w:val="0"/>
              <w:spacing w:before="0" w:after="283"/>
              <w:jc w:val="left"/>
              <w:rPr>
                <w:sz w:val="4"/>
                <w:szCs w:val="4"/>
              </w:rPr>
            </w:pPr>
            <w:r>
              <w:rPr>
                <w:sz w:val="4"/>
                <w:szCs w:val="4"/>
              </w:rPr>
            </w:r>
          </w:p>
        </w:tc>
        <w:tc>
          <w:tcPr>
            <w:tcW w:w="2014"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Filing Fee (Check the appropriate box):</w:t>
            </w:r>
          </w:p>
        </w:tc>
      </w:tr>
      <w:tr>
        <w:trPr/>
        <w:tc>
          <w:tcPr>
            <w:tcW w:w="5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ingdings;sans-serif" w:hAnsi="Wingdings;sans-serif"/>
                <w:b w:val="false"/>
                <w:color w:val="000000"/>
                <w:sz w:val="20"/>
              </w:rPr>
            </w:pPr>
            <w:r>
              <w:rPr>
                <w:rFonts w:ascii="Wingdings;sans-serif" w:hAnsi="Wingdings;sans-serif"/>
                <w:b w:val="false"/>
                <w:color w:val="000000"/>
                <w:sz w:val="20"/>
              </w:rPr>
              <w:t>x</w:t>
            </w:r>
          </w:p>
          <w:p>
            <w:pPr>
              <w:pStyle w:val="TableContents"/>
              <w:bidi w:val="0"/>
              <w:spacing w:before="0" w:after="0"/>
              <w:jc w:val="left"/>
              <w:rPr/>
            </w:pPr>
            <w:r>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fee required.</w:t>
            </w:r>
          </w:p>
        </w:tc>
      </w:tr>
      <w:tr>
        <w:trPr/>
        <w:tc>
          <w:tcPr>
            <w:tcW w:w="5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ingdings;sans-serif" w:hAnsi="Wingdings;sans-serif"/>
                <w:b w:val="false"/>
                <w:color w:val="000000"/>
                <w:sz w:val="20"/>
              </w:rPr>
            </w:pPr>
            <w:r>
              <w:rPr>
                <w:rFonts w:ascii="Wingdings;sans-serif" w:hAnsi="Wingdings;sans-serif"/>
                <w:b w:val="false"/>
                <w:color w:val="000000"/>
                <w:sz w:val="20"/>
              </w:rPr>
              <w:t>o</w:t>
            </w:r>
          </w:p>
          <w:p>
            <w:pPr>
              <w:pStyle w:val="TableContents"/>
              <w:bidi w:val="0"/>
              <w:spacing w:before="0" w:after="0"/>
              <w:jc w:val="left"/>
              <w:rPr/>
            </w:pPr>
            <w:r>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 computed on table below per Exchange Act Rules 14a-6(i)(4) and 0-11.</w:t>
            </w:r>
          </w:p>
        </w:tc>
      </w:tr>
      <w:tr>
        <w:trPr/>
        <w:tc>
          <w:tcPr>
            <w:tcW w:w="53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of each class of securities to which transaction applies:</w:t>
            </w:r>
          </w:p>
        </w:tc>
      </w:tr>
      <w:tr>
        <w:trPr/>
        <w:tc>
          <w:tcPr>
            <w:tcW w:w="5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Aggregate number of securities to which transaction applies:</w:t>
            </w:r>
          </w:p>
        </w:tc>
      </w:tr>
      <w:tr>
        <w:trPr/>
        <w:tc>
          <w:tcPr>
            <w:tcW w:w="5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 unit price or other underlying value of transaction computed pursuant to Exchange Act Rule 0-11 (set forth the amount on which the filing fee is calculated and state how it was determined):</w:t>
            </w:r>
          </w:p>
        </w:tc>
      </w:tr>
      <w:tr>
        <w:trPr/>
        <w:tc>
          <w:tcPr>
            <w:tcW w:w="5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Proposed maximum aggregate value of transaction:</w:t>
            </w:r>
          </w:p>
        </w:tc>
      </w:tr>
      <w:tr>
        <w:trPr/>
        <w:tc>
          <w:tcPr>
            <w:tcW w:w="5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fee paid:</w:t>
            </w:r>
          </w:p>
        </w:tc>
      </w:tr>
      <w:tr>
        <w:trPr/>
        <w:tc>
          <w:tcPr>
            <w:tcW w:w="5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ingdings;sans-serif" w:hAnsi="Wingdings;sans-serif"/>
                <w:b w:val="false"/>
                <w:color w:val="000000"/>
                <w:sz w:val="20"/>
              </w:rPr>
            </w:pPr>
            <w:r>
              <w:rPr>
                <w:rFonts w:ascii="Wingdings;sans-serif" w:hAnsi="Wingdings;sans-serif"/>
                <w:b w:val="false"/>
                <w:color w:val="000000"/>
                <w:sz w:val="20"/>
              </w:rPr>
              <w:t>o</w:t>
            </w:r>
          </w:p>
          <w:p>
            <w:pPr>
              <w:pStyle w:val="TableContents"/>
              <w:bidi w:val="0"/>
              <w:spacing w:before="0" w:after="0"/>
              <w:jc w:val="left"/>
              <w:rPr/>
            </w:pPr>
            <w:r>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 paid previously with preliminary materials:</w:t>
            </w:r>
          </w:p>
        </w:tc>
      </w:tr>
      <w:tr>
        <w:trPr/>
        <w:tc>
          <w:tcPr>
            <w:tcW w:w="5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ingdings;sans-serif" w:hAnsi="Wingdings;sans-serif"/>
                <w:b w:val="false"/>
                <w:color w:val="000000"/>
                <w:sz w:val="20"/>
              </w:rPr>
            </w:pPr>
            <w:r>
              <w:rPr>
                <w:rFonts w:ascii="Wingdings;sans-serif" w:hAnsi="Wingdings;sans-serif"/>
                <w:b w:val="false"/>
                <w:color w:val="000000"/>
                <w:sz w:val="20"/>
              </w:rPr>
              <w:t>o</w:t>
            </w:r>
          </w:p>
          <w:p>
            <w:pPr>
              <w:pStyle w:val="TableContents"/>
              <w:bidi w:val="0"/>
              <w:spacing w:before="0" w:after="0"/>
              <w:jc w:val="left"/>
              <w:rPr/>
            </w:pPr>
            <w:r>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tc>
      </w:tr>
      <w:tr>
        <w:trPr/>
        <w:tc>
          <w:tcPr>
            <w:tcW w:w="5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 previously paid:</w:t>
            </w:r>
          </w:p>
        </w:tc>
      </w:tr>
      <w:tr>
        <w:trPr/>
        <w:tc>
          <w:tcPr>
            <w:tcW w:w="5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Schedule or Registration Statement No.:</w:t>
            </w:r>
          </w:p>
        </w:tc>
      </w:tr>
      <w:tr>
        <w:trPr/>
        <w:tc>
          <w:tcPr>
            <w:tcW w:w="5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Filing Party:</w:t>
            </w:r>
          </w:p>
        </w:tc>
      </w:tr>
      <w:tr>
        <w:trPr/>
        <w:tc>
          <w:tcPr>
            <w:tcW w:w="5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Filed:</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6515100" cy="842962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6515100" cy="8429625"/>
                    </a:xfrm>
                    <a:prstGeom prst="rect">
                      <a:avLst/>
                    </a:prstGeom>
                  </pic:spPr>
                </pic:pic>
              </a:graphicData>
            </a:graphic>
          </wp:inline>
        </w:drawing>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pPr>
      <w:r>
        <w:rPr/>
        <w:drawing>
          <wp:inline distT="0" distB="0" distL="0" distR="0">
            <wp:extent cx="6515100" cy="842962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6515100" cy="8429625"/>
                    </a:xfrm>
                    <a:prstGeom prst="rect">
                      <a:avLst/>
                    </a:prstGeom>
                  </pic:spPr>
                </pic:pic>
              </a:graphicData>
            </a:graphic>
          </wp:inline>
        </w:drawing>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275</Words>
  <Characters>1452</Characters>
  <CharactersWithSpaces>1727</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