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v187703_8k.htm"/>
      <w:bookmarkStart w:id="1" w:name="ksv187703_8k"/>
      <w:bookmarkStart w:id="2" w:name="v187703_8k.htm"/>
      <w:bookmarkStart w:id="3" w:name="ksv187703_8k"/>
      <w:bookmarkEnd w:id="2"/>
      <w:bookmarkEnd w:id="3"/>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66"/>
        <w:gridCol w:w="6739"/>
      </w:tblGrid>
      <w:tr>
        <w:trPr/>
        <w:tc>
          <w:tcPr>
            <w:tcW w:w="34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of Report (Date of earliest event reported)</w:t>
            </w:r>
          </w:p>
        </w:tc>
        <w:tc>
          <w:tcPr>
            <w:tcW w:w="6739" w:type="dxa"/>
            <w:tcBorders>
              <w:bottom w:val="single" w:sz="12" w:space="0" w:color="000000"/>
            </w:tcBorders>
            <w:shd w:fill="auto" w:val="clear"/>
            <w:tcMar>
              <w:bottom w:w="28" w:type="dxa"/>
            </w:tcMar>
          </w:tcPr>
          <w:p>
            <w:pPr>
              <w:pStyle w:val="TableContents"/>
              <w:spacing w:before="0" w:after="0"/>
              <w:ind w:left="180" w:right="0" w:hanging="0"/>
              <w:jc w:val="left"/>
              <w:rPr>
                <w:rFonts w:ascii="Times New Roman" w:hAnsi="Times New Roman"/>
                <w:b/>
                <w:sz w:val="20"/>
              </w:rPr>
            </w:pPr>
            <w:r>
              <w:rPr>
                <w:rFonts w:ascii="Times New Roman" w:hAnsi="Times New Roman"/>
                <w:b/>
                <w:sz w:val="20"/>
              </w:rPr>
              <w:t>June 8, 2010</w:t>
            </w:r>
          </w:p>
        </w:tc>
      </w:tr>
      <w:tr>
        <w:trPr/>
        <w:tc>
          <w:tcPr>
            <w:tcW w:w="10205" w:type="dxa"/>
            <w:gridSpan w:val="2"/>
            <w:tcBorders/>
            <w:shd w:fill="auto" w:val="clear"/>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w:t>
            </w:r>
          </w:p>
        </w:tc>
      </w:tr>
      <w:tr>
        <w:trPr/>
        <w:tc>
          <w:tcPr>
            <w:tcW w:w="1020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ableContents"/>
              <w:spacing w:before="0" w:after="0"/>
              <w:ind w:left="0" w:right="0" w:hanging="0"/>
              <w:rPr/>
            </w:pPr>
            <w:r>
              <w:rPr/>
              <w:t> </w:t>
            </w:r>
          </w:p>
        </w:tc>
      </w:tr>
    </w:tbl>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190"/>
        <w:gridCol w:w="317"/>
        <w:gridCol w:w="3190"/>
        <w:gridCol w:w="317"/>
        <w:gridCol w:w="3191"/>
      </w:tblGrid>
      <w:tr>
        <w:trPr/>
        <w:tc>
          <w:tcPr>
            <w:tcW w:w="3190"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317" w:type="dxa"/>
            <w:tcBorders>
              <w:bottom w:val="single" w:sz="12" w:space="0" w:color="000000"/>
            </w:tcBorders>
            <w:shd w:fill="auto" w:val="clear"/>
          </w:tcPr>
          <w:p>
            <w:pPr>
              <w:pStyle w:val="TableContents"/>
              <w:spacing w:before="0" w:after="283"/>
              <w:rPr/>
            </w:pPr>
            <w:r>
              <w:rPr/>
              <w:t xml:space="preserve">  </w:t>
            </w:r>
          </w:p>
        </w:tc>
        <w:tc>
          <w:tcPr>
            <w:tcW w:w="3190"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001-12622</w:t>
            </w:r>
          </w:p>
        </w:tc>
        <w:tc>
          <w:tcPr>
            <w:tcW w:w="317" w:type="dxa"/>
            <w:tcBorders>
              <w:bottom w:val="single" w:sz="12" w:space="0" w:color="000000"/>
            </w:tcBorders>
            <w:shd w:fill="auto" w:val="clear"/>
          </w:tcPr>
          <w:p>
            <w:pPr>
              <w:pStyle w:val="TableContents"/>
              <w:spacing w:before="0" w:after="283"/>
              <w:rPr/>
            </w:pPr>
            <w:r>
              <w:rPr/>
              <w:t xml:space="preserve">  </w:t>
            </w:r>
          </w:p>
        </w:tc>
        <w:tc>
          <w:tcPr>
            <w:tcW w:w="3191"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36-2048898</w:t>
            </w:r>
          </w:p>
        </w:tc>
      </w:tr>
      <w:tr>
        <w:trPr/>
        <w:tc>
          <w:tcPr>
            <w:tcW w:w="3190"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c>
          <w:tcPr>
            <w:tcW w:w="317" w:type="dxa"/>
            <w:tcBorders/>
            <w:shd w:fill="auto" w:val="clear"/>
            <w:tcMar>
              <w:bottom w:w="0" w:type="dxa"/>
            </w:tcMar>
          </w:tcPr>
          <w:p>
            <w:pPr>
              <w:pStyle w:val="TableContents"/>
              <w:spacing w:before="0" w:after="283"/>
              <w:rPr/>
            </w:pPr>
            <w:r>
              <w:rPr/>
              <w:t xml:space="preserve">  </w:t>
            </w:r>
          </w:p>
        </w:tc>
        <w:tc>
          <w:tcPr>
            <w:tcW w:w="3190"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317" w:type="dxa"/>
            <w:tcBorders/>
            <w:shd w:fill="auto" w:val="clear"/>
            <w:tcMar>
              <w:bottom w:w="0" w:type="dxa"/>
            </w:tcMar>
          </w:tcPr>
          <w:p>
            <w:pPr>
              <w:pStyle w:val="TableContents"/>
              <w:spacing w:before="0" w:after="283"/>
              <w:rPr/>
            </w:pPr>
            <w:r>
              <w:rPr/>
              <w:t xml:space="preserve">  </w:t>
            </w:r>
          </w:p>
        </w:tc>
        <w:tc>
          <w:tcPr>
            <w:tcW w:w="3191"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163"/>
        <w:gridCol w:w="5042"/>
      </w:tblGrid>
      <w:tr>
        <w:trPr/>
        <w:tc>
          <w:tcPr>
            <w:tcW w:w="516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410 North Michigan Avenue</w:t>
            </w:r>
          </w:p>
          <w:p>
            <w:pPr>
              <w:pStyle w:val="TableContents"/>
              <w:spacing w:before="0" w:after="0"/>
              <w:ind w:left="0" w:right="0" w:hanging="0"/>
              <w:jc w:val="center"/>
              <w:rPr>
                <w:rFonts w:ascii="Times New Roman" w:hAnsi="Times New Roman"/>
                <w:b/>
                <w:sz w:val="20"/>
              </w:rPr>
            </w:pPr>
            <w:r>
              <w:rPr>
                <w:rFonts w:ascii="Times New Roman" w:hAnsi="Times New Roman"/>
                <w:b/>
                <w:sz w:val="20"/>
              </w:rPr>
              <w:t>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Chicago, Illinois</w:t>
            </w:r>
          </w:p>
        </w:tc>
        <w:tc>
          <w:tcPr>
            <w:tcW w:w="5042" w:type="dxa"/>
            <w:tcBorders>
              <w:bottom w:val="single" w:sz="12" w:space="0" w:color="000000"/>
            </w:tcBorders>
            <w:shd w:fill="auto" w:val="cle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b/>
                <w:sz w:val="20"/>
              </w:rPr>
            </w:pPr>
            <w:r>
              <w:rPr>
                <w:rFonts w:ascii="Times New Roman" w:hAnsi="Times New Roman"/>
                <w:b/>
                <w:sz w:val="20"/>
              </w:rPr>
              <w:t>60611-4213</w:t>
            </w:r>
          </w:p>
        </w:tc>
      </w:tr>
      <w:tr>
        <w:trPr/>
        <w:tc>
          <w:tcPr>
            <w:tcW w:w="51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042"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776"/>
        <w:gridCol w:w="6429"/>
      </w:tblGrid>
      <w:tr>
        <w:trPr/>
        <w:tc>
          <w:tcPr>
            <w:tcW w:w="37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Registrant’s telephone number, including area code</w:t>
            </w:r>
          </w:p>
        </w:tc>
        <w:tc>
          <w:tcPr>
            <w:tcW w:w="6429" w:type="dxa"/>
            <w:tcBorders>
              <w:bottom w:val="single" w:sz="12" w:space="0" w:color="000000"/>
            </w:tcBorders>
            <w:shd w:fill="auto" w:val="clear"/>
            <w:tcMar>
              <w:bottom w:w="28" w:type="dxa"/>
            </w:tcMar>
          </w:tcPr>
          <w:p>
            <w:pPr>
              <w:pStyle w:val="TableContents"/>
              <w:spacing w:before="0" w:after="0"/>
              <w:ind w:left="180" w:right="0" w:hanging="0"/>
              <w:jc w:val="left"/>
              <w:rPr>
                <w:rFonts w:ascii="times new roman" w:hAnsi="times new roman"/>
                <w:b/>
                <w:sz w:val="20"/>
              </w:rPr>
            </w:pPr>
            <w:r>
              <w:rPr>
                <w:rFonts w:ascii="times new roman" w:hAnsi="times new roman"/>
                <w:b/>
                <w:sz w:val="20"/>
              </w:rPr>
              <w:t>(312) 321-1515</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283"/>
              <w:rPr/>
            </w:pPr>
            <w:r>
              <w:rPr/>
              <w:t> </w:t>
            </w:r>
          </w:p>
        </w:tc>
      </w:tr>
      <w:tr>
        <w:trPr/>
        <w:tc>
          <w:tcPr>
            <w:tcW w:w="10205" w:type="dxa"/>
            <w:gridSpan w:val="2"/>
            <w:tcBorders>
              <w:bottom w:val="single" w:sz="12" w:space="0" w:color="000000"/>
            </w:tcBorders>
            <w:shd w:fill="auto" w:val="clear"/>
            <w:tcMar>
              <w:bottom w:w="28" w:type="dxa"/>
            </w:tcM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o</w:t>
      </w:r>
      <w:r>
        <w:rPr>
          <w:rFonts w:ascii="Times New Roman" w:hAnsi="Times New Roman"/>
          <w:sz w:val="20"/>
        </w:rPr>
        <w:t>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both"/>
        <w:rPr/>
      </w:pPr>
      <w:r>
        <w:rPr>
          <w:rFonts w:ascii="Wingdings" w:hAnsi="Wingdings"/>
          <w:sz w:val="20"/>
        </w:rPr>
        <w:t>o</w:t>
      </w:r>
      <w:r>
        <w:rPr>
          <w:rFonts w:ascii="Times New Roman" w:hAnsi="Times New Roman"/>
          <w:sz w:val="20"/>
        </w:rPr>
        <w:t>  Pre-commencement communications pursuant to Rule 13e-4(c) under the Exchange Act (17 CFR 240.13e-4(c))</w:t>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u w:val="single"/>
        </w:rPr>
        <w:t>Item 2.02</w:t>
      </w:r>
      <w:r>
        <w:rPr>
          <w:rFonts w:ascii="Times New Roman" w:hAnsi="Times New Roman"/>
          <w:b/>
          <w:sz w:val="20"/>
        </w:rPr>
        <w:t> </w:t>
      </w:r>
      <w:bookmarkStart w:id="4" w:name="TAB2"/>
      <w:bookmarkEnd w:id="4"/>
      <w:r>
        <w:rPr>
          <w:rFonts w:ascii="Times New Roman" w:hAnsi="Times New Roman"/>
          <w:b/>
          <w:spacing w:val="180"/>
          <w:sz w:val="20"/>
        </w:rPr>
        <w:t>  </w:t>
      </w:r>
      <w:r>
        <w:rPr>
          <w:rFonts w:ascii="Times New Roman" w:hAnsi="Times New Roman"/>
          <w:b/>
          <w:sz w:val="20"/>
        </w:rPr>
        <w:t>Results of Operations and Financial Condition.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8, 2010, Oil-Dri Corporation of America (the “Registrant”) issued a press release announcing its results of operations for its third quarter and nine-month period ended April 30, 2010.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except as shall be expressly set forth by specific reference in such filing.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u w:val="single"/>
        </w:rPr>
        <w:t>Item 9.01</w:t>
      </w:r>
      <w:r>
        <w:rPr>
          <w:rFonts w:ascii="Times New Roman" w:hAnsi="Times New Roman"/>
          <w:b/>
          <w:sz w:val="20"/>
        </w:rPr>
        <w:t> </w:t>
      </w:r>
      <w:bookmarkStart w:id="5" w:name="TAB21"/>
      <w:bookmarkEnd w:id="5"/>
      <w:r>
        <w:rPr>
          <w:rFonts w:ascii="Times New Roman" w:hAnsi="Times New Roman"/>
          <w:b/>
          <w:spacing w:val="180"/>
          <w:sz w:val="20"/>
        </w:rPr>
        <w:t>  </w:t>
      </w:r>
      <w:r>
        <w:rPr>
          <w:rFonts w:ascii="Times New Roman" w:hAnsi="Times New Roman"/>
          <w:b/>
          <w:sz w:val="20"/>
        </w:rPr>
        <w:t>Financial Statements and Exhibits.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rPr/>
      </w:pPr>
      <w:r>
        <w:rPr/>
        <w:t> </w:t>
      </w:r>
    </w:p>
    <w:tbl>
      <w:tblPr>
        <w:tblW w:w="4250" w:type="pct"/>
        <w:jc w:val="left"/>
        <w:tblInd w:w="0" w:type="dxa"/>
        <w:tblCellMar>
          <w:top w:w="0" w:type="dxa"/>
          <w:left w:w="0" w:type="dxa"/>
          <w:bottom w:w="28" w:type="dxa"/>
          <w:right w:w="0" w:type="dxa"/>
        </w:tblCellMar>
      </w:tblPr>
      <w:tblGrid>
        <w:gridCol w:w="684"/>
        <w:gridCol w:w="753"/>
        <w:gridCol w:w="7237"/>
      </w:tblGrid>
      <w:tr>
        <w:trPr/>
        <w:tc>
          <w:tcPr>
            <w:tcW w:w="684"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753" w:type="dxa"/>
            <w:tcBorders/>
            <w:shd w:fill="auto" w:val="clear"/>
            <w:tcMar>
              <w:bottom w:w="0" w:type="dxa"/>
            </w:tcMar>
          </w:tcPr>
          <w:p>
            <w:pPr>
              <w:pStyle w:val="TableContents"/>
              <w:spacing w:before="0" w:after="283"/>
              <w:jc w:val="left"/>
              <w:rPr/>
            </w:pPr>
            <w:r>
              <w:rPr/>
              <w:t> </w:t>
            </w:r>
          </w:p>
        </w:tc>
        <w:tc>
          <w:tcPr>
            <w:tcW w:w="7237"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center"/>
              <w:rPr>
                <w:sz w:val="20"/>
              </w:rPr>
            </w:pPr>
            <w:r>
              <w:rPr>
                <w:sz w:val="20"/>
              </w:rPr>
              <w:t>Description of Exhibits</w:t>
            </w:r>
          </w:p>
        </w:tc>
      </w:tr>
      <w:tr>
        <w:trPr/>
        <w:tc>
          <w:tcPr>
            <w:tcW w:w="684" w:type="dxa"/>
            <w:tcBorders/>
            <w:shd w:fill="auto" w:val="clear"/>
            <w:tcMar>
              <w:bottom w:w="0" w:type="dxa"/>
            </w:tcMar>
          </w:tcPr>
          <w:p>
            <w:pPr>
              <w:pStyle w:val="TableContents"/>
              <w:spacing w:before="0" w:after="283"/>
              <w:jc w:val="left"/>
              <w:rPr/>
            </w:pPr>
            <w:r>
              <w:rPr/>
              <w:t> </w:t>
            </w:r>
          </w:p>
        </w:tc>
        <w:tc>
          <w:tcPr>
            <w:tcW w:w="753" w:type="dxa"/>
            <w:tcBorders/>
            <w:shd w:fill="auto" w:val="clear"/>
            <w:tcMar>
              <w:bottom w:w="0" w:type="dxa"/>
            </w:tcMar>
          </w:tcPr>
          <w:p>
            <w:pPr>
              <w:pStyle w:val="TableContents"/>
              <w:spacing w:before="0" w:after="283"/>
              <w:jc w:val="left"/>
              <w:rPr/>
            </w:pPr>
            <w:r>
              <w:rPr/>
              <w:t> </w:t>
            </w:r>
          </w:p>
        </w:tc>
        <w:tc>
          <w:tcPr>
            <w:tcW w:w="7237" w:type="dxa"/>
            <w:tcBorders/>
            <w:shd w:fill="auto" w:val="clear"/>
            <w:tcMar>
              <w:bottom w:w="0" w:type="dxa"/>
            </w:tcMar>
          </w:tcPr>
          <w:p>
            <w:pPr>
              <w:pStyle w:val="TableContents"/>
              <w:spacing w:before="0" w:after="283"/>
              <w:jc w:val="left"/>
              <w:rPr/>
            </w:pPr>
            <w:r>
              <w:rPr/>
              <w:t> </w:t>
            </w:r>
          </w:p>
        </w:tc>
      </w:tr>
      <w:tr>
        <w:trPr/>
        <w:tc>
          <w:tcPr>
            <w:tcW w:w="684" w:type="dxa"/>
            <w:tcBorders/>
            <w:shd w:fill="auto"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99.1 </w:t>
            </w:r>
          </w:p>
        </w:tc>
        <w:tc>
          <w:tcPr>
            <w:tcW w:w="753" w:type="dxa"/>
            <w:tcBorders/>
            <w:shd w:fill="auto" w:val="clear"/>
            <w:tcMar>
              <w:bottom w:w="0" w:type="dxa"/>
            </w:tcMar>
          </w:tcPr>
          <w:p>
            <w:pPr>
              <w:pStyle w:val="TableContents"/>
              <w:spacing w:before="0" w:after="283"/>
              <w:jc w:val="left"/>
              <w:rPr/>
            </w:pPr>
            <w:r>
              <w:rPr/>
              <w:t> </w:t>
            </w:r>
          </w:p>
        </w:tc>
        <w:tc>
          <w:tcPr>
            <w:tcW w:w="7237" w:type="dxa"/>
            <w:tcBorders/>
            <w:shd w:fill="auto" w:val="clear"/>
            <w:tcMar>
              <w:bottom w:w="0" w:type="dxa"/>
            </w:tcMar>
          </w:tcPr>
          <w:p>
            <w:pPr>
              <w:pStyle w:val="TableContents"/>
              <w:spacing w:before="0" w:after="283"/>
              <w:jc w:val="left"/>
              <w:rPr>
                <w:sz w:val="20"/>
              </w:rPr>
            </w:pPr>
            <w:r>
              <w:rPr>
                <w:sz w:val="20"/>
              </w:rPr>
              <w:t>Press Release dated June 8, 2010 </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 w:name="PGBRK"/>
      <w:bookmarkStart w:id="7" w:name="PGBR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 w:name="FTR"/>
      <w:bookmarkStart w:id="9" w:name="FTR"/>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 w:name="GLFTR"/>
      <w:bookmarkEnd w:id="1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 w:name="PN"/>
      <w:bookmarkEnd w:id="11"/>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2" w:name="HDR"/>
      <w:bookmarkStart w:id="13" w:name="HDR"/>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 w:name="GLHDR"/>
      <w:bookmarkEnd w:id="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20"/>
        <w:jc w:val="left"/>
        <w:rPr/>
      </w:pPr>
      <w:r>
        <w:rPr/>
        <w:t>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305"/>
        <w:gridCol w:w="3573"/>
        <w:gridCol w:w="1224"/>
      </w:tblGrid>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878" w:type="dxa"/>
            <w:gridSpan w:val="2"/>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3"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Charles P. Brissman</w:t>
            </w:r>
          </w:p>
        </w:tc>
        <w:tc>
          <w:tcPr>
            <w:tcW w:w="1224"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General Counsel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3" w:type="dxa"/>
            <w:tcBorders/>
            <w:shd w:fill="auto" w:val="clear"/>
          </w:tcPr>
          <w:p>
            <w:pPr>
              <w:pStyle w:val="TableContents"/>
              <w:spacing w:before="0" w:after="283"/>
              <w:rPr/>
            </w:pPr>
            <w:r>
              <w:rPr/>
              <w:t> </w:t>
            </w:r>
          </w:p>
        </w:tc>
        <w:tc>
          <w:tcPr>
            <w:tcW w:w="1224" w:type="dxa"/>
            <w:tcBorders/>
            <w:shd w:fill="auto" w:val="clear"/>
          </w:tcPr>
          <w:p>
            <w:pPr>
              <w:pStyle w:val="TableContents"/>
              <w:spacing w:before="0" w:after="283"/>
              <w:rPr/>
            </w:pPr>
            <w:r>
              <w:rPr/>
              <w:t> </w:t>
            </w:r>
          </w:p>
        </w:tc>
      </w:tr>
    </w:tbl>
    <w:p>
      <w:pPr>
        <w:pStyle w:val="TextBody"/>
        <w:spacing w:before="0" w:after="0"/>
        <w:rPr/>
      </w:pPr>
      <w:r>
        <w:rPr/>
      </w:r>
    </w:p>
    <w:p>
      <w:pPr>
        <w:pStyle w:val="TextBody"/>
        <w:spacing w:before="0" w:after="0"/>
        <w:ind w:left="0" w:right="0" w:hanging="0"/>
        <w:jc w:val="left"/>
        <w:rPr/>
      </w:pPr>
      <w:r>
        <w:rPr/>
        <w:t>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  June 8, 2010</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 w:name="PGBRK1"/>
      <w:bookmarkStart w:id="16" w:name="PGBRK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 w:name="FTR1"/>
      <w:bookmarkStart w:id="18" w:name="FTR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 w:name="GLFTR1"/>
      <w:bookmarkEnd w:id="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 w:name="PN1"/>
      <w:bookmarkEnd w:id="20"/>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HDR1"/>
      <w:bookmarkStart w:id="22" w:name="HDR1"/>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 w:name="GLHDR1"/>
      <w:bookmarkEnd w:id="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Exhibit Index</w:t>
      </w:r>
    </w:p>
    <w:p>
      <w:pPr>
        <w:pStyle w:val="TextBody"/>
        <w:spacing w:before="0" w:after="0"/>
        <w:ind w:left="0" w:right="0" w:hanging="0"/>
        <w:rPr/>
      </w:pPr>
      <w:r>
        <w:rPr/>
      </w:r>
    </w:p>
    <w:p>
      <w:pPr>
        <w:pStyle w:val="TextBody"/>
        <w:spacing w:before="0" w:after="0"/>
        <w:ind w:left="0" w:right="0" w:hanging="0"/>
        <w:rPr/>
      </w:pPr>
      <w:r>
        <w:rPr/>
        <w:t> </w:t>
      </w:r>
    </w:p>
    <w:tbl>
      <w:tblPr>
        <w:tblW w:w="4250" w:type="pct"/>
        <w:jc w:val="left"/>
        <w:tblInd w:w="0" w:type="dxa"/>
        <w:tblCellMar>
          <w:top w:w="0" w:type="dxa"/>
          <w:left w:w="0" w:type="dxa"/>
          <w:bottom w:w="28" w:type="dxa"/>
          <w:right w:w="0" w:type="dxa"/>
        </w:tblCellMar>
      </w:tblPr>
      <w:tblGrid>
        <w:gridCol w:w="684"/>
        <w:gridCol w:w="753"/>
        <w:gridCol w:w="7237"/>
      </w:tblGrid>
      <w:tr>
        <w:trPr/>
        <w:tc>
          <w:tcPr>
            <w:tcW w:w="684"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w:t>
            </w:r>
          </w:p>
          <w:p>
            <w:pPr>
              <w:pStyle w:val="TableContents"/>
              <w:spacing w:before="0" w:after="0"/>
              <w:ind w:left="0" w:right="0" w:hanging="0"/>
              <w:jc w:val="left"/>
              <w:rPr>
                <w:rFonts w:ascii="times new roman" w:hAnsi="times new roman"/>
                <w:sz w:val="20"/>
              </w:rPr>
            </w:pPr>
            <w:r>
              <w:rPr>
                <w:rFonts w:ascii="times new roman" w:hAnsi="times new roman"/>
                <w:sz w:val="20"/>
              </w:rPr>
              <w:t>Number</w:t>
            </w:r>
          </w:p>
        </w:tc>
        <w:tc>
          <w:tcPr>
            <w:tcW w:w="753" w:type="dxa"/>
            <w:tcBorders/>
            <w:shd w:fill="auto" w:val="clear"/>
            <w:tcMar>
              <w:bottom w:w="0" w:type="dxa"/>
            </w:tcMar>
          </w:tcPr>
          <w:p>
            <w:pPr>
              <w:pStyle w:val="TableContents"/>
              <w:spacing w:before="0" w:after="283"/>
              <w:jc w:val="left"/>
              <w:rPr/>
            </w:pPr>
            <w:r>
              <w:rPr/>
              <w:t> </w:t>
            </w:r>
          </w:p>
        </w:tc>
        <w:tc>
          <w:tcPr>
            <w:tcW w:w="7237" w:type="dxa"/>
            <w:tcBorders>
              <w:bottom w:val="single" w:sz="12" w:space="0" w:color="000000"/>
            </w:tcBorders>
            <w:shd w:fill="auto" w:val="clear"/>
          </w:tcPr>
          <w:p>
            <w:pPr>
              <w:pStyle w:val="TableContents"/>
              <w:spacing w:before="0" w:after="0"/>
              <w:ind w:left="0" w:right="0" w:hanging="0"/>
              <w:jc w:val="left"/>
              <w:rPr/>
            </w:pPr>
            <w:r>
              <w:rPr/>
              <w:t> </w:t>
            </w:r>
          </w:p>
          <w:p>
            <w:pPr>
              <w:pStyle w:val="TableContents"/>
              <w:spacing w:before="0" w:after="0"/>
              <w:ind w:left="0" w:right="0" w:hanging="0"/>
              <w:jc w:val="center"/>
              <w:rPr>
                <w:sz w:val="20"/>
              </w:rPr>
            </w:pPr>
            <w:r>
              <w:rPr>
                <w:sz w:val="20"/>
              </w:rPr>
              <w:t>Description of Exhibits</w:t>
            </w:r>
          </w:p>
        </w:tc>
      </w:tr>
      <w:tr>
        <w:trPr/>
        <w:tc>
          <w:tcPr>
            <w:tcW w:w="684" w:type="dxa"/>
            <w:tcBorders/>
            <w:shd w:fill="auto" w:val="clear"/>
            <w:tcMar>
              <w:bottom w:w="0" w:type="dxa"/>
            </w:tcMar>
          </w:tcPr>
          <w:p>
            <w:pPr>
              <w:pStyle w:val="TableContents"/>
              <w:spacing w:before="0" w:after="283"/>
              <w:jc w:val="left"/>
              <w:rPr/>
            </w:pPr>
            <w:r>
              <w:rPr/>
              <w:t> </w:t>
            </w:r>
          </w:p>
        </w:tc>
        <w:tc>
          <w:tcPr>
            <w:tcW w:w="753" w:type="dxa"/>
            <w:tcBorders/>
            <w:shd w:fill="auto" w:val="clear"/>
            <w:tcMar>
              <w:bottom w:w="0" w:type="dxa"/>
            </w:tcMar>
          </w:tcPr>
          <w:p>
            <w:pPr>
              <w:pStyle w:val="TableContents"/>
              <w:spacing w:before="0" w:after="283"/>
              <w:jc w:val="left"/>
              <w:rPr/>
            </w:pPr>
            <w:r>
              <w:rPr/>
              <w:t> </w:t>
            </w:r>
          </w:p>
        </w:tc>
        <w:tc>
          <w:tcPr>
            <w:tcW w:w="7237" w:type="dxa"/>
            <w:tcBorders/>
            <w:shd w:fill="auto" w:val="clear"/>
            <w:tcMar>
              <w:bottom w:w="0" w:type="dxa"/>
            </w:tcMar>
          </w:tcPr>
          <w:p>
            <w:pPr>
              <w:pStyle w:val="TableContents"/>
              <w:spacing w:before="0" w:after="283"/>
              <w:jc w:val="left"/>
              <w:rPr/>
            </w:pPr>
            <w:r>
              <w:rPr/>
              <w:t> </w:t>
            </w:r>
          </w:p>
        </w:tc>
      </w:tr>
      <w:tr>
        <w:trPr/>
        <w:tc>
          <w:tcPr>
            <w:tcW w:w="684" w:type="dxa"/>
            <w:tcBorders/>
            <w:shd w:fill="auto"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99.1 </w:t>
            </w:r>
          </w:p>
        </w:tc>
        <w:tc>
          <w:tcPr>
            <w:tcW w:w="753" w:type="dxa"/>
            <w:tcBorders/>
            <w:shd w:fill="auto" w:val="clear"/>
            <w:tcMar>
              <w:bottom w:w="0" w:type="dxa"/>
            </w:tcMar>
          </w:tcPr>
          <w:p>
            <w:pPr>
              <w:pStyle w:val="TableContents"/>
              <w:spacing w:before="0" w:after="283"/>
              <w:jc w:val="left"/>
              <w:rPr/>
            </w:pPr>
            <w:r>
              <w:rPr/>
              <w:t> </w:t>
            </w:r>
          </w:p>
        </w:tc>
        <w:tc>
          <w:tcPr>
            <w:tcW w:w="7237" w:type="dxa"/>
            <w:tcBorders/>
            <w:shd w:fill="auto" w:val="clear"/>
            <w:tcMar>
              <w:bottom w:w="0" w:type="dxa"/>
            </w:tcMar>
          </w:tcPr>
          <w:p>
            <w:pPr>
              <w:pStyle w:val="TableContents"/>
              <w:spacing w:before="0" w:after="283"/>
              <w:jc w:val="left"/>
              <w:rPr>
                <w:sz w:val="20"/>
              </w:rPr>
            </w:pPr>
            <w:r>
              <w:rPr>
                <w:sz w:val="20"/>
              </w:rPr>
              <w:t>Press Release dated June 8, 2010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2"/>
      <w:bookmarkEnd w:id="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 w:name="PN2"/>
      <w:bookmarkEnd w:id="29"/>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 w:name="GLHDR2"/>
      <w:bookmarkEnd w:id="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ind w:left="0" w:right="0" w:hanging="0"/>
        <w:rPr/>
      </w:pPr>
      <w:r>
        <w:rPr/>
        <w:t> </w:t>
      </w:r>
      <w:r>
        <w:br w:type="page"/>
      </w:r>
    </w:p>
    <w:p>
      <w:pPr>
        <w:pStyle w:val="TextBody"/>
        <w:spacing w:before="0" w:after="0"/>
        <w:ind w:left="0" w:right="0" w:hanging="0"/>
        <w:jc w:val="right"/>
        <w:rPr/>
      </w:pPr>
      <w:bookmarkStart w:id="33" w:name="v187703_ex99-1.htm"/>
      <w:bookmarkStart w:id="34" w:name="ksv187703_ex991"/>
      <w:bookmarkEnd w:id="33"/>
      <w:bookmarkEnd w:id="34"/>
      <w:r>
        <w:rPr/>
        <w:t> </w:t>
      </w:r>
    </w:p>
    <w:tbl>
      <w:tblPr>
        <w:tblW w:w="4900" w:type="pct"/>
        <w:jc w:val="left"/>
        <w:tblInd w:w="0" w:type="dxa"/>
        <w:tblCellMar>
          <w:top w:w="0" w:type="dxa"/>
          <w:left w:w="0" w:type="dxa"/>
          <w:bottom w:w="0" w:type="dxa"/>
          <w:right w:w="0" w:type="dxa"/>
        </w:tblCellMar>
      </w:tblPr>
      <w:tblGrid>
        <w:gridCol w:w="1892"/>
        <w:gridCol w:w="5161"/>
        <w:gridCol w:w="1269"/>
        <w:gridCol w:w="1678"/>
      </w:tblGrid>
      <w:tr>
        <w:trPr/>
        <w:tc>
          <w:tcPr>
            <w:tcW w:w="1892" w:type="dxa"/>
            <w:vMerge w:val="restart"/>
            <w:tcBorders/>
            <w:shd w:fill="auto" w:val="clear"/>
          </w:tcPr>
          <w:p>
            <w:pPr>
              <w:pStyle w:val="TableContents"/>
              <w:spacing w:before="0" w:after="0"/>
              <w:ind w:left="0" w:right="0" w:hanging="0"/>
              <w:jc w:val="left"/>
              <w:rPr/>
            </w:pPr>
            <w:r>
              <w:rPr/>
              <w:t> </w:t>
            </w:r>
            <w:r>
              <w:rPr/>
              <w:drawing>
                <wp:inline distT="0" distB="0" distL="0" distR="0">
                  <wp:extent cx="114300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9144000"/>
                          </a:xfrm>
                          <a:prstGeom prst="rect">
                            <a:avLst/>
                          </a:prstGeom>
                        </pic:spPr>
                      </pic:pic>
                    </a:graphicData>
                  </a:graphic>
                </wp:inline>
              </w:drawing>
            </w:r>
          </w:p>
        </w:tc>
        <w:tc>
          <w:tcPr>
            <w:tcW w:w="5161" w:type="dxa"/>
            <w:tcBorders>
              <w:bottom w:val="single" w:sz="12" w:space="0" w:color="000000"/>
            </w:tcBorders>
            <w:shd w:fill="auto" w:val="clear"/>
            <w:tcMar>
              <w:bottom w:w="28" w:type="dxa"/>
            </w:tcMar>
          </w:tcPr>
          <w:p>
            <w:pPr>
              <w:pStyle w:val="TableContents"/>
              <w:spacing w:before="0" w:after="283"/>
              <w:jc w:val="left"/>
              <w:rPr/>
            </w:pPr>
            <w:r>
              <w:rPr/>
              <w:t xml:space="preserve">  </w:t>
            </w:r>
          </w:p>
        </w:tc>
        <w:tc>
          <w:tcPr>
            <w:tcW w:w="29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color w:val="000000"/>
                <w:sz w:val="20"/>
              </w:rPr>
            </w:pPr>
            <w:r>
              <w:rPr>
                <w:rFonts w:ascii="times new roman" w:hAnsi="times new roman"/>
                <w:color w:val="000000"/>
                <w:sz w:val="20"/>
              </w:rPr>
              <w:t>Exhibit 99.1</w:t>
            </w:r>
          </w:p>
          <w:p>
            <w:pPr>
              <w:pStyle w:val="TableContents"/>
              <w:spacing w:before="0" w:after="0"/>
              <w:ind w:left="0" w:right="0" w:hanging="0"/>
              <w:jc w:val="right"/>
              <w:rPr/>
            </w:pPr>
            <w:r>
              <w:rPr/>
              <w:t> </w:t>
            </w:r>
          </w:p>
          <w:p>
            <w:pPr>
              <w:pStyle w:val="TableContents"/>
              <w:spacing w:before="0" w:after="0"/>
              <w:ind w:left="0" w:right="0" w:hanging="0"/>
              <w:jc w:val="left"/>
              <w:rPr>
                <w:rFonts w:ascii="times new roman" w:hAnsi="times new roman"/>
                <w:b/>
                <w:color w:val="0000FF"/>
                <w:sz w:val="48"/>
              </w:rPr>
            </w:pPr>
            <w:r>
              <w:rPr>
                <w:rFonts w:ascii="times new roman" w:hAnsi="times new roman"/>
                <w:b/>
                <w:color w:val="0000FF"/>
                <w:sz w:val="48"/>
              </w:rPr>
              <w:t>News Release</w:t>
            </w:r>
          </w:p>
        </w:tc>
      </w:tr>
      <w:tr>
        <w:trPr/>
        <w:tc>
          <w:tcPr>
            <w:tcW w:w="1892" w:type="dxa"/>
            <w:vMerge w:val="continue"/>
            <w:tcBorders/>
            <w:shd w:fill="auto" w:val="clear"/>
          </w:tcPr>
          <w:p>
            <w:pPr>
              <w:pStyle w:val="Normal"/>
              <w:rPr/>
            </w:pPr>
            <w:r>
              <w:rPr/>
            </w:r>
          </w:p>
        </w:tc>
        <w:tc>
          <w:tcPr>
            <w:tcW w:w="516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Release:</w:t>
            </w:r>
            <w:r>
              <w:rPr>
                <w:rFonts w:ascii="times new roman" w:hAnsi="times new roman"/>
                <w:sz w:val="20"/>
              </w:rPr>
              <w:t>  Immediate</w:t>
            </w:r>
          </w:p>
        </w:tc>
        <w:tc>
          <w:tcPr>
            <w:tcW w:w="126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Contact:</w:t>
            </w:r>
          </w:p>
        </w:tc>
        <w:tc>
          <w:tcPr>
            <w:tcW w:w="167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Ronda J. Williams</w:t>
            </w:r>
          </w:p>
          <w:p>
            <w:pPr>
              <w:pStyle w:val="TableContents"/>
              <w:spacing w:before="0" w:after="0"/>
              <w:ind w:left="0" w:right="0" w:hanging="0"/>
              <w:jc w:val="left"/>
              <w:rPr>
                <w:rFonts w:ascii="times new roman" w:hAnsi="times new roman"/>
                <w:sz w:val="20"/>
              </w:rPr>
            </w:pPr>
            <w:r>
              <w:rPr>
                <w:rFonts w:ascii="times new roman" w:hAnsi="times new roman"/>
                <w:sz w:val="20"/>
              </w:rPr>
              <w:t>312-706-3232</w:t>
            </w:r>
          </w:p>
        </w:tc>
      </w:tr>
      <w:tr>
        <w:trPr/>
        <w:tc>
          <w:tcPr>
            <w:tcW w:w="1892" w:type="dxa"/>
            <w:vMerge w:val="continue"/>
            <w:tcBorders/>
            <w:shd w:fill="auto" w:val="clear"/>
          </w:tcPr>
          <w:p>
            <w:pPr>
              <w:pStyle w:val="Normal"/>
              <w:rPr/>
            </w:pPr>
            <w:r>
              <w:rPr/>
            </w:r>
          </w:p>
        </w:tc>
        <w:tc>
          <w:tcPr>
            <w:tcW w:w="8108" w:type="dxa"/>
            <w:gridSpan w:val="3"/>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b/>
                <w:sz w:val="20"/>
              </w:rPr>
            </w:pPr>
            <w:r>
              <w:rPr>
                <w:rFonts w:ascii="times new roman" w:hAnsi="times new roman"/>
                <w:b/>
                <w:sz w:val="20"/>
              </w:rPr>
              <w:t>Oil-Dri Reports Third Quarter and Nine-Month Results</w:t>
            </w:r>
          </w:p>
          <w:p>
            <w:pPr>
              <w:pStyle w:val="TableContents"/>
              <w:spacing w:before="0" w:after="0"/>
              <w:ind w:left="0" w:right="0" w:hanging="0"/>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CHICAGO – (June 8, 2010) – Oil-Dri Corporation of America (NYSE: ODC) today reported net sales for the third quarter of $56,259,000, a 3% decrease compared with net sales of $58,053,000 for the same quarter of the previous year.  Net income for the third quarter was $2,586,000, or $0.35 per diluted share, a 6% increase compared with net income of $2,416,000, or $0.33 per diluted share, in the same quarter one year ago.</w:t>
            </w:r>
          </w:p>
          <w:p>
            <w:pPr>
              <w:pStyle w:val="TableContents"/>
              <w:spacing w:before="0" w:after="0"/>
              <w:ind w:left="0" w:right="0" w:hanging="0"/>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Net sales for the nine-month period were $164,397,000, a 9% decrease compared with net sales of $180,311,000 for the same period one year ago.  Net income for the nine-month period was $7,042,000, or $0.96 per diluted share, compared with net income of $7,034,000, or $0.97 per diluted share, in the same period one year ago.</w:t>
            </w:r>
          </w:p>
          <w:p>
            <w:pPr>
              <w:pStyle w:val="TableContents"/>
              <w:spacing w:before="0" w:after="0"/>
              <w:ind w:left="0" w:right="0" w:hanging="0"/>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Third Quarter Review</w:t>
            </w:r>
          </w:p>
          <w:p>
            <w:pPr>
              <w:pStyle w:val="TableContents"/>
              <w:spacing w:before="0" w:after="0"/>
              <w:ind w:left="0" w:right="0" w:hanging="0"/>
              <w:jc w:val="left"/>
              <w:rPr>
                <w:rFonts w:ascii="times new roman" w:hAnsi="times new roman"/>
                <w:sz w:val="20"/>
              </w:rPr>
            </w:pPr>
            <w:r>
              <w:rPr>
                <w:rFonts w:ascii="times new roman" w:hAnsi="times new roman"/>
                <w:sz w:val="20"/>
              </w:rPr>
              <w:t>President and Chief Executive Officer Daniel S. Jaffee said, “During the quarter, earnings were up compared to the third quarter one year ago.  This growth was achieved despite the continued effects from reduced distribution of our Cat’s Pride branded cat litters at Walmart.</w:t>
            </w:r>
          </w:p>
          <w:p>
            <w:pPr>
              <w:pStyle w:val="TableContents"/>
              <w:spacing w:before="0" w:after="0"/>
              <w:ind w:left="0" w:right="0" w:hanging="0"/>
              <w:rPr/>
            </w:pPr>
            <w:r>
              <w:rPr/>
              <w:t> </w:t>
            </w:r>
          </w:p>
          <w:p>
            <w:pPr>
              <w:pStyle w:val="TableContents"/>
              <w:spacing w:before="0" w:after="0"/>
              <w:ind w:left="0" w:right="0" w:hanging="0"/>
              <w:jc w:val="left"/>
              <w:rPr/>
            </w:pPr>
            <w:r>
              <w:rPr/>
              <w:t>“</w:t>
            </w:r>
            <w:r>
              <w:rPr>
                <w:rFonts w:ascii="times new roman" w:hAnsi="times new roman"/>
                <w:sz w:val="20"/>
              </w:rPr>
              <w:t>The Business-to-Business Products Group contributed strongly to earnings growth in the quarter.  A combination of increased unit volume and sales of high value products in our fluids purification and animal health groups helped to expand gross profit margins in the quarter to 23.4% from 22.8% in the same quarter one year ago.</w:t>
            </w:r>
          </w:p>
          <w:p>
            <w:pPr>
              <w:pStyle w:val="TableContents"/>
              <w:spacing w:before="0" w:after="0"/>
              <w:ind w:left="0" w:right="0" w:hanging="0"/>
              <w:rPr/>
            </w:pPr>
            <w:r>
              <w:rPr/>
              <w:t> </w:t>
            </w:r>
          </w:p>
          <w:p>
            <w:pPr>
              <w:pStyle w:val="TableContents"/>
              <w:spacing w:before="0" w:after="0"/>
              <w:ind w:left="0" w:right="0" w:hanging="0"/>
              <w:jc w:val="left"/>
              <w:rPr/>
            </w:pPr>
            <w:r>
              <w:rPr/>
              <w:t>“</w:t>
            </w:r>
            <w:r>
              <w:rPr>
                <w:rFonts w:ascii="times new roman" w:hAnsi="times new roman"/>
                <w:sz w:val="20"/>
              </w:rPr>
              <w:t>The diversity of our product portfolio and the markets we serve, have been a benefit through these difficult economic times.  Our business remains healthy, showing substantial cash generation.  In addition, during the quarter we continued repurchasing Common Stock through our buyback program.”</w:t>
            </w:r>
          </w:p>
        </w:tc>
      </w:tr>
    </w:tbl>
    <w:p>
      <w:pPr>
        <w:pStyle w:val="TextBody"/>
        <w:spacing w:before="0" w:after="0"/>
        <w:ind w:left="0" w:right="18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180" w:hanging="0"/>
        <w:jc w:val="left"/>
        <w:rPr/>
      </w:pPr>
      <w:r>
        <w:rPr/>
      </w:r>
      <w:bookmarkStart w:id="35" w:name="PGBRK3"/>
      <w:bookmarkStart w:id="36" w:name="PGBRK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7" w:name="FTR3"/>
      <w:bookmarkStart w:id="38" w:name="FT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39" w:name="GLFTR3"/>
      <w:bookmarkStart w:id="40" w:name="GLFTR3"/>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ind w:left="0" w:right="180" w:hanging="0"/>
        <w:jc w:val="center"/>
        <w:rPr/>
      </w:pPr>
      <w:r>
        <w:rPr/>
      </w:r>
      <w:bookmarkStart w:id="41" w:name="PN3"/>
      <w:bookmarkStart w:id="42" w:name="PN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3" w:name="HDR3"/>
      <w:bookmarkStart w:id="44" w:name="HDR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5" w:name="GLHDR3"/>
      <w:bookmarkStart w:id="46" w:name="GLHDR3"/>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tbl>
      <w:tblPr>
        <w:tblW w:w="4900" w:type="pct"/>
        <w:jc w:val="left"/>
        <w:tblInd w:w="0" w:type="dxa"/>
        <w:tblCellMar>
          <w:top w:w="0" w:type="dxa"/>
          <w:left w:w="0" w:type="dxa"/>
          <w:bottom w:w="0" w:type="dxa"/>
          <w:right w:w="0" w:type="dxa"/>
        </w:tblCellMar>
      </w:tblPr>
      <w:tblGrid>
        <w:gridCol w:w="1196"/>
        <w:gridCol w:w="8804"/>
      </w:tblGrid>
      <w:tr>
        <w:trPr/>
        <w:tc>
          <w:tcPr>
            <w:tcW w:w="1196" w:type="dxa"/>
            <w:tcBorders/>
            <w:shd w:fill="auto" w:val="clear"/>
          </w:tcPr>
          <w:p>
            <w:pPr>
              <w:pStyle w:val="TableContents"/>
              <w:spacing w:before="0" w:after="0"/>
              <w:ind w:left="0" w:right="0" w:hanging="0"/>
              <w:jc w:val="left"/>
              <w:rPr/>
            </w:pPr>
            <w:r>
              <w:rPr/>
              <w:t> </w:t>
            </w:r>
          </w:p>
        </w:tc>
        <w:tc>
          <w:tcPr>
            <w:tcW w:w="8804" w:type="dxa"/>
            <w:tcBorders/>
            <w:shd w:fill="auto" w:val="clear"/>
          </w:tcPr>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Quarterly Business Review</w:t>
            </w:r>
          </w:p>
          <w:p>
            <w:pPr>
              <w:pStyle w:val="TableContents"/>
              <w:spacing w:before="0" w:after="0"/>
              <w:ind w:left="0" w:right="0" w:hanging="0"/>
              <w:jc w:val="left"/>
              <w:rPr>
                <w:rFonts w:ascii="times new roman" w:hAnsi="times new roman"/>
                <w:sz w:val="20"/>
              </w:rPr>
            </w:pPr>
            <w:r>
              <w:rPr>
                <w:rFonts w:ascii="times new roman" w:hAnsi="times new roman"/>
                <w:sz w:val="20"/>
              </w:rPr>
              <w:t>Net sales for the Company’s Business-to-Business Products Group were $57,577,000 and group income was $15,329,000 for the nine months.  Net sales for the quarter were $21,444,000 and group income was $5,903,000.  Net sales and unit volume were up substantially for fluids purification clays, animal health enterosorbents and sports field products.  Net sales and volume were down for agricultural chemical carriers due to the continued decline in this market.  Overall costs and expenses for the Group were down in the quarter.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Net sales for the Company’s Retail and Wholesale Products Group were $106,820,000 and group income was $9,101,000 for the nine months.  Net sales for the quarter were $34,815,000 and group income was $2,769,000.  Shipments of Cat’s Pride branded litters increased as a result of Walmart’s limited reinstatement of those products that began shipping in the third quarter.  Net sales and unit volume were up for industrial and automotive products.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Financial Review</w:t>
            </w:r>
          </w:p>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operations was $20,096,000 for the nine-month period compared to $8,307,000 for the nine-month period one year ago.  Cash was up substantially primarily due to improvements in working capital.</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Cash, cash equivalents and short-term investments at April 30, 2010, totaled $25,638,000.  Capital expenditures for the nine-month period totaled $7,945,000, which was $2,433,000 more than the period’s depreciation and amortization of $5,512,000.</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On March 11, 2010, Oil-Dri’s Board of Directors declared quarterly cash dividends of $0.15 per share of outstanding Common Stock and $0.1125 per share of outstanding Class B Stock.  The dividends were payable June 4, 2010 to stockholders of record at the close of business on May 21, 2010.</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At the third quarter closing price of $20.50 per share and assuming cash dividends continue at the same rate, the annual yield on the Company’s Common Stock is 2.9%.  The Company has paid cash dividends continuously since 1974 and has increased dividends annually for the past six years.</w:t>
            </w:r>
          </w:p>
        </w:tc>
      </w:tr>
    </w:tbl>
    <w:p>
      <w:pPr>
        <w:pStyle w:val="TextBody"/>
        <w:spacing w:before="0" w:after="0"/>
        <w:ind w:left="0" w:right="18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80" w:hanging="0"/>
        <w:jc w:val="left"/>
        <w:rPr/>
      </w:pPr>
      <w:r>
        <w:rPr/>
      </w:r>
      <w:bookmarkStart w:id="47" w:name="PGBRK4"/>
      <w:bookmarkStart w:id="48" w:name="PGBRK4"/>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49" w:name="FTR4"/>
      <w:bookmarkStart w:id="50" w:name="FTR4"/>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1" w:name="GLFTR4"/>
      <w:bookmarkStart w:id="52" w:name="GLFTR4"/>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ind w:left="0" w:right="180" w:hanging="0"/>
        <w:jc w:val="center"/>
        <w:rPr/>
      </w:pPr>
      <w:r>
        <w:rPr/>
      </w:r>
      <w:bookmarkStart w:id="53" w:name="PN4"/>
      <w:bookmarkStart w:id="54" w:name="PN4"/>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5" w:name="HDR4"/>
      <w:bookmarkStart w:id="56" w:name="HDR4"/>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7" w:name="GLHDR4"/>
      <w:bookmarkStart w:id="58" w:name="GLHDR4"/>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tbl>
      <w:tblPr>
        <w:tblW w:w="4900" w:type="pct"/>
        <w:jc w:val="left"/>
        <w:tblInd w:w="0" w:type="dxa"/>
        <w:tblCellMar>
          <w:top w:w="0" w:type="dxa"/>
          <w:left w:w="0" w:type="dxa"/>
          <w:bottom w:w="0" w:type="dxa"/>
          <w:right w:w="0" w:type="dxa"/>
        </w:tblCellMar>
      </w:tblPr>
      <w:tblGrid>
        <w:gridCol w:w="1187"/>
        <w:gridCol w:w="8736"/>
        <w:gridCol w:w="77"/>
      </w:tblGrid>
      <w:tr>
        <w:trPr/>
        <w:tc>
          <w:tcPr>
            <w:tcW w:w="1187" w:type="dxa"/>
            <w:vMerge w:val="restart"/>
            <w:tcBorders/>
            <w:shd w:fill="auto" w:val="clear"/>
          </w:tcPr>
          <w:p>
            <w:pPr>
              <w:pStyle w:val="TableContents"/>
              <w:spacing w:before="0" w:after="0"/>
              <w:ind w:left="0" w:right="0" w:hanging="0"/>
              <w:jc w:val="left"/>
              <w:rPr/>
            </w:pPr>
            <w:r>
              <w:rPr/>
              <w:t> </w:t>
            </w:r>
          </w:p>
        </w:tc>
        <w:tc>
          <w:tcPr>
            <w:tcW w:w="8736" w:type="dxa"/>
            <w:tcBorders>
              <w:bottom w:val="double" w:sz="8"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During the quarter the Company repurchased 78,129 shares of Common Stock at an average price of $19.07 per share.  The Company’s current repurchase authorization has 410,114 shares of Common Stock remaining.</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The effective tax rate for the first nine months of fiscal 2010 was 29.5% compared with 27.3% for the same period in fiscal 2009.  The increase in the rate is based upon the Company’s projected level and composition of income.  The percentage of income attributable to higher margin Business-to-Business products is greater this fiscal year than last fiscal year.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b/>
                <w:smallCaps/>
                <w:sz w:val="20"/>
              </w:rPr>
            </w:pPr>
            <w:r>
              <w:rPr>
                <w:rFonts w:ascii="times new roman" w:hAnsi="times new roman"/>
                <w:b/>
                <w:smallCaps/>
                <w:sz w:val="20"/>
              </w:rPr>
              <w:t>Looking Forward</w:t>
            </w:r>
          </w:p>
          <w:p>
            <w:pPr>
              <w:pStyle w:val="TableContents"/>
              <w:spacing w:before="0" w:after="0"/>
              <w:ind w:left="0" w:right="0" w:hanging="0"/>
              <w:jc w:val="left"/>
              <w:rPr>
                <w:rFonts w:ascii="times new roman" w:hAnsi="times new roman"/>
                <w:sz w:val="20"/>
              </w:rPr>
            </w:pPr>
            <w:r>
              <w:rPr>
                <w:rFonts w:ascii="times new roman" w:hAnsi="times new roman"/>
                <w:sz w:val="20"/>
              </w:rPr>
              <w:t>Jaffee continued, “We are optimistic that current sales trends will continue as we head into the fourth quarter.  Our costs for diesel fuel and global freight, however, have been on the rise recently and we are now focused on managing those and other costs that are increasing.”</w:t>
            </w:r>
          </w:p>
          <w:p>
            <w:pPr>
              <w:pStyle w:val="TableContents"/>
              <w:spacing w:before="0" w:after="0"/>
              <w:ind w:left="0" w:right="0" w:hanging="0"/>
              <w:jc w:val="left"/>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The Company will offer a live webcast of the third quarter earnings teleconference on June 9, 2010 from 10:00 a.m. to 10:30 a.m., Chicago Time.  To listen to the call via the web, please visit </w:t>
            </w:r>
            <w:r>
              <w:rPr>
                <w:rFonts w:ascii="Times New Roman" w:hAnsi="Times New Roman"/>
                <w:color w:val="0000FF"/>
                <w:sz w:val="20"/>
                <w:u w:val="single"/>
              </w:rPr>
              <w:t>www.streetevents.com</w:t>
            </w:r>
            <w:r>
              <w:rPr>
                <w:rFonts w:ascii="Times New Roman" w:hAnsi="Times New Roman"/>
                <w:sz w:val="20"/>
              </w:rPr>
              <w:t xml:space="preserve"> or </w:t>
            </w:r>
            <w:r>
              <w:rPr>
                <w:rFonts w:ascii="Times New Roman" w:hAnsi="Times New Roman"/>
                <w:color w:val="0000FF"/>
                <w:sz w:val="20"/>
                <w:u w:val="single"/>
              </w:rPr>
              <w:t>www.oildri.com</w:t>
            </w:r>
            <w:r>
              <w:rPr>
                <w:rFonts w:ascii="Times New Roman" w:hAnsi="Times New Roman"/>
                <w:sz w:val="20"/>
              </w:rPr>
              <w:t>.  An archived recording of the call and written transcripts of all teleconferences are posted on the Oil-Dri website.</w:t>
            </w:r>
          </w:p>
          <w:p>
            <w:pPr>
              <w:pStyle w:val="TableContents"/>
              <w:spacing w:before="0" w:after="0"/>
              <w:ind w:left="0" w:right="0" w:hanging="0"/>
              <w:jc w:val="left"/>
              <w:rPr/>
            </w:pPr>
            <w:r>
              <w:rPr/>
              <w:t> </w:t>
            </w:r>
          </w:p>
        </w:tc>
        <w:tc>
          <w:tcPr>
            <w:tcW w:w="77" w:type="dxa"/>
            <w:tcBorders/>
            <w:shd w:fill="auto" w:val="clear"/>
          </w:tcPr>
          <w:p>
            <w:pPr>
              <w:pStyle w:val="TableContents"/>
              <w:spacing w:before="0" w:after="283"/>
              <w:rPr>
                <w:sz w:val="4"/>
                <w:szCs w:val="4"/>
              </w:rPr>
            </w:pPr>
            <w:r>
              <w:rPr>
                <w:sz w:val="4"/>
                <w:szCs w:val="4"/>
              </w:rPr>
            </w:r>
          </w:p>
        </w:tc>
      </w:tr>
      <w:tr>
        <w:trPr/>
        <w:tc>
          <w:tcPr>
            <w:tcW w:w="1187" w:type="dxa"/>
            <w:vMerge w:val="continue"/>
            <w:tcBorders/>
            <w:shd w:fill="auto" w:val="clear"/>
          </w:tcPr>
          <w:p>
            <w:pPr>
              <w:pStyle w:val="Normal"/>
              <w:rPr/>
            </w:pPr>
            <w:r>
              <w:rPr/>
            </w:r>
          </w:p>
        </w:tc>
        <w:tc>
          <w:tcPr>
            <w:tcW w:w="8736" w:type="dxa"/>
            <w:tcBorders/>
            <w:shd w:fill="auto" w:val="clear"/>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Cat’s Pride is a registered trademark of Oil-Dri Corporation of America.</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color w:val="000000"/>
                <w:sz w:val="20"/>
              </w:rPr>
            </w:pPr>
            <w:r>
              <w:rPr>
                <w:rFonts w:ascii="times new roman" w:hAnsi="times new roman"/>
                <w:i/>
                <w:color w:val="000000"/>
                <w:sz w:val="20"/>
              </w:rPr>
              <w:t>Oil-Dri Corporation of America is a leading supplier of specialty sorbent products for agricultural, horticultural, fluids purification, specialty markets, industrial and automotive, and is the world’s largest manufacturer of cat litter.</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ableContents"/>
              <w:spacing w:before="0" w:after="0"/>
              <w:ind w:left="0" w:right="0" w:hanging="0"/>
              <w:jc w:val="left"/>
              <w:rPr/>
            </w:pPr>
            <w:r>
              <w:rPr/>
              <w:t> </w:t>
            </w:r>
          </w:p>
          <w:p>
            <w:pPr>
              <w:pStyle w:val="TableContents"/>
              <w:spacing w:before="0" w:after="0"/>
              <w:ind w:left="0" w:right="0" w:hanging="0"/>
              <w:jc w:val="left"/>
              <w:rPr/>
            </w:pPr>
            <w:r>
              <w:rPr>
                <w:rFonts w:ascii="times new roman" w:hAnsi="times new roman"/>
                <w:i/>
                <w:sz w:val="20"/>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r>
              <w:rPr/>
              <w:t> </w:t>
            </w:r>
          </w:p>
        </w:tc>
        <w:tc>
          <w:tcPr>
            <w:tcW w:w="77" w:type="dxa"/>
            <w:tcBorders/>
            <w:shd w:fill="auto" w:val="clear"/>
          </w:tcPr>
          <w:p>
            <w:pPr>
              <w:pStyle w:val="TableContents"/>
              <w:spacing w:before="0" w:after="283"/>
              <w:jc w:val="left"/>
              <w:rPr/>
            </w:pPr>
            <w:r>
              <w:rPr/>
              <w:t> </w:t>
            </w:r>
          </w:p>
        </w:tc>
      </w:tr>
    </w:tbl>
    <w:p>
      <w:pPr>
        <w:pStyle w:val="TextBody"/>
        <w:spacing w:before="0" w:after="0"/>
        <w:ind w:left="0" w:right="180" w:hanging="0"/>
        <w:jc w:val="left"/>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180" w:hanging="0"/>
        <w:jc w:val="left"/>
        <w:rPr/>
      </w:pPr>
      <w:r>
        <w:rPr/>
      </w:r>
      <w:bookmarkStart w:id="59" w:name="PGBRK5"/>
      <w:bookmarkStart w:id="60" w:name="PGBRK5"/>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1" w:name="FTR5"/>
      <w:bookmarkStart w:id="62" w:name="FTR5"/>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3" w:name="GLFTR5"/>
      <w:bookmarkStart w:id="64" w:name="GLFTR5"/>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ind w:left="0" w:right="180" w:hanging="0"/>
        <w:jc w:val="center"/>
        <w:rPr/>
      </w:pPr>
      <w:r>
        <w:rPr/>
      </w:r>
      <w:bookmarkStart w:id="65" w:name="PN5"/>
      <w:bookmarkStart w:id="66" w:name="PN5"/>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7" w:name="HDR5"/>
      <w:bookmarkStart w:id="68" w:name="HDR5"/>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9" w:name="GLHDR5"/>
      <w:bookmarkStart w:id="70" w:name="GLHDR5"/>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663"/>
        <w:gridCol w:w="1964"/>
        <w:gridCol w:w="105"/>
        <w:gridCol w:w="149"/>
        <w:gridCol w:w="1096"/>
        <w:gridCol w:w="118"/>
        <w:gridCol w:w="105"/>
        <w:gridCol w:w="105"/>
        <w:gridCol w:w="911"/>
        <w:gridCol w:w="190"/>
        <w:gridCol w:w="105"/>
        <w:gridCol w:w="149"/>
        <w:gridCol w:w="1096"/>
        <w:gridCol w:w="117"/>
        <w:gridCol w:w="105"/>
        <w:gridCol w:w="105"/>
        <w:gridCol w:w="911"/>
        <w:gridCol w:w="211"/>
      </w:tblGrid>
      <w:tr>
        <w:trPr/>
        <w:tc>
          <w:tcPr>
            <w:tcW w:w="9994" w:type="dxa"/>
            <w:gridSpan w:val="17"/>
            <w:tcBorders/>
            <w:shd w:fill="auto" w:val="clear"/>
            <w:vAlign w:val="bottom"/>
          </w:tcPr>
          <w:p>
            <w:pPr>
              <w:pStyle w:val="TableContents"/>
              <w:spacing w:before="0" w:after="0"/>
              <w:ind w:left="0" w:right="0" w:hanging="0"/>
              <w:jc w:val="left"/>
              <w:rPr>
                <w:rFonts w:ascii="times new roman" w:hAnsi="times new roman"/>
                <w:b/>
                <w:color w:val="000000"/>
                <w:sz w:val="20"/>
              </w:rPr>
            </w:pPr>
            <w:bookmarkStart w:id="71" w:name="range_a1%3Af30"/>
            <w:bookmarkStart w:id="72" w:name="range_a1%3Ag30"/>
            <w:bookmarkEnd w:id="71"/>
            <w:bookmarkEnd w:id="72"/>
            <w:r>
              <w:rPr>
                <w:rFonts w:ascii="times new roman" w:hAnsi="times new roman"/>
                <w:b/>
                <w:color w:val="000000"/>
                <w:sz w:val="20"/>
              </w:rPr>
              <w:t>O I L - D R I C O R P O R A T I O N O F A M E R I C A</w:t>
            </w:r>
          </w:p>
        </w:tc>
        <w:tc>
          <w:tcPr>
            <w:tcW w:w="211" w:type="dxa"/>
            <w:tcBorders/>
            <w:shd w:fill="auto" w:val="clear"/>
            <w:vAlign w:val="bottom"/>
          </w:tcPr>
          <w:p>
            <w:pPr>
              <w:pStyle w:val="TableContents"/>
              <w:spacing w:before="0" w:after="283"/>
              <w:jc w:val="left"/>
              <w:rPr>
                <w:color w:val="000000"/>
              </w:rPr>
            </w:pPr>
            <w:r>
              <w:rPr>
                <w:color w:val="000000"/>
              </w:rPr>
              <w:t> </w:t>
            </w:r>
          </w:p>
        </w:tc>
      </w:tr>
      <w:tr>
        <w:trPr/>
        <w:tc>
          <w:tcPr>
            <w:tcW w:w="9994" w:type="dxa"/>
            <w:gridSpan w:val="17"/>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jc w:val="left"/>
              <w:rPr/>
            </w:pPr>
            <w:r>
              <w:rPr/>
              <w:t> </w:t>
            </w:r>
          </w:p>
        </w:tc>
      </w:tr>
      <w:tr>
        <w:trPr/>
        <w:tc>
          <w:tcPr>
            <w:tcW w:w="9994" w:type="dxa"/>
            <w:gridSpan w:val="17"/>
            <w:tcBorders/>
            <w:shd w:fill="auto"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Consolidated Statements of Income</w:t>
            </w:r>
          </w:p>
        </w:tc>
        <w:tc>
          <w:tcPr>
            <w:tcW w:w="211" w:type="dxa"/>
            <w:tcBorders/>
            <w:shd w:fill="auto" w:val="clear"/>
            <w:vAlign w:val="bottom"/>
          </w:tcPr>
          <w:p>
            <w:pPr>
              <w:pStyle w:val="TableContents"/>
              <w:spacing w:before="0" w:after="283"/>
              <w:jc w:val="left"/>
              <w:rPr>
                <w:color w:val="000000"/>
              </w:rPr>
            </w:pPr>
            <w:r>
              <w:rPr>
                <w:color w:val="000000"/>
              </w:rPr>
              <w:t> </w:t>
            </w:r>
          </w:p>
        </w:tc>
      </w:tr>
      <w:tr>
        <w:trPr/>
        <w:tc>
          <w:tcPr>
            <w:tcW w:w="9994" w:type="dxa"/>
            <w:gridSpan w:val="17"/>
            <w:tcBorders/>
            <w:shd w:fill="auto" w:val="clear"/>
            <w:vAlign w:val="bottom"/>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(in thousands, except for per share amounts)</w:t>
            </w:r>
          </w:p>
        </w:tc>
        <w:tc>
          <w:tcPr>
            <w:tcW w:w="211" w:type="dxa"/>
            <w:tcBorders/>
            <w:shd w:fill="auto" w:val="clear"/>
            <w:vAlign w:val="bottom"/>
          </w:tcPr>
          <w:p>
            <w:pPr>
              <w:pStyle w:val="TableContents"/>
              <w:spacing w:before="0" w:after="283"/>
              <w:jc w:val="left"/>
              <w:rPr>
                <w:color w:val="000000"/>
              </w:rPr>
            </w:pPr>
            <w:r>
              <w:rPr>
                <w:color w:val="000000"/>
              </w:rPr>
              <w:t> </w:t>
            </w:r>
          </w:p>
        </w:tc>
      </w:tr>
      <w:tr>
        <w:trPr/>
        <w:tc>
          <w:tcPr>
            <w:tcW w:w="9994" w:type="dxa"/>
            <w:gridSpan w:val="17"/>
            <w:tcBorders/>
            <w:shd w:fill="auto" w:val="clear"/>
            <w:vAlign w:val="bottom"/>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(unaudited)</w:t>
            </w:r>
          </w:p>
        </w:tc>
        <w:tc>
          <w:tcPr>
            <w:tcW w:w="211" w:type="dxa"/>
            <w:tcBorders/>
            <w:shd w:fill="auto" w:val="clear"/>
            <w:vAlign w:val="bottom"/>
          </w:tcPr>
          <w:p>
            <w:pPr>
              <w:pStyle w:val="TableContents"/>
              <w:spacing w:before="0" w:after="283"/>
              <w:jc w:val="left"/>
              <w:rPr>
                <w:color w:val="000000"/>
              </w:rPr>
            </w:pPr>
            <w:r>
              <w:rPr>
                <w:color w:val="000000"/>
              </w:rPr>
              <w:t> </w:t>
            </w:r>
          </w:p>
        </w:tc>
      </w:tr>
      <w:tr>
        <w:trPr/>
        <w:tc>
          <w:tcPr>
            <w:tcW w:w="2663" w:type="dxa"/>
            <w:tcBorders/>
            <w:shd w:fill="auto" w:val="clear"/>
            <w:vAlign w:val="bottom"/>
          </w:tcPr>
          <w:p>
            <w:pPr>
              <w:pStyle w:val="TableContents"/>
              <w:spacing w:before="0" w:after="283"/>
              <w:rPr/>
            </w:pPr>
            <w:r>
              <w:rPr/>
              <w:t xml:space="preserve">  </w:t>
            </w:r>
          </w:p>
        </w:tc>
        <w:tc>
          <w:tcPr>
            <w:tcW w:w="1964"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color w:val="000000"/>
              </w:rPr>
            </w:pPr>
            <w:r>
              <w:rPr>
                <w:color w:val="000000"/>
              </w:rPr>
              <w:t> </w:t>
            </w:r>
          </w:p>
        </w:tc>
        <w:tc>
          <w:tcPr>
            <w:tcW w:w="5262"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Third Quarter Ended April 30,</w:t>
            </w:r>
          </w:p>
        </w:tc>
        <w:tc>
          <w:tcPr>
            <w:tcW w:w="211" w:type="dxa"/>
            <w:tcBorders/>
            <w:shd w:fill="auto" w:val="clear"/>
            <w:vAlign w:val="bottom"/>
          </w:tcPr>
          <w:p>
            <w:pPr>
              <w:pStyle w:val="TableContents"/>
              <w:spacing w:before="0" w:after="283"/>
              <w:jc w:val="left"/>
              <w:rPr>
                <w:color w:val="000000"/>
              </w:rPr>
            </w:pPr>
            <w:r>
              <w:rPr>
                <w:color w:val="000000"/>
              </w:rPr>
              <w:t> </w:t>
            </w:r>
          </w:p>
        </w:tc>
      </w:tr>
      <w:tr>
        <w:trPr/>
        <w:tc>
          <w:tcPr>
            <w:tcW w:w="2663" w:type="dxa"/>
            <w:tcBorders/>
            <w:shd w:fill="auto" w:val="clear"/>
            <w:vAlign w:val="bottom"/>
          </w:tcPr>
          <w:p>
            <w:pPr>
              <w:pStyle w:val="TableContents"/>
              <w:spacing w:before="0" w:after="283"/>
              <w:rPr/>
            </w:pPr>
            <w:r>
              <w:rPr/>
              <w:t xml:space="preserve">  </w:t>
            </w:r>
          </w:p>
        </w:tc>
        <w:tc>
          <w:tcPr>
            <w:tcW w:w="1964"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color w:val="000000"/>
              </w:rPr>
            </w:pPr>
            <w:r>
              <w:rPr>
                <w:color w:val="000000"/>
              </w:rPr>
              <w:t> </w:t>
            </w:r>
          </w:p>
        </w:tc>
        <w:tc>
          <w:tcPr>
            <w:tcW w:w="12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2010</w:t>
            </w:r>
          </w:p>
        </w:tc>
        <w:tc>
          <w:tcPr>
            <w:tcW w:w="118"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auto" w:val="clear"/>
            <w:tcMar>
              <w:bottom w:w="28" w:type="dxa"/>
            </w:tcMar>
            <w:vAlign w:val="bottom"/>
          </w:tcPr>
          <w:p>
            <w:pPr>
              <w:pStyle w:val="TableContents"/>
              <w:spacing w:before="0" w:after="283"/>
              <w:rPr>
                <w:color w:val="000000"/>
              </w:rPr>
            </w:pPr>
            <w:r>
              <w:rPr>
                <w:color w:val="000000"/>
              </w:rPr>
              <w:t> </w:t>
            </w:r>
          </w:p>
        </w:tc>
        <w:tc>
          <w:tcPr>
            <w:tcW w:w="10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 of Sales</w:t>
            </w:r>
          </w:p>
        </w:tc>
        <w:tc>
          <w:tcPr>
            <w:tcW w:w="190"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auto" w:val="clear"/>
            <w:tcMar>
              <w:bottom w:w="28" w:type="dxa"/>
            </w:tcMar>
            <w:vAlign w:val="bottom"/>
          </w:tcPr>
          <w:p>
            <w:pPr>
              <w:pStyle w:val="TableContents"/>
              <w:spacing w:before="0" w:after="283"/>
              <w:rPr>
                <w:color w:val="000000"/>
              </w:rPr>
            </w:pPr>
            <w:r>
              <w:rPr>
                <w:color w:val="000000"/>
              </w:rPr>
              <w:t> </w:t>
            </w:r>
          </w:p>
        </w:tc>
        <w:tc>
          <w:tcPr>
            <w:tcW w:w="12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2009</w:t>
            </w:r>
          </w:p>
        </w:tc>
        <w:tc>
          <w:tcPr>
            <w:tcW w:w="117"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auto" w:val="clear"/>
            <w:tcMar>
              <w:bottom w:w="28" w:type="dxa"/>
            </w:tcMar>
            <w:vAlign w:val="bottom"/>
          </w:tcPr>
          <w:p>
            <w:pPr>
              <w:pStyle w:val="TableContents"/>
              <w:spacing w:before="0" w:after="283"/>
              <w:rPr>
                <w:color w:val="000000"/>
              </w:rPr>
            </w:pPr>
            <w:r>
              <w:rPr>
                <w:color w:val="000000"/>
              </w:rPr>
              <w:t> </w:t>
            </w:r>
          </w:p>
        </w:tc>
        <w:tc>
          <w:tcPr>
            <w:tcW w:w="101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 of Sales</w:t>
            </w:r>
          </w:p>
        </w:tc>
        <w:tc>
          <w:tcPr>
            <w:tcW w:w="211" w:type="dxa"/>
            <w:tcBorders/>
            <w:shd w:fill="auto" w:val="clear"/>
            <w:vAlign w:val="bottom"/>
          </w:tcPr>
          <w:p>
            <w:pPr>
              <w:pStyle w:val="TableContents"/>
              <w:spacing w:before="0" w:after="283"/>
              <w:jc w:val="left"/>
              <w:rPr>
                <w:color w:val="000000"/>
              </w:rPr>
            </w:pPr>
            <w:r>
              <w:rPr>
                <w:color w:val="000000"/>
              </w:rPr>
              <w:t> </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Net Sales</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56,259</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100.0</w:t>
            </w:r>
          </w:p>
        </w:tc>
        <w:tc>
          <w:tcPr>
            <w:tcW w:w="190"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58,053</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Cost of Sales</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(43,089</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76.6</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(44,833</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77.2</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Gross Profit</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13,170</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23.4</w:t>
            </w:r>
          </w:p>
        </w:tc>
        <w:tc>
          <w:tcPr>
            <w:tcW w:w="190"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13,220</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22.8</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Operating Expenses</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(9,369</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16.7</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(9,631</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16.6</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8"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Operating Income</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3,801</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6.8</w:t>
            </w:r>
          </w:p>
        </w:tc>
        <w:tc>
          <w:tcPr>
            <w:tcW w:w="190"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3,589</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Interest Expense</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(337</w:t>
            </w:r>
          </w:p>
        </w:tc>
        <w:tc>
          <w:tcPr>
            <w:tcW w:w="118"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0.6</w:t>
            </w:r>
          </w:p>
        </w:tc>
        <w:tc>
          <w:tcPr>
            <w:tcW w:w="190"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(470</w:t>
            </w:r>
          </w:p>
        </w:tc>
        <w:tc>
          <w:tcPr>
            <w:tcW w:w="117"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Other Income</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251</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0.4</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301</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0.5</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8"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Income Before Income Taxes</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3,715</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6.6</w:t>
            </w:r>
          </w:p>
        </w:tc>
        <w:tc>
          <w:tcPr>
            <w:tcW w:w="190"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3,420</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Income Taxes</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(1,129</w:t>
            </w:r>
          </w:p>
        </w:tc>
        <w:tc>
          <w:tcPr>
            <w:tcW w:w="118"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2.0</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(1,004</w:t>
            </w:r>
          </w:p>
        </w:tc>
        <w:tc>
          <w:tcPr>
            <w:tcW w:w="117"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Net Income</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2,586</w:t>
            </w:r>
          </w:p>
        </w:tc>
        <w:tc>
          <w:tcPr>
            <w:tcW w:w="118"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double" w:sz="8"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4.6</w:t>
            </w:r>
          </w:p>
        </w:tc>
        <w:tc>
          <w:tcPr>
            <w:tcW w:w="190"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double" w:sz="8"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2,416</w:t>
            </w:r>
          </w:p>
        </w:tc>
        <w:tc>
          <w:tcPr>
            <w:tcW w:w="117"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double" w:sz="8"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Net Income Per Share:</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8"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Basic Common</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0.39</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0.37</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Basic Class B Common</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0.29</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0.27</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Diluted</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0.35</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0.33</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Average Shares Outstanding:</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8"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Basic Common</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5,245</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5,149</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Basic Class B Common</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1,897</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1,880</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Diluted</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7,309</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7,187</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8"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color w:val="000000"/>
              </w:rPr>
            </w:pPr>
            <w:r>
              <w:rPr>
                <w:color w:val="000000"/>
              </w:rPr>
              <w:t> </w:t>
            </w:r>
          </w:p>
        </w:tc>
        <w:tc>
          <w:tcPr>
            <w:tcW w:w="5262" w:type="dxa"/>
            <w:gridSpan w:val="14"/>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Nine Months Ended April 30,</w:t>
            </w:r>
          </w:p>
        </w:tc>
        <w:tc>
          <w:tcPr>
            <w:tcW w:w="211" w:type="dxa"/>
            <w:tcBorders/>
            <w:shd w:fill="FFFFFF" w:val="clear"/>
            <w:vAlign w:val="bottom"/>
          </w:tcPr>
          <w:p>
            <w:pPr>
              <w:pStyle w:val="TableContents"/>
              <w:spacing w:before="0" w:after="283"/>
              <w:jc w:val="left"/>
              <w:rPr>
                <w:color w:val="000000"/>
              </w:rPr>
            </w:pPr>
            <w:r>
              <w:rPr>
                <w:color w:val="000000"/>
              </w:rPr>
              <w:t> </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color w:val="000000"/>
              </w:rPr>
            </w:pPr>
            <w:r>
              <w:rPr>
                <w:color w:val="000000"/>
              </w:rPr>
              <w:t> </w:t>
            </w:r>
          </w:p>
        </w:tc>
        <w:tc>
          <w:tcPr>
            <w:tcW w:w="1245" w:type="dxa"/>
            <w:gridSpan w:val="2"/>
            <w:tcBorders>
              <w:bottom w:val="single" w:sz="12" w:space="0" w:color="000000"/>
            </w:tcBorders>
            <w:shd w:fill="CCFFCC"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2010</w:t>
            </w:r>
          </w:p>
        </w:tc>
        <w:tc>
          <w:tcPr>
            <w:tcW w:w="118"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rPr>
                <w:color w:val="000000"/>
              </w:rPr>
            </w:pPr>
            <w:r>
              <w:rPr>
                <w:color w:val="000000"/>
              </w:rPr>
              <w:t> </w:t>
            </w:r>
          </w:p>
        </w:tc>
        <w:tc>
          <w:tcPr>
            <w:tcW w:w="1016" w:type="dxa"/>
            <w:gridSpan w:val="2"/>
            <w:tcBorders>
              <w:bottom w:val="single" w:sz="12" w:space="0" w:color="000000"/>
            </w:tcBorders>
            <w:shd w:fill="CCFFCC"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 of Sales</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rPr>
                <w:color w:val="000000"/>
              </w:rPr>
            </w:pPr>
            <w:r>
              <w:rPr>
                <w:color w:val="000000"/>
              </w:rPr>
              <w:t> </w:t>
            </w:r>
          </w:p>
        </w:tc>
        <w:tc>
          <w:tcPr>
            <w:tcW w:w="1245" w:type="dxa"/>
            <w:gridSpan w:val="2"/>
            <w:tcBorders>
              <w:bottom w:val="single" w:sz="12" w:space="0" w:color="000000"/>
            </w:tcBorders>
            <w:shd w:fill="CCFFCC"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2009</w:t>
            </w:r>
          </w:p>
        </w:tc>
        <w:tc>
          <w:tcPr>
            <w:tcW w:w="117"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rPr>
                <w:color w:val="000000"/>
              </w:rPr>
            </w:pPr>
            <w:r>
              <w:rPr>
                <w:color w:val="000000"/>
              </w:rPr>
              <w:t> </w:t>
            </w:r>
          </w:p>
        </w:tc>
        <w:tc>
          <w:tcPr>
            <w:tcW w:w="1016" w:type="dxa"/>
            <w:gridSpan w:val="2"/>
            <w:tcBorders>
              <w:bottom w:val="single" w:sz="12" w:space="0" w:color="000000"/>
            </w:tcBorders>
            <w:shd w:fill="CCFFCC"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 of Sales</w:t>
            </w:r>
          </w:p>
        </w:tc>
        <w:tc>
          <w:tcPr>
            <w:tcW w:w="211" w:type="dxa"/>
            <w:tcBorders/>
            <w:shd w:fill="CCFFCC" w:val="clear"/>
            <w:vAlign w:val="bottom"/>
          </w:tcPr>
          <w:p>
            <w:pPr>
              <w:pStyle w:val="TableContents"/>
              <w:spacing w:before="0" w:after="283"/>
              <w:jc w:val="left"/>
              <w:rPr>
                <w:color w:val="000000"/>
              </w:rPr>
            </w:pPr>
            <w:r>
              <w:rPr>
                <w:color w:val="000000"/>
              </w:rPr>
              <w:t> </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Net Sales</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164,397</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100.0</w:t>
            </w:r>
          </w:p>
        </w:tc>
        <w:tc>
          <w:tcPr>
            <w:tcW w:w="190"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180,311</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Cost of Sales</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(126,234</w:t>
            </w:r>
          </w:p>
        </w:tc>
        <w:tc>
          <w:tcPr>
            <w:tcW w:w="118"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76.8</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(142,802</w:t>
            </w:r>
          </w:p>
        </w:tc>
        <w:tc>
          <w:tcPr>
            <w:tcW w:w="117"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79.2</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Gross Profit</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38,163</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23.2</w:t>
            </w:r>
          </w:p>
        </w:tc>
        <w:tc>
          <w:tcPr>
            <w:tcW w:w="190"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37,509</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20.8</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Operating Expenses</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(27,527</w:t>
            </w:r>
          </w:p>
        </w:tc>
        <w:tc>
          <w:tcPr>
            <w:tcW w:w="118"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16.7</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(26,711</w:t>
            </w:r>
          </w:p>
        </w:tc>
        <w:tc>
          <w:tcPr>
            <w:tcW w:w="117"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14.8</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Operating Income</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10,636</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6.5</w:t>
            </w:r>
          </w:p>
        </w:tc>
        <w:tc>
          <w:tcPr>
            <w:tcW w:w="190"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10,798</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6.0</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Interest Expense</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(1,052</w:t>
            </w:r>
          </w:p>
        </w:tc>
        <w:tc>
          <w:tcPr>
            <w:tcW w:w="118"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0.6</w:t>
            </w:r>
          </w:p>
        </w:tc>
        <w:tc>
          <w:tcPr>
            <w:tcW w:w="190"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(1,453</w:t>
            </w:r>
          </w:p>
        </w:tc>
        <w:tc>
          <w:tcPr>
            <w:tcW w:w="117"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05" w:type="dxa"/>
            <w:tcBorders/>
            <w:shd w:fill="FFFFFF" w:val="clear"/>
            <w:vAlign w:val="bottom"/>
          </w:tcPr>
          <w:p>
            <w:pPr>
              <w:pStyle w:val="TableContents"/>
              <w:spacing w:before="0" w:after="283"/>
              <w:jc w:val="left"/>
              <w:rPr>
                <w:color w:val="000000"/>
              </w:rPr>
            </w:pPr>
            <w:r>
              <w:rPr>
                <w:color w:val="000000"/>
              </w:rPr>
              <w:t> </w:t>
            </w:r>
          </w:p>
        </w:tc>
        <w:tc>
          <w:tcPr>
            <w:tcW w:w="911"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Other Income</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407</w:t>
            </w:r>
          </w:p>
        </w:tc>
        <w:tc>
          <w:tcPr>
            <w:tcW w:w="118"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0.2</w:t>
            </w:r>
          </w:p>
        </w:tc>
        <w:tc>
          <w:tcPr>
            <w:tcW w:w="190"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330</w:t>
            </w:r>
          </w:p>
        </w:tc>
        <w:tc>
          <w:tcPr>
            <w:tcW w:w="117"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Income Before Income Taxes</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9,991</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6.1</w:t>
            </w:r>
          </w:p>
        </w:tc>
        <w:tc>
          <w:tcPr>
            <w:tcW w:w="190"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9,675</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05" w:type="dxa"/>
            <w:tcBorders/>
            <w:shd w:fill="CCFFCC" w:val="clear"/>
            <w:vAlign w:val="bottom"/>
          </w:tcPr>
          <w:p>
            <w:pPr>
              <w:pStyle w:val="TableContents"/>
              <w:spacing w:before="0" w:after="283"/>
              <w:jc w:val="left"/>
              <w:rPr>
                <w:color w:val="000000"/>
              </w:rPr>
            </w:pPr>
            <w:r>
              <w:rPr>
                <w:color w:val="000000"/>
              </w:rPr>
              <w:t> </w:t>
            </w:r>
          </w:p>
        </w:tc>
        <w:tc>
          <w:tcPr>
            <w:tcW w:w="911"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Income Taxes</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(2,949</w:t>
            </w:r>
          </w:p>
        </w:tc>
        <w:tc>
          <w:tcPr>
            <w:tcW w:w="118"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w:t>
            </w:r>
          </w:p>
        </w:tc>
        <w:tc>
          <w:tcPr>
            <w:tcW w:w="190"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(2,641</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Net Income</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7,042</w:t>
            </w:r>
          </w:p>
        </w:tc>
        <w:tc>
          <w:tcPr>
            <w:tcW w:w="118"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double" w:sz="8"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4.3</w:t>
            </w:r>
          </w:p>
        </w:tc>
        <w:tc>
          <w:tcPr>
            <w:tcW w:w="190"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 w:type="dxa"/>
            <w:tcBorders>
              <w:bottom w:val="double" w:sz="8"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49"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7,034</w:t>
            </w:r>
          </w:p>
        </w:tc>
        <w:tc>
          <w:tcPr>
            <w:tcW w:w="117"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 w:type="dxa"/>
            <w:tcBorders>
              <w:bottom w:val="double" w:sz="8"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05"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911"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8"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Net Income Per Share*:</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Basic Common</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1.06</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1.07</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Basic Class B Common</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0.80</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0.80</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Diluted</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0.96</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0.97</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9"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Average Shares Outstanding:</w:t>
            </w:r>
          </w:p>
        </w:tc>
        <w:tc>
          <w:tcPr>
            <w:tcW w:w="1964" w:type="dxa"/>
            <w:tcBorders/>
            <w:shd w:fill="CCFFCC" w:val="clear"/>
            <w:vAlign w:val="bottom"/>
          </w:tcPr>
          <w:p>
            <w:pPr>
              <w:pStyle w:val="TableContents"/>
              <w:spacing w:before="0" w:after="283"/>
              <w:rPr/>
            </w:pPr>
            <w:r>
              <w:rPr/>
              <w:t xml:space="preserve">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8"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49" w:type="dxa"/>
            <w:tcBorders/>
            <w:shd w:fill="CCFFCC" w:val="clear"/>
            <w:vAlign w:val="bottom"/>
          </w:tcPr>
          <w:p>
            <w:pPr>
              <w:pStyle w:val="TableContents"/>
              <w:spacing w:before="0" w:after="283"/>
              <w:jc w:val="left"/>
              <w:rPr/>
            </w:pPr>
            <w:r>
              <w:rPr/>
              <w:t> </w:t>
            </w:r>
          </w:p>
        </w:tc>
        <w:tc>
          <w:tcPr>
            <w:tcW w:w="1096" w:type="dxa"/>
            <w:tcBorders/>
            <w:shd w:fill="CCFFCC" w:val="clear"/>
            <w:vAlign w:val="bottom"/>
          </w:tcPr>
          <w:p>
            <w:pPr>
              <w:pStyle w:val="TableContents"/>
              <w:spacing w:before="0" w:after="283"/>
              <w:jc w:val="right"/>
              <w:rPr/>
            </w:pPr>
            <w:r>
              <w:rPr/>
              <w:t> </w:t>
            </w:r>
          </w:p>
        </w:tc>
        <w:tc>
          <w:tcPr>
            <w:tcW w:w="117"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Basic Common</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5,215</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5,136</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r>
        <w:trPr/>
        <w:tc>
          <w:tcPr>
            <w:tcW w:w="2663" w:type="dxa"/>
            <w:tcBorders/>
            <w:shd w:fill="CCFFCC" w:val="clear"/>
            <w:vAlign w:val="bottom"/>
          </w:tcPr>
          <w:p>
            <w:pPr>
              <w:pStyle w:val="TableContents"/>
              <w:spacing w:before="0" w:after="283"/>
              <w:rPr/>
            </w:pPr>
            <w:r>
              <w:rPr/>
              <w:t xml:space="preserve">  </w:t>
            </w:r>
          </w:p>
        </w:tc>
        <w:tc>
          <w:tcPr>
            <w:tcW w:w="1964"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Basic Class B Common</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1,889</w:t>
            </w:r>
          </w:p>
        </w:tc>
        <w:tc>
          <w:tcPr>
            <w:tcW w:w="118"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190" w:type="dxa"/>
            <w:tcBorders/>
            <w:shd w:fill="CCFFCC" w:val="clear"/>
            <w:vAlign w:val="bottom"/>
          </w:tcPr>
          <w:p>
            <w:pPr>
              <w:pStyle w:val="TableContents"/>
              <w:spacing w:before="0" w:after="283"/>
              <w:jc w:val="left"/>
              <w:rPr/>
            </w:pPr>
            <w:r>
              <w:rPr/>
              <w:t> </w:t>
            </w:r>
          </w:p>
        </w:tc>
        <w:tc>
          <w:tcPr>
            <w:tcW w:w="105" w:type="dxa"/>
            <w:tcBorders/>
            <w:shd w:fill="CCFFCC" w:val="clear"/>
            <w:vAlign w:val="bottom"/>
          </w:tcPr>
          <w:p>
            <w:pPr>
              <w:pStyle w:val="TableContents"/>
              <w:spacing w:before="0" w:after="283"/>
              <w:jc w:val="right"/>
              <w:rPr>
                <w:color w:val="000000"/>
              </w:rPr>
            </w:pPr>
            <w:r>
              <w:rPr>
                <w:color w:val="000000"/>
              </w:rPr>
              <w:t> </w:t>
            </w:r>
          </w:p>
        </w:tc>
        <w:tc>
          <w:tcPr>
            <w:tcW w:w="149" w:type="dxa"/>
            <w:tcBorders/>
            <w:shd w:fill="CCFFCC" w:val="clear"/>
            <w:vAlign w:val="bottom"/>
          </w:tcPr>
          <w:p>
            <w:pPr>
              <w:pStyle w:val="TableContents"/>
              <w:spacing w:before="0" w:after="283"/>
              <w:jc w:val="left"/>
              <w:rPr>
                <w:color w:val="000000"/>
              </w:rPr>
            </w:pPr>
            <w:r>
              <w:rPr>
                <w:color w:val="000000"/>
              </w:rPr>
              <w:t> </w:t>
            </w:r>
          </w:p>
        </w:tc>
        <w:tc>
          <w:tcPr>
            <w:tcW w:w="1096"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1,872</w:t>
            </w:r>
          </w:p>
        </w:tc>
        <w:tc>
          <w:tcPr>
            <w:tcW w:w="117" w:type="dxa"/>
            <w:tcBorders/>
            <w:shd w:fill="CCFFCC" w:val="clear"/>
            <w:vAlign w:val="bottom"/>
          </w:tcPr>
          <w:p>
            <w:pPr>
              <w:pStyle w:val="TableContents"/>
              <w:spacing w:before="0" w:after="283"/>
              <w:jc w:val="left"/>
              <w:rPr>
                <w:color w:val="000000"/>
              </w:rPr>
            </w:pPr>
            <w:r>
              <w:rPr>
                <w:color w:val="000000"/>
              </w:rPr>
              <w:t> </w:t>
            </w:r>
          </w:p>
        </w:tc>
        <w:tc>
          <w:tcPr>
            <w:tcW w:w="105" w:type="dxa"/>
            <w:tcBorders/>
            <w:shd w:fill="CCFFCC" w:val="clear"/>
            <w:vAlign w:val="bottom"/>
          </w:tcPr>
          <w:p>
            <w:pPr>
              <w:pStyle w:val="TableContents"/>
              <w:spacing w:before="0" w:after="283"/>
              <w:rPr/>
            </w:pPr>
            <w:r>
              <w:rPr/>
              <w:t> </w:t>
            </w:r>
          </w:p>
        </w:tc>
        <w:tc>
          <w:tcPr>
            <w:tcW w:w="105" w:type="dxa"/>
            <w:tcBorders/>
            <w:shd w:fill="CCFFCC" w:val="clear"/>
            <w:vAlign w:val="bottom"/>
          </w:tcPr>
          <w:p>
            <w:pPr>
              <w:pStyle w:val="TableContents"/>
              <w:spacing w:before="0" w:after="283"/>
              <w:jc w:val="left"/>
              <w:rPr/>
            </w:pPr>
            <w:r>
              <w:rPr/>
              <w:t> </w:t>
            </w:r>
          </w:p>
        </w:tc>
        <w:tc>
          <w:tcPr>
            <w:tcW w:w="911" w:type="dxa"/>
            <w:tcBorders/>
            <w:shd w:fill="CCFFCC" w:val="clear"/>
            <w:vAlign w:val="bottom"/>
          </w:tcPr>
          <w:p>
            <w:pPr>
              <w:pStyle w:val="TableContents"/>
              <w:spacing w:before="0" w:after="283"/>
              <w:jc w:val="right"/>
              <w:rPr/>
            </w:pPr>
            <w:r>
              <w:rPr/>
              <w:t> </w:t>
            </w:r>
          </w:p>
        </w:tc>
        <w:tc>
          <w:tcPr>
            <w:tcW w:w="211" w:type="dxa"/>
            <w:tcBorders/>
            <w:shd w:fill="CCFFCC" w:val="clear"/>
            <w:vAlign w:val="bottom"/>
          </w:tcPr>
          <w:p>
            <w:pPr>
              <w:pStyle w:val="TableContents"/>
              <w:spacing w:before="0" w:after="283"/>
              <w:jc w:val="left"/>
              <w:rPr/>
            </w:pPr>
            <w:r>
              <w:rPr/>
              <w:t> </w:t>
            </w:r>
          </w:p>
        </w:tc>
      </w:tr>
      <w:tr>
        <w:trPr/>
        <w:tc>
          <w:tcPr>
            <w:tcW w:w="2663" w:type="dxa"/>
            <w:tcBorders/>
            <w:shd w:fill="FFFFFF" w:val="clear"/>
            <w:vAlign w:val="bottom"/>
          </w:tcPr>
          <w:p>
            <w:pPr>
              <w:pStyle w:val="TableContents"/>
              <w:spacing w:before="0" w:after="283"/>
              <w:rPr/>
            </w:pPr>
            <w:r>
              <w:rPr/>
              <w:t xml:space="preserve">  </w:t>
            </w:r>
          </w:p>
        </w:tc>
        <w:tc>
          <w:tcPr>
            <w:tcW w:w="1964"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Diluted</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7,285</w:t>
            </w:r>
          </w:p>
        </w:tc>
        <w:tc>
          <w:tcPr>
            <w:tcW w:w="118"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19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color w:val="000000"/>
              </w:rPr>
            </w:pPr>
            <w:r>
              <w:rPr>
                <w:color w:val="000000"/>
              </w:rPr>
              <w:t> </w:t>
            </w:r>
          </w:p>
        </w:tc>
        <w:tc>
          <w:tcPr>
            <w:tcW w:w="149" w:type="dxa"/>
            <w:tcBorders/>
            <w:shd w:fill="FFFFFF" w:val="clear"/>
            <w:vAlign w:val="bottom"/>
          </w:tcPr>
          <w:p>
            <w:pPr>
              <w:pStyle w:val="TableContents"/>
              <w:spacing w:before="0" w:after="283"/>
              <w:jc w:val="left"/>
              <w:rPr>
                <w:color w:val="000000"/>
              </w:rPr>
            </w:pPr>
            <w:r>
              <w:rPr>
                <w:color w:val="000000"/>
              </w:rPr>
              <w:t> </w:t>
            </w:r>
          </w:p>
        </w:tc>
        <w:tc>
          <w:tcPr>
            <w:tcW w:w="1096"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7,193</w:t>
            </w:r>
          </w:p>
        </w:tc>
        <w:tc>
          <w:tcPr>
            <w:tcW w:w="117" w:type="dxa"/>
            <w:tcBorders/>
            <w:shd w:fill="FFFFFF" w:val="clear"/>
            <w:vAlign w:val="bottom"/>
          </w:tcPr>
          <w:p>
            <w:pPr>
              <w:pStyle w:val="TableContents"/>
              <w:spacing w:before="0" w:after="283"/>
              <w:jc w:val="left"/>
              <w:rPr>
                <w:color w:val="000000"/>
              </w:rPr>
            </w:pPr>
            <w:r>
              <w:rPr>
                <w:color w:val="000000"/>
              </w:rPr>
              <w:t> </w:t>
            </w:r>
          </w:p>
        </w:tc>
        <w:tc>
          <w:tcPr>
            <w:tcW w:w="105"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jc w:val="left"/>
              <w:rPr/>
            </w:pPr>
            <w:r>
              <w:rPr/>
              <w:t> </w:t>
            </w:r>
          </w:p>
        </w:tc>
        <w:tc>
          <w:tcPr>
            <w:tcW w:w="911"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 w:name="PGBRK6"/>
      <w:bookmarkStart w:id="74" w:name="PGBRK6"/>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FTR6"/>
      <w:bookmarkStart w:id="76" w:name="FTR6"/>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7" w:name="GLFTR6"/>
      <w:bookmarkStart w:id="78" w:name="GLFTR6"/>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79" w:name="PN6"/>
      <w:bookmarkStart w:id="80" w:name="PN6"/>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 w:name="HDR6"/>
      <w:bookmarkStart w:id="82" w:name="HDR6"/>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GLHDR6"/>
      <w:bookmarkStart w:id="84" w:name="GLHDR6"/>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513"/>
        <w:gridCol w:w="1446"/>
        <w:gridCol w:w="3075"/>
        <w:gridCol w:w="1720"/>
        <w:gridCol w:w="104"/>
        <w:gridCol w:w="152"/>
        <w:gridCol w:w="1055"/>
        <w:gridCol w:w="104"/>
        <w:gridCol w:w="104"/>
        <w:gridCol w:w="152"/>
        <w:gridCol w:w="698"/>
        <w:gridCol w:w="82"/>
      </w:tblGrid>
      <w:tr>
        <w:trPr/>
        <w:tc>
          <w:tcPr>
            <w:tcW w:w="6034" w:type="dxa"/>
            <w:gridSpan w:val="3"/>
            <w:tcBorders/>
            <w:shd w:fill="auto" w:val="clear"/>
            <w:vAlign w:val="bottom"/>
          </w:tcPr>
          <w:p>
            <w:pPr>
              <w:pStyle w:val="TableContents"/>
              <w:spacing w:before="0" w:after="0"/>
              <w:ind w:left="0" w:right="0" w:hanging="0"/>
              <w:jc w:val="left"/>
              <w:rPr>
                <w:rFonts w:ascii="times new roman" w:hAnsi="times new roman"/>
                <w:b/>
                <w:color w:val="000000"/>
                <w:sz w:val="20"/>
              </w:rPr>
            </w:pPr>
            <w:bookmarkStart w:id="85" w:name="range_a1%3Ag39"/>
            <w:bookmarkStart w:id="86" w:name="range_a1%3Af39"/>
            <w:bookmarkEnd w:id="85"/>
            <w:bookmarkEnd w:id="86"/>
            <w:r>
              <w:rPr>
                <w:rFonts w:ascii="times new roman" w:hAnsi="times new roman"/>
                <w:b/>
                <w:color w:val="000000"/>
                <w:sz w:val="20"/>
              </w:rPr>
              <w:t xml:space="preserve">O I L  -  D R I   C O R P O R A T I O N    O F    A M E R I C A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1513" w:type="dxa"/>
            <w:tcBorders/>
            <w:shd w:fill="auto" w:val="clear"/>
            <w:vAlign w:val="bottom"/>
          </w:tcPr>
          <w:p>
            <w:pPr>
              <w:pStyle w:val="TableContents"/>
              <w:spacing w:before="0" w:after="283"/>
              <w:rPr/>
            </w:pPr>
            <w:r>
              <w:rPr/>
              <w:t xml:space="preserve">  </w:t>
            </w:r>
          </w:p>
        </w:tc>
        <w:tc>
          <w:tcPr>
            <w:tcW w:w="1446" w:type="dxa"/>
            <w:tcBorders/>
            <w:shd w:fill="auto" w:val="clear"/>
            <w:vAlign w:val="bottom"/>
          </w:tcPr>
          <w:p>
            <w:pPr>
              <w:pStyle w:val="TableContents"/>
              <w:spacing w:before="0" w:after="283"/>
              <w:rPr/>
            </w:pPr>
            <w:r>
              <w:rPr/>
              <w:t xml:space="preserve">  </w:t>
            </w:r>
          </w:p>
        </w:tc>
        <w:tc>
          <w:tcPr>
            <w:tcW w:w="307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2959" w:type="dxa"/>
            <w:gridSpan w:val="2"/>
            <w:tcBorders/>
            <w:shd w:fill="auto"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Consolidated Balance Sheets</w:t>
            </w:r>
          </w:p>
        </w:tc>
        <w:tc>
          <w:tcPr>
            <w:tcW w:w="307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6034" w:type="dxa"/>
            <w:gridSpan w:val="3"/>
            <w:tcBorders/>
            <w:shd w:fill="auto" w:val="clear"/>
            <w:vAlign w:val="bottom"/>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(in thousands, except for per share amounts)</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1513" w:type="dxa"/>
            <w:tcBorders/>
            <w:shd w:fill="auto" w:val="clear"/>
            <w:vAlign w:val="bottom"/>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(unaudited)</w:t>
            </w:r>
          </w:p>
        </w:tc>
        <w:tc>
          <w:tcPr>
            <w:tcW w:w="1446" w:type="dxa"/>
            <w:tcBorders/>
            <w:shd w:fill="auto" w:val="clear"/>
            <w:vAlign w:val="bottom"/>
          </w:tcPr>
          <w:p>
            <w:pPr>
              <w:pStyle w:val="TableContents"/>
              <w:spacing w:before="0" w:after="283"/>
              <w:rPr/>
            </w:pPr>
            <w:r>
              <w:rPr/>
              <w:t xml:space="preserve">  </w:t>
            </w:r>
          </w:p>
        </w:tc>
        <w:tc>
          <w:tcPr>
            <w:tcW w:w="307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1513" w:type="dxa"/>
            <w:tcBorders/>
            <w:shd w:fill="auto" w:val="clear"/>
            <w:vAlign w:val="bottom"/>
          </w:tcPr>
          <w:p>
            <w:pPr>
              <w:pStyle w:val="TableContents"/>
              <w:spacing w:before="0" w:after="283"/>
              <w:rPr/>
            </w:pPr>
            <w:r>
              <w:rPr/>
              <w:t xml:space="preserve">  </w:t>
            </w:r>
          </w:p>
        </w:tc>
        <w:tc>
          <w:tcPr>
            <w:tcW w:w="1446" w:type="dxa"/>
            <w:tcBorders/>
            <w:shd w:fill="auto" w:val="clear"/>
            <w:vAlign w:val="bottom"/>
          </w:tcPr>
          <w:p>
            <w:pPr>
              <w:pStyle w:val="TableContents"/>
              <w:spacing w:before="0" w:after="283"/>
              <w:rPr/>
            </w:pPr>
            <w:r>
              <w:rPr/>
              <w:t xml:space="preserve">  </w:t>
            </w:r>
          </w:p>
        </w:tc>
        <w:tc>
          <w:tcPr>
            <w:tcW w:w="307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1513" w:type="dxa"/>
            <w:tcBorders/>
            <w:shd w:fill="auto" w:val="clear"/>
            <w:vAlign w:val="bottom"/>
          </w:tcPr>
          <w:p>
            <w:pPr>
              <w:pStyle w:val="TableContents"/>
              <w:spacing w:before="0" w:after="283"/>
              <w:rPr/>
            </w:pPr>
            <w:r>
              <w:rPr/>
              <w:t xml:space="preserve">  </w:t>
            </w:r>
          </w:p>
        </w:tc>
        <w:tc>
          <w:tcPr>
            <w:tcW w:w="1446" w:type="dxa"/>
            <w:tcBorders/>
            <w:shd w:fill="auto" w:val="clear"/>
            <w:vAlign w:val="bottom"/>
          </w:tcPr>
          <w:p>
            <w:pPr>
              <w:pStyle w:val="TableContents"/>
              <w:spacing w:before="0" w:after="283"/>
              <w:rPr/>
            </w:pPr>
            <w:r>
              <w:rPr/>
              <w:t xml:space="preserve">  </w:t>
            </w:r>
          </w:p>
        </w:tc>
        <w:tc>
          <w:tcPr>
            <w:tcW w:w="307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color w:val="000000"/>
              </w:rPr>
            </w:pPr>
            <w:r>
              <w:rPr>
                <w:color w:val="000000"/>
              </w:rPr>
              <w:t> </w:t>
            </w:r>
          </w:p>
        </w:tc>
        <w:tc>
          <w:tcPr>
            <w:tcW w:w="226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As of April 30,</w:t>
            </w:r>
          </w:p>
        </w:tc>
        <w:tc>
          <w:tcPr>
            <w:tcW w:w="82" w:type="dxa"/>
            <w:tcBorders/>
            <w:shd w:fill="auto" w:val="clear"/>
            <w:vAlign w:val="bottom"/>
          </w:tcPr>
          <w:p>
            <w:pPr>
              <w:pStyle w:val="TableContents"/>
              <w:spacing w:before="0" w:after="283"/>
              <w:jc w:val="left"/>
              <w:rPr>
                <w:color w:val="000000"/>
              </w:rPr>
            </w:pPr>
            <w:r>
              <w:rPr>
                <w:color w:val="000000"/>
              </w:rPr>
              <w:t> </w:t>
            </w:r>
          </w:p>
        </w:tc>
      </w:tr>
      <w:tr>
        <w:trPr/>
        <w:tc>
          <w:tcPr>
            <w:tcW w:w="1513" w:type="dxa"/>
            <w:tcBorders/>
            <w:shd w:fill="auto" w:val="clear"/>
            <w:vAlign w:val="bottom"/>
          </w:tcPr>
          <w:p>
            <w:pPr>
              <w:pStyle w:val="TableContents"/>
              <w:spacing w:before="0" w:after="283"/>
              <w:rPr/>
            </w:pPr>
            <w:r>
              <w:rPr/>
              <w:t xml:space="preserve">  </w:t>
            </w:r>
          </w:p>
        </w:tc>
        <w:tc>
          <w:tcPr>
            <w:tcW w:w="1446" w:type="dxa"/>
            <w:tcBorders/>
            <w:shd w:fill="auto" w:val="clear"/>
            <w:vAlign w:val="bottom"/>
          </w:tcPr>
          <w:p>
            <w:pPr>
              <w:pStyle w:val="TableContents"/>
              <w:spacing w:before="0" w:after="283"/>
              <w:rPr/>
            </w:pPr>
            <w:r>
              <w:rPr/>
              <w:t xml:space="preserve">  </w:t>
            </w:r>
          </w:p>
        </w:tc>
        <w:tc>
          <w:tcPr>
            <w:tcW w:w="307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color w:val="000000"/>
              </w:rPr>
            </w:pPr>
            <w:r>
              <w:rPr>
                <w:color w:val="000000"/>
              </w:rPr>
              <w:t> </w:t>
            </w:r>
          </w:p>
        </w:tc>
        <w:tc>
          <w:tcPr>
            <w:tcW w:w="12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2010</w:t>
            </w:r>
          </w:p>
        </w:tc>
        <w:tc>
          <w:tcPr>
            <w:tcW w:w="104" w:type="dxa"/>
            <w:tcBorders>
              <w:bottom w:val="single" w:sz="12" w:space="0" w:color="000000"/>
            </w:tcBorders>
            <w:shd w:fill="auto" w:val="clear"/>
            <w:tcMar>
              <w:bottom w:w="28" w:type="dxa"/>
            </w:tcMar>
            <w:vAlign w:val="bottom"/>
          </w:tcPr>
          <w:p>
            <w:pPr>
              <w:pStyle w:val="TableContents"/>
              <w:spacing w:before="0" w:after="283"/>
              <w:jc w:val="left"/>
              <w:rPr>
                <w:color w:val="000000"/>
              </w:rPr>
            </w:pPr>
            <w:r>
              <w:rPr>
                <w:color w:val="000000"/>
              </w:rPr>
              <w:t> </w:t>
            </w:r>
          </w:p>
        </w:tc>
        <w:tc>
          <w:tcPr>
            <w:tcW w:w="104" w:type="dxa"/>
            <w:tcBorders>
              <w:bottom w:val="single" w:sz="12" w:space="0" w:color="000000"/>
            </w:tcBorders>
            <w:shd w:fill="auto" w:val="clear"/>
            <w:tcMar>
              <w:bottom w:w="28" w:type="dxa"/>
            </w:tcMar>
            <w:vAlign w:val="bottom"/>
          </w:tcPr>
          <w:p>
            <w:pPr>
              <w:pStyle w:val="TableContents"/>
              <w:spacing w:before="0" w:after="283"/>
              <w:rPr>
                <w:color w:val="000000"/>
              </w:rPr>
            </w:pPr>
            <w:r>
              <w:rPr>
                <w:color w:val="000000"/>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color w:val="000000"/>
                <w:sz w:val="20"/>
              </w:rPr>
            </w:pPr>
            <w:r>
              <w:rPr>
                <w:rFonts w:ascii="times new roman" w:hAnsi="times new roman"/>
                <w:b/>
                <w:color w:val="000000"/>
                <w:sz w:val="20"/>
              </w:rPr>
              <w:t>2009</w:t>
            </w:r>
          </w:p>
        </w:tc>
        <w:tc>
          <w:tcPr>
            <w:tcW w:w="82" w:type="dxa"/>
            <w:tcBorders/>
            <w:shd w:fill="auto" w:val="clear"/>
            <w:vAlign w:val="bottom"/>
          </w:tcPr>
          <w:p>
            <w:pPr>
              <w:pStyle w:val="TableContents"/>
              <w:spacing w:before="0" w:after="283"/>
              <w:jc w:val="left"/>
              <w:rPr>
                <w:color w:val="000000"/>
              </w:rPr>
            </w:pPr>
            <w:r>
              <w:rPr>
                <w:color w:val="000000"/>
              </w:rPr>
              <w:t> </w:t>
            </w:r>
          </w:p>
        </w:tc>
      </w:tr>
      <w:tr>
        <w:trPr/>
        <w:tc>
          <w:tcPr>
            <w:tcW w:w="1513" w:type="dxa"/>
            <w:tcBorders/>
            <w:shd w:fill="auto" w:val="clear"/>
            <w:vAlign w:val="bottom"/>
          </w:tcPr>
          <w:p>
            <w:pPr>
              <w:pStyle w:val="TableContents"/>
              <w:spacing w:before="0" w:after="283"/>
              <w:rPr/>
            </w:pPr>
            <w:r>
              <w:rPr/>
              <w:t xml:space="preserve">  </w:t>
            </w:r>
          </w:p>
        </w:tc>
        <w:tc>
          <w:tcPr>
            <w:tcW w:w="1446" w:type="dxa"/>
            <w:tcBorders/>
            <w:shd w:fill="auto" w:val="clear"/>
            <w:vAlign w:val="bottom"/>
          </w:tcPr>
          <w:p>
            <w:pPr>
              <w:pStyle w:val="TableContents"/>
              <w:spacing w:before="0" w:after="283"/>
              <w:rPr/>
            </w:pPr>
            <w:r>
              <w:rPr/>
              <w:t xml:space="preserve">  </w:t>
            </w:r>
          </w:p>
        </w:tc>
        <w:tc>
          <w:tcPr>
            <w:tcW w:w="307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1513" w:type="dxa"/>
            <w:tcBorders/>
            <w:shd w:fill="auto"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Current Assets</w:t>
            </w:r>
          </w:p>
        </w:tc>
        <w:tc>
          <w:tcPr>
            <w:tcW w:w="1446" w:type="dxa"/>
            <w:tcBorders/>
            <w:shd w:fill="auto" w:val="clear"/>
            <w:vAlign w:val="bottom"/>
          </w:tcPr>
          <w:p>
            <w:pPr>
              <w:pStyle w:val="TableContents"/>
              <w:spacing w:before="0" w:after="283"/>
              <w:rPr/>
            </w:pPr>
            <w:r>
              <w:rPr/>
              <w:t xml:space="preserve">  </w:t>
            </w:r>
          </w:p>
        </w:tc>
        <w:tc>
          <w:tcPr>
            <w:tcW w:w="3075" w:type="dxa"/>
            <w:tcBorders/>
            <w:shd w:fill="auto" w:val="clear"/>
            <w:vAlign w:val="bottom"/>
          </w:tcPr>
          <w:p>
            <w:pPr>
              <w:pStyle w:val="TableContents"/>
              <w:spacing w:before="0" w:after="283"/>
              <w:rPr/>
            </w:pPr>
            <w:r>
              <w:rPr/>
              <w:t xml:space="preserve">  </w:t>
            </w:r>
          </w:p>
        </w:tc>
        <w:tc>
          <w:tcPr>
            <w:tcW w:w="1720"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jc w:val="left"/>
              <w:rPr/>
            </w:pPr>
            <w:r>
              <w:rPr/>
              <w:t> </w:t>
            </w:r>
          </w:p>
        </w:tc>
      </w:tr>
      <w:tr>
        <w:trPr/>
        <w:tc>
          <w:tcPr>
            <w:tcW w:w="1513" w:type="dxa"/>
            <w:tcBorders/>
            <w:shd w:fill="CCFFCC" w:val="clear"/>
            <w:vAlign w:val="bottom"/>
          </w:tcPr>
          <w:p>
            <w:pPr>
              <w:pStyle w:val="TableContents"/>
              <w:spacing w:before="0" w:after="283"/>
              <w:rPr/>
            </w:pPr>
            <w:r>
              <w:rPr/>
              <w:t xml:space="preserve">  </w:t>
            </w:r>
          </w:p>
        </w:tc>
        <w:tc>
          <w:tcPr>
            <w:tcW w:w="4521"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Cash and Cash Equivalents</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21,639</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11,680</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4521" w:type="dxa"/>
            <w:gridSpan w:val="2"/>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Investment in Treasury Securities</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color w:val="000000"/>
              </w:rPr>
            </w:pPr>
            <w:r>
              <w:rPr>
                <w:color w:val="000000"/>
              </w:rPr>
              <w:t> </w:t>
            </w:r>
          </w:p>
        </w:tc>
        <w:tc>
          <w:tcPr>
            <w:tcW w:w="1055"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3,999</w:t>
            </w:r>
          </w:p>
        </w:tc>
        <w:tc>
          <w:tcPr>
            <w:tcW w:w="104" w:type="dxa"/>
            <w:tcBorders/>
            <w:shd w:fill="FFFFFF" w:val="clear"/>
            <w:vAlign w:val="bottom"/>
          </w:tcPr>
          <w:p>
            <w:pPr>
              <w:pStyle w:val="TableContents"/>
              <w:spacing w:before="0" w:after="283"/>
              <w:jc w:val="left"/>
              <w:rPr>
                <w:color w:val="000000"/>
              </w:rPr>
            </w:pPr>
            <w:r>
              <w:rPr>
                <w:color w:val="000000"/>
              </w:rPr>
              <w:t>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color w:val="000000"/>
              </w:rPr>
            </w:pPr>
            <w:r>
              <w:rPr>
                <w:color w:val="000000"/>
              </w:rPr>
              <w:t> </w:t>
            </w:r>
          </w:p>
        </w:tc>
        <w:tc>
          <w:tcPr>
            <w:tcW w:w="698"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3,996</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1513" w:type="dxa"/>
            <w:tcBorders/>
            <w:shd w:fill="CCFFCC" w:val="clear"/>
            <w:vAlign w:val="bottom"/>
          </w:tcPr>
          <w:p>
            <w:pPr>
              <w:pStyle w:val="TableContents"/>
              <w:spacing w:before="0" w:after="283"/>
              <w:rPr/>
            </w:pPr>
            <w:r>
              <w:rPr/>
              <w:t xml:space="preserve">  </w:t>
            </w:r>
          </w:p>
        </w:tc>
        <w:tc>
          <w:tcPr>
            <w:tcW w:w="4521"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Accounts Receivable, net</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26,721</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28,711</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1446"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Inventories</w:t>
            </w:r>
          </w:p>
        </w:tc>
        <w:tc>
          <w:tcPr>
            <w:tcW w:w="3075" w:type="dxa"/>
            <w:tcBorders/>
            <w:shd w:fill="FFFFFF" w:val="clear"/>
            <w:vAlign w:val="bottom"/>
          </w:tcPr>
          <w:p>
            <w:pPr>
              <w:pStyle w:val="TableContents"/>
              <w:spacing w:before="0" w:after="283"/>
              <w:rPr/>
            </w:pPr>
            <w:r>
              <w:rPr/>
              <w:t xml:space="preserve">  </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color w:val="000000"/>
              </w:rPr>
            </w:pPr>
            <w:r>
              <w:rPr>
                <w:color w:val="000000"/>
              </w:rPr>
              <w:t> </w:t>
            </w:r>
          </w:p>
        </w:tc>
        <w:tc>
          <w:tcPr>
            <w:tcW w:w="1055"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17,390</w:t>
            </w:r>
          </w:p>
        </w:tc>
        <w:tc>
          <w:tcPr>
            <w:tcW w:w="104" w:type="dxa"/>
            <w:tcBorders/>
            <w:shd w:fill="FFFFFF" w:val="clear"/>
            <w:vAlign w:val="bottom"/>
          </w:tcPr>
          <w:p>
            <w:pPr>
              <w:pStyle w:val="TableContents"/>
              <w:spacing w:before="0" w:after="283"/>
              <w:jc w:val="left"/>
              <w:rPr>
                <w:color w:val="000000"/>
              </w:rPr>
            </w:pPr>
            <w:r>
              <w:rPr>
                <w:color w:val="000000"/>
              </w:rPr>
              <w:t>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color w:val="000000"/>
              </w:rPr>
            </w:pPr>
            <w:r>
              <w:rPr>
                <w:color w:val="000000"/>
              </w:rPr>
              <w:t> </w:t>
            </w:r>
          </w:p>
        </w:tc>
        <w:tc>
          <w:tcPr>
            <w:tcW w:w="698"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20,136</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1513" w:type="dxa"/>
            <w:tcBorders/>
            <w:shd w:fill="CCFFCC" w:val="clear"/>
            <w:vAlign w:val="bottom"/>
          </w:tcPr>
          <w:p>
            <w:pPr>
              <w:pStyle w:val="TableContents"/>
              <w:spacing w:before="0" w:after="283"/>
              <w:rPr/>
            </w:pPr>
            <w:r>
              <w:rPr/>
              <w:t xml:space="preserve">  </w:t>
            </w:r>
          </w:p>
        </w:tc>
        <w:tc>
          <w:tcPr>
            <w:tcW w:w="4521"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Prepaid Expenses</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6,643</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6,778</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1446" w:type="dxa"/>
            <w:tcBorders/>
            <w:shd w:fill="FFFFFF" w:val="clear"/>
            <w:vAlign w:val="bottom"/>
          </w:tcPr>
          <w:p>
            <w:pPr>
              <w:pStyle w:val="TableContents"/>
              <w:spacing w:before="0" w:after="283"/>
              <w:rPr/>
            </w:pPr>
            <w:r>
              <w:rPr/>
              <w:t xml:space="preserve">  </w:t>
            </w:r>
          </w:p>
        </w:tc>
        <w:tc>
          <w:tcPr>
            <w:tcW w:w="3075"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Total Current Assets</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76,392</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4"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6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71,301</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2959"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Property, Plant and Equipment</w:t>
            </w:r>
          </w:p>
        </w:tc>
        <w:tc>
          <w:tcPr>
            <w:tcW w:w="3075" w:type="dxa"/>
            <w:tcBorders/>
            <w:shd w:fill="CCFFCC" w:val="clear"/>
            <w:vAlign w:val="bottom"/>
          </w:tcPr>
          <w:p>
            <w:pPr>
              <w:pStyle w:val="TableContents"/>
              <w:spacing w:before="0" w:after="283"/>
              <w:rPr/>
            </w:pPr>
            <w:r>
              <w:rPr/>
              <w:t xml:space="preserve">  </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61,865</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58,542</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Other Assets</w:t>
            </w:r>
          </w:p>
        </w:tc>
        <w:tc>
          <w:tcPr>
            <w:tcW w:w="1446" w:type="dxa"/>
            <w:tcBorders/>
            <w:shd w:fill="FFFFFF" w:val="clear"/>
            <w:vAlign w:val="bottom"/>
          </w:tcPr>
          <w:p>
            <w:pPr>
              <w:pStyle w:val="TableContents"/>
              <w:spacing w:before="0" w:after="283"/>
              <w:rPr/>
            </w:pPr>
            <w:r>
              <w:rPr/>
              <w:t xml:space="preserve">  </w:t>
            </w:r>
          </w:p>
        </w:tc>
        <w:tc>
          <w:tcPr>
            <w:tcW w:w="3075" w:type="dxa"/>
            <w:tcBorders/>
            <w:shd w:fill="FFFFFF" w:val="clear"/>
            <w:vAlign w:val="bottom"/>
          </w:tcPr>
          <w:p>
            <w:pPr>
              <w:pStyle w:val="TableContents"/>
              <w:spacing w:before="0" w:after="283"/>
              <w:rPr/>
            </w:pPr>
            <w:r>
              <w:rPr/>
              <w:t xml:space="preserve">  </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15,282</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4"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6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14,261</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1513"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Total Assets</w:t>
            </w:r>
          </w:p>
        </w:tc>
        <w:tc>
          <w:tcPr>
            <w:tcW w:w="1446" w:type="dxa"/>
            <w:tcBorders/>
            <w:shd w:fill="CCFFCC" w:val="clear"/>
            <w:vAlign w:val="bottom"/>
          </w:tcPr>
          <w:p>
            <w:pPr>
              <w:pStyle w:val="TableContents"/>
              <w:spacing w:before="0" w:after="283"/>
              <w:rPr/>
            </w:pPr>
            <w:r>
              <w:rPr/>
              <w:t xml:space="preserve">  </w:t>
            </w:r>
          </w:p>
        </w:tc>
        <w:tc>
          <w:tcPr>
            <w:tcW w:w="3075" w:type="dxa"/>
            <w:tcBorders/>
            <w:shd w:fill="CCFFCC" w:val="clear"/>
            <w:vAlign w:val="bottom"/>
          </w:tcPr>
          <w:p>
            <w:pPr>
              <w:pStyle w:val="TableContents"/>
              <w:spacing w:before="0" w:after="283"/>
              <w:rPr/>
            </w:pPr>
            <w:r>
              <w:rPr/>
              <w:t xml:space="preserve">  </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153,539</w:t>
            </w:r>
          </w:p>
        </w:tc>
        <w:tc>
          <w:tcPr>
            <w:tcW w:w="104" w:type="dxa"/>
            <w:tcBorders>
              <w:bottom w:val="double" w:sz="8"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4" w:type="dxa"/>
            <w:tcBorders>
              <w:bottom w:val="double" w:sz="8"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52"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144,104</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1446" w:type="dxa"/>
            <w:tcBorders/>
            <w:shd w:fill="FFFFFF" w:val="clear"/>
            <w:vAlign w:val="bottom"/>
          </w:tcPr>
          <w:p>
            <w:pPr>
              <w:pStyle w:val="TableContents"/>
              <w:spacing w:before="0" w:after="283"/>
              <w:rPr/>
            </w:pPr>
            <w:r>
              <w:rPr/>
              <w:t xml:space="preserve">  </w:t>
            </w:r>
          </w:p>
        </w:tc>
        <w:tc>
          <w:tcPr>
            <w:tcW w:w="3075" w:type="dxa"/>
            <w:tcBorders/>
            <w:shd w:fill="FFFFFF" w:val="clear"/>
            <w:vAlign w:val="bottom"/>
          </w:tcPr>
          <w:p>
            <w:pPr>
              <w:pStyle w:val="TableContents"/>
              <w:spacing w:before="0" w:after="283"/>
              <w:rPr/>
            </w:pPr>
            <w:r>
              <w:rPr/>
              <w:t xml:space="preserve">  </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05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698"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jc w:val="left"/>
              <w:rPr/>
            </w:pPr>
            <w:r>
              <w:rPr/>
              <w:t> </w:t>
            </w:r>
          </w:p>
        </w:tc>
      </w:tr>
      <w:tr>
        <w:trPr/>
        <w:tc>
          <w:tcPr>
            <w:tcW w:w="2959"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Current Liabilities</w:t>
            </w:r>
          </w:p>
        </w:tc>
        <w:tc>
          <w:tcPr>
            <w:tcW w:w="3075" w:type="dxa"/>
            <w:tcBorders/>
            <w:shd w:fill="CCFFCC" w:val="clear"/>
            <w:vAlign w:val="bottom"/>
          </w:tcPr>
          <w:p>
            <w:pPr>
              <w:pStyle w:val="TableContents"/>
              <w:spacing w:before="0" w:after="283"/>
              <w:rPr/>
            </w:pPr>
            <w:r>
              <w:rPr/>
              <w:t xml:space="preserve">  </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55" w:type="dxa"/>
            <w:tcBorders/>
            <w:shd w:fill="CCFFCC" w:val="clear"/>
            <w:vAlign w:val="bottom"/>
          </w:tcPr>
          <w:p>
            <w:pPr>
              <w:pStyle w:val="TableContents"/>
              <w:spacing w:before="0" w:after="283"/>
              <w:jc w:val="right"/>
              <w:rPr/>
            </w:pPr>
            <w:r>
              <w:rPr/>
              <w:t> </w:t>
            </w:r>
          </w:p>
        </w:tc>
        <w:tc>
          <w:tcPr>
            <w:tcW w:w="104" w:type="dxa"/>
            <w:tcBorders/>
            <w:shd w:fill="CCFFCC" w:val="clear"/>
            <w:vAlign w:val="bottom"/>
          </w:tcPr>
          <w:p>
            <w:pPr>
              <w:pStyle w:val="TableContents"/>
              <w:spacing w:before="0" w:after="283"/>
              <w:jc w:val="left"/>
              <w:rPr/>
            </w:pPr>
            <w:r>
              <w:rPr/>
              <w:t> </w:t>
            </w:r>
          </w:p>
        </w:tc>
        <w:tc>
          <w:tcPr>
            <w:tcW w:w="104"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698" w:type="dxa"/>
            <w:tcBorders/>
            <w:shd w:fill="CCFFCC" w:val="clear"/>
            <w:vAlign w:val="bottom"/>
          </w:tcPr>
          <w:p>
            <w:pPr>
              <w:pStyle w:val="TableContents"/>
              <w:spacing w:before="0" w:after="283"/>
              <w:jc w:val="right"/>
              <w:rPr/>
            </w:pPr>
            <w:r>
              <w:rPr/>
              <w:t> </w:t>
            </w:r>
          </w:p>
        </w:tc>
        <w:tc>
          <w:tcPr>
            <w:tcW w:w="82" w:type="dxa"/>
            <w:tcBorders/>
            <w:shd w:fill="CCFFCC" w:val="clear"/>
            <w:vAlign w:val="bottom"/>
          </w:tcPr>
          <w:p>
            <w:pPr>
              <w:pStyle w:val="TableContents"/>
              <w:spacing w:before="0" w:after="283"/>
              <w:jc w:val="left"/>
              <w:rPr/>
            </w:pPr>
            <w:r>
              <w:rPr/>
              <w:t> </w:t>
            </w:r>
          </w:p>
        </w:tc>
      </w:tr>
      <w:tr>
        <w:trPr/>
        <w:tc>
          <w:tcPr>
            <w:tcW w:w="1513" w:type="dxa"/>
            <w:tcBorders/>
            <w:shd w:fill="FFFFFF" w:val="clear"/>
            <w:vAlign w:val="bottom"/>
          </w:tcPr>
          <w:p>
            <w:pPr>
              <w:pStyle w:val="TableContents"/>
              <w:spacing w:before="0" w:after="283"/>
              <w:rPr/>
            </w:pPr>
            <w:r>
              <w:rPr/>
              <w:t xml:space="preserve">  </w:t>
            </w:r>
          </w:p>
        </w:tc>
        <w:tc>
          <w:tcPr>
            <w:tcW w:w="4521" w:type="dxa"/>
            <w:gridSpan w:val="2"/>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Current Maturities of Notes Payable</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3,500</w:t>
            </w:r>
          </w:p>
        </w:tc>
        <w:tc>
          <w:tcPr>
            <w:tcW w:w="104" w:type="dxa"/>
            <w:tcBorders/>
            <w:shd w:fill="FFFFFF" w:val="clear"/>
            <w:vAlign w:val="bottom"/>
          </w:tcPr>
          <w:p>
            <w:pPr>
              <w:pStyle w:val="TableContents"/>
              <w:spacing w:before="0" w:after="283"/>
              <w:jc w:val="left"/>
              <w:rPr>
                <w:color w:val="000000"/>
              </w:rPr>
            </w:pPr>
            <w:r>
              <w:rPr>
                <w:color w:val="000000"/>
              </w:rPr>
              <w:t>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3,200</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1513" w:type="dxa"/>
            <w:tcBorders/>
            <w:shd w:fill="CCFFCC" w:val="clear"/>
            <w:vAlign w:val="bottom"/>
          </w:tcPr>
          <w:p>
            <w:pPr>
              <w:pStyle w:val="TableContents"/>
              <w:spacing w:before="0" w:after="283"/>
              <w:rPr/>
            </w:pPr>
            <w:r>
              <w:rPr/>
              <w:t xml:space="preserve">  </w:t>
            </w:r>
          </w:p>
        </w:tc>
        <w:tc>
          <w:tcPr>
            <w:tcW w:w="4521"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Accounts Payable</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5,974</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5,887</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4521" w:type="dxa"/>
            <w:gridSpan w:val="2"/>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Dividends Payable</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color w:val="000000"/>
              </w:rPr>
            </w:pPr>
            <w:r>
              <w:rPr>
                <w:color w:val="000000"/>
              </w:rPr>
              <w:t> </w:t>
            </w:r>
          </w:p>
        </w:tc>
        <w:tc>
          <w:tcPr>
            <w:tcW w:w="1055"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1,003</w:t>
            </w:r>
          </w:p>
        </w:tc>
        <w:tc>
          <w:tcPr>
            <w:tcW w:w="104" w:type="dxa"/>
            <w:tcBorders/>
            <w:shd w:fill="FFFFFF" w:val="clear"/>
            <w:vAlign w:val="bottom"/>
          </w:tcPr>
          <w:p>
            <w:pPr>
              <w:pStyle w:val="TableContents"/>
              <w:spacing w:before="0" w:after="283"/>
              <w:jc w:val="left"/>
              <w:rPr>
                <w:color w:val="000000"/>
              </w:rPr>
            </w:pPr>
            <w:r>
              <w:rPr>
                <w:color w:val="000000"/>
              </w:rPr>
              <w:t>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color w:val="000000"/>
              </w:rPr>
            </w:pPr>
            <w:r>
              <w:rPr>
                <w:color w:val="000000"/>
              </w:rPr>
              <w:t> </w:t>
            </w:r>
          </w:p>
        </w:tc>
        <w:tc>
          <w:tcPr>
            <w:tcW w:w="698"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922</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1513" w:type="dxa"/>
            <w:tcBorders/>
            <w:shd w:fill="CCFFCC" w:val="clear"/>
            <w:vAlign w:val="bottom"/>
          </w:tcPr>
          <w:p>
            <w:pPr>
              <w:pStyle w:val="TableContents"/>
              <w:spacing w:before="0" w:after="283"/>
              <w:rPr/>
            </w:pPr>
            <w:r>
              <w:rPr/>
              <w:t xml:space="preserve">  </w:t>
            </w:r>
          </w:p>
        </w:tc>
        <w:tc>
          <w:tcPr>
            <w:tcW w:w="4521"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Accrued Expenses</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15,999</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14,435</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1446" w:type="dxa"/>
            <w:tcBorders/>
            <w:shd w:fill="FFFFFF" w:val="clear"/>
            <w:vAlign w:val="bottom"/>
          </w:tcPr>
          <w:p>
            <w:pPr>
              <w:pStyle w:val="TableContents"/>
              <w:spacing w:before="0" w:after="283"/>
              <w:rPr/>
            </w:pPr>
            <w:r>
              <w:rPr/>
              <w:t xml:space="preserve">  </w:t>
            </w:r>
          </w:p>
        </w:tc>
        <w:tc>
          <w:tcPr>
            <w:tcW w:w="3075"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Total Current Liabilities</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26,476</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4"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6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24,444</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2959"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Long-Term Liabilities</w:t>
            </w:r>
          </w:p>
        </w:tc>
        <w:tc>
          <w:tcPr>
            <w:tcW w:w="3075" w:type="dxa"/>
            <w:tcBorders/>
            <w:shd w:fill="CCFFCC" w:val="clear"/>
            <w:vAlign w:val="bottom"/>
          </w:tcPr>
          <w:p>
            <w:pPr>
              <w:pStyle w:val="TableContents"/>
              <w:spacing w:before="0" w:after="283"/>
              <w:rPr/>
            </w:pPr>
            <w:r>
              <w:rPr/>
              <w:t xml:space="preserve">  </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55" w:type="dxa"/>
            <w:tcBorders/>
            <w:shd w:fill="CCFFCC" w:val="clear"/>
            <w:vAlign w:val="bottom"/>
          </w:tcPr>
          <w:p>
            <w:pPr>
              <w:pStyle w:val="TableContents"/>
              <w:spacing w:before="0" w:after="283"/>
              <w:jc w:val="right"/>
              <w:rPr/>
            </w:pPr>
            <w:r>
              <w:rPr/>
              <w:t> </w:t>
            </w:r>
          </w:p>
        </w:tc>
        <w:tc>
          <w:tcPr>
            <w:tcW w:w="104" w:type="dxa"/>
            <w:tcBorders/>
            <w:shd w:fill="CCFFCC" w:val="clear"/>
            <w:vAlign w:val="bottom"/>
          </w:tcPr>
          <w:p>
            <w:pPr>
              <w:pStyle w:val="TableContents"/>
              <w:spacing w:before="0" w:after="283"/>
              <w:jc w:val="left"/>
              <w:rPr/>
            </w:pPr>
            <w:r>
              <w:rPr/>
              <w:t> </w:t>
            </w:r>
          </w:p>
        </w:tc>
        <w:tc>
          <w:tcPr>
            <w:tcW w:w="104"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698" w:type="dxa"/>
            <w:tcBorders/>
            <w:shd w:fill="CCFFCC" w:val="clear"/>
            <w:vAlign w:val="bottom"/>
          </w:tcPr>
          <w:p>
            <w:pPr>
              <w:pStyle w:val="TableContents"/>
              <w:spacing w:before="0" w:after="283"/>
              <w:jc w:val="right"/>
              <w:rPr/>
            </w:pPr>
            <w:r>
              <w:rPr/>
              <w:t> </w:t>
            </w:r>
          </w:p>
        </w:tc>
        <w:tc>
          <w:tcPr>
            <w:tcW w:w="82" w:type="dxa"/>
            <w:tcBorders/>
            <w:shd w:fill="CCFFCC" w:val="clear"/>
            <w:vAlign w:val="bottom"/>
          </w:tcPr>
          <w:p>
            <w:pPr>
              <w:pStyle w:val="TableContents"/>
              <w:spacing w:before="0" w:after="283"/>
              <w:jc w:val="left"/>
              <w:rPr/>
            </w:pPr>
            <w:r>
              <w:rPr/>
              <w:t> </w:t>
            </w:r>
          </w:p>
        </w:tc>
      </w:tr>
      <w:tr>
        <w:trPr/>
        <w:tc>
          <w:tcPr>
            <w:tcW w:w="1513" w:type="dxa"/>
            <w:tcBorders/>
            <w:shd w:fill="FFFFFF" w:val="clear"/>
            <w:vAlign w:val="bottom"/>
          </w:tcPr>
          <w:p>
            <w:pPr>
              <w:pStyle w:val="TableContents"/>
              <w:spacing w:before="0" w:after="283"/>
              <w:rPr/>
            </w:pPr>
            <w:r>
              <w:rPr/>
              <w:t xml:space="preserve">  </w:t>
            </w:r>
          </w:p>
        </w:tc>
        <w:tc>
          <w:tcPr>
            <w:tcW w:w="1446"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Notes Payable</w:t>
            </w:r>
          </w:p>
        </w:tc>
        <w:tc>
          <w:tcPr>
            <w:tcW w:w="3075" w:type="dxa"/>
            <w:tcBorders/>
            <w:shd w:fill="FFFFFF" w:val="clear"/>
            <w:vAlign w:val="bottom"/>
          </w:tcPr>
          <w:p>
            <w:pPr>
              <w:pStyle w:val="TableContents"/>
              <w:spacing w:before="0" w:after="283"/>
              <w:rPr/>
            </w:pPr>
            <w:r>
              <w:rPr/>
              <w:t xml:space="preserve">  </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color w:val="000000"/>
              </w:rPr>
            </w:pPr>
            <w:r>
              <w:rPr>
                <w:color w:val="000000"/>
              </w:rPr>
              <w:t> </w:t>
            </w:r>
          </w:p>
        </w:tc>
        <w:tc>
          <w:tcPr>
            <w:tcW w:w="1055"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14,800</w:t>
            </w:r>
          </w:p>
        </w:tc>
        <w:tc>
          <w:tcPr>
            <w:tcW w:w="104" w:type="dxa"/>
            <w:tcBorders/>
            <w:shd w:fill="FFFFFF" w:val="clear"/>
            <w:vAlign w:val="bottom"/>
          </w:tcPr>
          <w:p>
            <w:pPr>
              <w:pStyle w:val="TableContents"/>
              <w:spacing w:before="0" w:after="283"/>
              <w:jc w:val="left"/>
              <w:rPr>
                <w:color w:val="000000"/>
              </w:rPr>
            </w:pPr>
            <w:r>
              <w:rPr>
                <w:color w:val="000000"/>
              </w:rPr>
              <w:t>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color w:val="000000"/>
              </w:rPr>
            </w:pPr>
            <w:r>
              <w:rPr>
                <w:color w:val="000000"/>
              </w:rPr>
              <w:t> </w:t>
            </w:r>
          </w:p>
        </w:tc>
        <w:tc>
          <w:tcPr>
            <w:tcW w:w="698"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18,300</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1513" w:type="dxa"/>
            <w:tcBorders/>
            <w:shd w:fill="CCFFCC" w:val="clear"/>
            <w:vAlign w:val="bottom"/>
          </w:tcPr>
          <w:p>
            <w:pPr>
              <w:pStyle w:val="TableContents"/>
              <w:spacing w:before="0" w:after="283"/>
              <w:rPr/>
            </w:pPr>
            <w:r>
              <w:rPr/>
              <w:t xml:space="preserve">  </w:t>
            </w:r>
          </w:p>
        </w:tc>
        <w:tc>
          <w:tcPr>
            <w:tcW w:w="4521"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Other Noncurrent Liabilities</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18,521</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color w:val="000000"/>
              </w:rPr>
            </w:pPr>
            <w:r>
              <w:rPr>
                <w:color w:val="000000"/>
              </w:rPr>
              <w:t> </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9,958</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1446" w:type="dxa"/>
            <w:tcBorders/>
            <w:shd w:fill="FFFFFF" w:val="clear"/>
            <w:vAlign w:val="bottom"/>
          </w:tcPr>
          <w:p>
            <w:pPr>
              <w:pStyle w:val="TableContents"/>
              <w:spacing w:before="0" w:after="283"/>
              <w:rPr/>
            </w:pPr>
            <w:r>
              <w:rPr/>
              <w:t xml:space="preserve">  </w:t>
            </w:r>
          </w:p>
        </w:tc>
        <w:tc>
          <w:tcPr>
            <w:tcW w:w="3075"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Total Long-Term Liabilities</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33,321</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4" w:type="dxa"/>
            <w:tcBorders>
              <w:bottom w:val="single" w:sz="12"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6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28,258</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2959" w:type="dxa"/>
            <w:gridSpan w:val="2"/>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Stockholders' Equity</w:t>
            </w:r>
          </w:p>
        </w:tc>
        <w:tc>
          <w:tcPr>
            <w:tcW w:w="3075" w:type="dxa"/>
            <w:tcBorders/>
            <w:shd w:fill="CCFFCC" w:val="clear"/>
            <w:vAlign w:val="bottom"/>
          </w:tcPr>
          <w:p>
            <w:pPr>
              <w:pStyle w:val="TableContents"/>
              <w:spacing w:before="0" w:after="283"/>
              <w:rPr/>
            </w:pPr>
            <w:r>
              <w:rPr/>
              <w:t xml:space="preserve">  </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55"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93,742</w:t>
            </w:r>
          </w:p>
        </w:tc>
        <w:tc>
          <w:tcPr>
            <w:tcW w:w="104"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104" w:type="dxa"/>
            <w:tcBorders>
              <w:bottom w:val="single" w:sz="12" w:space="0" w:color="000000"/>
            </w:tcBorders>
            <w:shd w:fill="CCFFCC" w:val="clear"/>
            <w:tcMar>
              <w:bottom w:w="28" w:type="dxa"/>
            </w:tcMar>
            <w:vAlign w:val="bottom"/>
          </w:tcPr>
          <w:p>
            <w:pPr>
              <w:pStyle w:val="TableContents"/>
              <w:spacing w:before="0" w:after="283"/>
              <w:jc w:val="right"/>
              <w:rPr>
                <w:color w:val="000000"/>
              </w:rPr>
            </w:pPr>
            <w:r>
              <w:rPr>
                <w:color w:val="000000"/>
              </w:rPr>
              <w:t> </w:t>
            </w:r>
          </w:p>
        </w:tc>
        <w:tc>
          <w:tcPr>
            <w:tcW w:w="152" w:type="dxa"/>
            <w:tcBorders>
              <w:bottom w:val="single" w:sz="12" w:space="0" w:color="000000"/>
            </w:tcBorders>
            <w:shd w:fill="CCFFCC" w:val="clear"/>
            <w:tcMar>
              <w:bottom w:w="28" w:type="dxa"/>
            </w:tcMar>
            <w:vAlign w:val="bottom"/>
          </w:tcPr>
          <w:p>
            <w:pPr>
              <w:pStyle w:val="TableContents"/>
              <w:spacing w:before="0" w:after="283"/>
              <w:jc w:val="left"/>
              <w:rPr>
                <w:color w:val="000000"/>
              </w:rPr>
            </w:pPr>
            <w:r>
              <w:rPr>
                <w:color w:val="000000"/>
              </w:rPr>
              <w:t> </w:t>
            </w:r>
          </w:p>
        </w:tc>
        <w:tc>
          <w:tcPr>
            <w:tcW w:w="698"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91,402</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6034" w:type="dxa"/>
            <w:gridSpan w:val="3"/>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153,539</w:t>
            </w:r>
          </w:p>
        </w:tc>
        <w:tc>
          <w:tcPr>
            <w:tcW w:w="104" w:type="dxa"/>
            <w:tcBorders>
              <w:bottom w:val="double" w:sz="8" w:space="0" w:color="000000"/>
            </w:tcBorders>
            <w:shd w:fill="FFFFFF" w:val="clear"/>
            <w:tcMar>
              <w:bottom w:w="28" w:type="dxa"/>
            </w:tcMar>
            <w:vAlign w:val="bottom"/>
          </w:tcPr>
          <w:p>
            <w:pPr>
              <w:pStyle w:val="TableContents"/>
              <w:spacing w:before="0" w:after="283"/>
              <w:jc w:val="left"/>
              <w:rPr>
                <w:color w:val="000000"/>
              </w:rPr>
            </w:pPr>
            <w:r>
              <w:rPr>
                <w:color w:val="000000"/>
              </w:rPr>
              <w:t> </w:t>
            </w:r>
          </w:p>
        </w:tc>
        <w:tc>
          <w:tcPr>
            <w:tcW w:w="104" w:type="dxa"/>
            <w:tcBorders>
              <w:bottom w:val="double" w:sz="8" w:space="0" w:color="000000"/>
            </w:tcBorders>
            <w:shd w:fill="FFFFFF" w:val="clear"/>
            <w:tcMar>
              <w:bottom w:w="28" w:type="dxa"/>
            </w:tcMar>
            <w:vAlign w:val="bottom"/>
          </w:tcPr>
          <w:p>
            <w:pPr>
              <w:pStyle w:val="TableContents"/>
              <w:spacing w:before="0" w:after="283"/>
              <w:jc w:val="right"/>
              <w:rPr>
                <w:color w:val="000000"/>
              </w:rPr>
            </w:pPr>
            <w:r>
              <w:rPr>
                <w:color w:val="000000"/>
              </w:rPr>
              <w:t> </w:t>
            </w:r>
          </w:p>
        </w:tc>
        <w:tc>
          <w:tcPr>
            <w:tcW w:w="15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144,104</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1513" w:type="dxa"/>
            <w:tcBorders/>
            <w:shd w:fill="CCFFCC" w:val="clear"/>
            <w:vAlign w:val="bottom"/>
          </w:tcPr>
          <w:p>
            <w:pPr>
              <w:pStyle w:val="TableContents"/>
              <w:spacing w:before="0" w:after="283"/>
              <w:rPr/>
            </w:pPr>
            <w:r>
              <w:rPr/>
              <w:t xml:space="preserve">  </w:t>
            </w:r>
          </w:p>
        </w:tc>
        <w:tc>
          <w:tcPr>
            <w:tcW w:w="1446" w:type="dxa"/>
            <w:tcBorders/>
            <w:shd w:fill="CCFFCC" w:val="clear"/>
            <w:vAlign w:val="bottom"/>
          </w:tcPr>
          <w:p>
            <w:pPr>
              <w:pStyle w:val="TableContents"/>
              <w:spacing w:before="0" w:after="283"/>
              <w:rPr/>
            </w:pPr>
            <w:r>
              <w:rPr/>
              <w:t xml:space="preserve">  </w:t>
            </w:r>
          </w:p>
        </w:tc>
        <w:tc>
          <w:tcPr>
            <w:tcW w:w="3075" w:type="dxa"/>
            <w:tcBorders/>
            <w:shd w:fill="CCFFCC" w:val="clear"/>
            <w:vAlign w:val="bottom"/>
          </w:tcPr>
          <w:p>
            <w:pPr>
              <w:pStyle w:val="TableContents"/>
              <w:spacing w:before="0" w:after="283"/>
              <w:rPr/>
            </w:pPr>
            <w:r>
              <w:rPr/>
              <w:t xml:space="preserve">  </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55" w:type="dxa"/>
            <w:tcBorders/>
            <w:shd w:fill="CCFFCC" w:val="clear"/>
            <w:vAlign w:val="bottom"/>
          </w:tcPr>
          <w:p>
            <w:pPr>
              <w:pStyle w:val="TableContents"/>
              <w:spacing w:before="0" w:after="283"/>
              <w:jc w:val="right"/>
              <w:rPr/>
            </w:pPr>
            <w:r>
              <w:rPr/>
              <w:t> </w:t>
            </w:r>
          </w:p>
        </w:tc>
        <w:tc>
          <w:tcPr>
            <w:tcW w:w="104" w:type="dxa"/>
            <w:tcBorders/>
            <w:shd w:fill="CCFFCC" w:val="clear"/>
            <w:vAlign w:val="bottom"/>
          </w:tcPr>
          <w:p>
            <w:pPr>
              <w:pStyle w:val="TableContents"/>
              <w:spacing w:before="0" w:after="283"/>
              <w:jc w:val="left"/>
              <w:rPr/>
            </w:pPr>
            <w:r>
              <w:rPr/>
              <w:t> </w:t>
            </w:r>
          </w:p>
        </w:tc>
        <w:tc>
          <w:tcPr>
            <w:tcW w:w="104"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698" w:type="dxa"/>
            <w:tcBorders/>
            <w:shd w:fill="CCFFCC" w:val="clear"/>
            <w:vAlign w:val="bottom"/>
          </w:tcPr>
          <w:p>
            <w:pPr>
              <w:pStyle w:val="TableContents"/>
              <w:spacing w:before="0" w:after="283"/>
              <w:jc w:val="right"/>
              <w:rPr/>
            </w:pPr>
            <w:r>
              <w:rPr/>
              <w:t> </w:t>
            </w:r>
          </w:p>
        </w:tc>
        <w:tc>
          <w:tcPr>
            <w:tcW w:w="82" w:type="dxa"/>
            <w:tcBorders/>
            <w:shd w:fill="CCFFCC" w:val="clear"/>
            <w:vAlign w:val="bottom"/>
          </w:tcPr>
          <w:p>
            <w:pPr>
              <w:pStyle w:val="TableContents"/>
              <w:spacing w:before="0" w:after="283"/>
              <w:jc w:val="left"/>
              <w:rPr/>
            </w:pPr>
            <w:r>
              <w:rPr/>
              <w:t> </w:t>
            </w:r>
          </w:p>
        </w:tc>
      </w:tr>
      <w:tr>
        <w:trPr/>
        <w:tc>
          <w:tcPr>
            <w:tcW w:w="6034" w:type="dxa"/>
            <w:gridSpan w:val="3"/>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Book Value Per Share Outstanding</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13.20</w:t>
            </w:r>
          </w:p>
        </w:tc>
        <w:tc>
          <w:tcPr>
            <w:tcW w:w="104" w:type="dxa"/>
            <w:tcBorders/>
            <w:shd w:fill="FFFFFF" w:val="clear"/>
            <w:vAlign w:val="bottom"/>
          </w:tcPr>
          <w:p>
            <w:pPr>
              <w:pStyle w:val="TableContents"/>
              <w:spacing w:before="0" w:after="283"/>
              <w:jc w:val="left"/>
              <w:rPr>
                <w:color w:val="000000"/>
              </w:rPr>
            </w:pPr>
            <w:r>
              <w:rPr>
                <w:color w:val="000000"/>
              </w:rPr>
              <w:t>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13.04</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1513" w:type="dxa"/>
            <w:tcBorders/>
            <w:shd w:fill="CCFFCC" w:val="clear"/>
            <w:vAlign w:val="bottom"/>
          </w:tcPr>
          <w:p>
            <w:pPr>
              <w:pStyle w:val="TableContents"/>
              <w:spacing w:before="0" w:after="283"/>
              <w:rPr/>
            </w:pPr>
            <w:r>
              <w:rPr/>
              <w:t xml:space="preserve">  </w:t>
            </w:r>
          </w:p>
        </w:tc>
        <w:tc>
          <w:tcPr>
            <w:tcW w:w="1446" w:type="dxa"/>
            <w:tcBorders/>
            <w:shd w:fill="CCFFCC" w:val="clear"/>
            <w:vAlign w:val="bottom"/>
          </w:tcPr>
          <w:p>
            <w:pPr>
              <w:pStyle w:val="TableContents"/>
              <w:spacing w:before="0" w:after="283"/>
              <w:rPr/>
            </w:pPr>
            <w:r>
              <w:rPr/>
              <w:t xml:space="preserve">  </w:t>
            </w:r>
          </w:p>
        </w:tc>
        <w:tc>
          <w:tcPr>
            <w:tcW w:w="3075" w:type="dxa"/>
            <w:tcBorders/>
            <w:shd w:fill="CCFFCC" w:val="clear"/>
            <w:vAlign w:val="bottom"/>
          </w:tcPr>
          <w:p>
            <w:pPr>
              <w:pStyle w:val="TableContents"/>
              <w:spacing w:before="0" w:after="283"/>
              <w:rPr/>
            </w:pPr>
            <w:r>
              <w:rPr/>
              <w:t xml:space="preserve">  </w:t>
            </w:r>
          </w:p>
        </w:tc>
        <w:tc>
          <w:tcPr>
            <w:tcW w:w="1720" w:type="dxa"/>
            <w:tcBorders/>
            <w:shd w:fill="CCFFCC" w:val="clear"/>
            <w:vAlign w:val="bottom"/>
          </w:tcPr>
          <w:p>
            <w:pPr>
              <w:pStyle w:val="TableContents"/>
              <w:spacing w:before="0" w:after="283"/>
              <w:rPr/>
            </w:pPr>
            <w:r>
              <w:rPr/>
              <w:t xml:space="preserve">  </w:t>
            </w:r>
          </w:p>
        </w:tc>
        <w:tc>
          <w:tcPr>
            <w:tcW w:w="104"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1055" w:type="dxa"/>
            <w:tcBorders/>
            <w:shd w:fill="CCFFCC" w:val="clear"/>
            <w:vAlign w:val="bottom"/>
          </w:tcPr>
          <w:p>
            <w:pPr>
              <w:pStyle w:val="TableContents"/>
              <w:spacing w:before="0" w:after="283"/>
              <w:jc w:val="right"/>
              <w:rPr/>
            </w:pPr>
            <w:r>
              <w:rPr/>
              <w:t> </w:t>
            </w:r>
          </w:p>
        </w:tc>
        <w:tc>
          <w:tcPr>
            <w:tcW w:w="104" w:type="dxa"/>
            <w:tcBorders/>
            <w:shd w:fill="CCFFCC" w:val="clear"/>
            <w:vAlign w:val="bottom"/>
          </w:tcPr>
          <w:p>
            <w:pPr>
              <w:pStyle w:val="TableContents"/>
              <w:spacing w:before="0" w:after="283"/>
              <w:jc w:val="left"/>
              <w:rPr/>
            </w:pPr>
            <w:r>
              <w:rPr/>
              <w:t> </w:t>
            </w:r>
          </w:p>
        </w:tc>
        <w:tc>
          <w:tcPr>
            <w:tcW w:w="104" w:type="dxa"/>
            <w:tcBorders/>
            <w:shd w:fill="CCFFCC" w:val="clear"/>
            <w:vAlign w:val="bottom"/>
          </w:tcPr>
          <w:p>
            <w:pPr>
              <w:pStyle w:val="TableContents"/>
              <w:spacing w:before="0" w:after="283"/>
              <w:rPr/>
            </w:pPr>
            <w:r>
              <w:rPr/>
              <w:t> </w:t>
            </w:r>
          </w:p>
        </w:tc>
        <w:tc>
          <w:tcPr>
            <w:tcW w:w="152" w:type="dxa"/>
            <w:tcBorders/>
            <w:shd w:fill="CCFFCC" w:val="clear"/>
            <w:vAlign w:val="bottom"/>
          </w:tcPr>
          <w:p>
            <w:pPr>
              <w:pStyle w:val="TableContents"/>
              <w:spacing w:before="0" w:after="283"/>
              <w:jc w:val="left"/>
              <w:rPr/>
            </w:pPr>
            <w:r>
              <w:rPr/>
              <w:t> </w:t>
            </w:r>
          </w:p>
        </w:tc>
        <w:tc>
          <w:tcPr>
            <w:tcW w:w="698" w:type="dxa"/>
            <w:tcBorders/>
            <w:shd w:fill="CCFFCC" w:val="clear"/>
            <w:vAlign w:val="bottom"/>
          </w:tcPr>
          <w:p>
            <w:pPr>
              <w:pStyle w:val="TableContents"/>
              <w:spacing w:before="0" w:after="283"/>
              <w:jc w:val="right"/>
              <w:rPr/>
            </w:pPr>
            <w:r>
              <w:rPr/>
              <w:t> </w:t>
            </w:r>
          </w:p>
        </w:tc>
        <w:tc>
          <w:tcPr>
            <w:tcW w:w="82" w:type="dxa"/>
            <w:tcBorders/>
            <w:shd w:fill="CCFFCC" w:val="clear"/>
            <w:vAlign w:val="bottom"/>
          </w:tcPr>
          <w:p>
            <w:pPr>
              <w:pStyle w:val="TableContents"/>
              <w:spacing w:before="0" w:after="283"/>
              <w:jc w:val="left"/>
              <w:rPr/>
            </w:pPr>
            <w:r>
              <w:rPr/>
              <w:t> </w:t>
            </w:r>
          </w:p>
        </w:tc>
      </w:tr>
      <w:tr>
        <w:trPr/>
        <w:tc>
          <w:tcPr>
            <w:tcW w:w="1513"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Acquisitions of</w:t>
            </w:r>
          </w:p>
        </w:tc>
        <w:tc>
          <w:tcPr>
            <w:tcW w:w="1446" w:type="dxa"/>
            <w:tcBorders/>
            <w:shd w:fill="FFFFFF" w:val="clear"/>
            <w:vAlign w:val="bottom"/>
          </w:tcPr>
          <w:p>
            <w:pPr>
              <w:pStyle w:val="TableContents"/>
              <w:spacing w:before="0" w:after="283"/>
              <w:rPr/>
            </w:pPr>
            <w:r>
              <w:rPr/>
              <w:t xml:space="preserve">  </w:t>
            </w:r>
          </w:p>
        </w:tc>
        <w:tc>
          <w:tcPr>
            <w:tcW w:w="3075" w:type="dxa"/>
            <w:tcBorders/>
            <w:shd w:fill="FFFFFF" w:val="clear"/>
            <w:vAlign w:val="bottom"/>
          </w:tcPr>
          <w:p>
            <w:pPr>
              <w:pStyle w:val="TableContents"/>
              <w:spacing w:before="0" w:after="283"/>
              <w:rPr/>
            </w:pPr>
            <w:r>
              <w:rPr/>
              <w:t xml:space="preserve">  </w:t>
            </w:r>
          </w:p>
        </w:tc>
        <w:tc>
          <w:tcPr>
            <w:tcW w:w="1720"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105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52" w:type="dxa"/>
            <w:tcBorders/>
            <w:shd w:fill="FFFFFF" w:val="clear"/>
            <w:vAlign w:val="bottom"/>
          </w:tcPr>
          <w:p>
            <w:pPr>
              <w:pStyle w:val="TableContents"/>
              <w:spacing w:before="0" w:after="283"/>
              <w:jc w:val="left"/>
              <w:rPr/>
            </w:pPr>
            <w:r>
              <w:rPr/>
              <w:t> </w:t>
            </w:r>
          </w:p>
        </w:tc>
        <w:tc>
          <w:tcPr>
            <w:tcW w:w="698"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jc w:val="left"/>
              <w:rPr/>
            </w:pPr>
            <w:r>
              <w:rPr/>
              <w:t> </w:t>
            </w:r>
          </w:p>
        </w:tc>
      </w:tr>
      <w:tr>
        <w:trPr/>
        <w:tc>
          <w:tcPr>
            <w:tcW w:w="6034" w:type="dxa"/>
            <w:gridSpan w:val="3"/>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Property, Plant and Equipment</w:t>
            </w:r>
          </w:p>
        </w:tc>
        <w:tc>
          <w:tcPr>
            <w:tcW w:w="1720"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Third Quarter</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3,127</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4,925</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1446" w:type="dxa"/>
            <w:tcBorders/>
            <w:shd w:fill="FFFFFF" w:val="clear"/>
            <w:vAlign w:val="bottom"/>
          </w:tcPr>
          <w:p>
            <w:pPr>
              <w:pStyle w:val="TableContents"/>
              <w:spacing w:before="0" w:after="283"/>
              <w:rPr/>
            </w:pPr>
            <w:r>
              <w:rPr/>
              <w:t xml:space="preserve">  </w:t>
            </w:r>
          </w:p>
        </w:tc>
        <w:tc>
          <w:tcPr>
            <w:tcW w:w="3075" w:type="dxa"/>
            <w:tcBorders/>
            <w:shd w:fill="FFFFFF" w:val="clear"/>
            <w:vAlign w:val="bottom"/>
          </w:tcPr>
          <w:p>
            <w:pPr>
              <w:pStyle w:val="TableContents"/>
              <w:spacing w:before="0" w:after="283"/>
              <w:rPr/>
            </w:pPr>
            <w:r>
              <w:rPr/>
              <w:t xml:space="preserve">  </w:t>
            </w:r>
          </w:p>
        </w:tc>
        <w:tc>
          <w:tcPr>
            <w:tcW w:w="1720"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Year to Date</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7,945</w:t>
            </w:r>
          </w:p>
        </w:tc>
        <w:tc>
          <w:tcPr>
            <w:tcW w:w="104" w:type="dxa"/>
            <w:tcBorders/>
            <w:shd w:fill="FFFFFF" w:val="clear"/>
            <w:vAlign w:val="bottom"/>
          </w:tcPr>
          <w:p>
            <w:pPr>
              <w:pStyle w:val="TableContents"/>
              <w:spacing w:before="0" w:after="283"/>
              <w:jc w:val="left"/>
              <w:rPr>
                <w:color w:val="000000"/>
              </w:rPr>
            </w:pPr>
            <w:r>
              <w:rPr>
                <w:color w:val="000000"/>
              </w:rPr>
              <w:t>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12,682</w:t>
            </w:r>
          </w:p>
        </w:tc>
        <w:tc>
          <w:tcPr>
            <w:tcW w:w="82" w:type="dxa"/>
            <w:tcBorders/>
            <w:shd w:fill="FFFFFF" w:val="clear"/>
            <w:vAlign w:val="bottom"/>
          </w:tcPr>
          <w:p>
            <w:pPr>
              <w:pStyle w:val="TableContents"/>
              <w:spacing w:before="0" w:after="283"/>
              <w:jc w:val="left"/>
              <w:rPr>
                <w:color w:val="000000"/>
              </w:rPr>
            </w:pPr>
            <w:r>
              <w:rPr>
                <w:color w:val="000000"/>
              </w:rPr>
              <w:t> </w:t>
            </w:r>
          </w:p>
        </w:tc>
      </w:tr>
      <w:tr>
        <w:trPr/>
        <w:tc>
          <w:tcPr>
            <w:tcW w:w="6034" w:type="dxa"/>
            <w:gridSpan w:val="3"/>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Depreciation and Amortization Charges</w:t>
            </w:r>
          </w:p>
        </w:tc>
        <w:tc>
          <w:tcPr>
            <w:tcW w:w="1720"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Third Quarter</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1,801</w:t>
            </w:r>
          </w:p>
        </w:tc>
        <w:tc>
          <w:tcPr>
            <w:tcW w:w="104" w:type="dxa"/>
            <w:tcBorders/>
            <w:shd w:fill="CCFFCC" w:val="clear"/>
            <w:vAlign w:val="bottom"/>
          </w:tcPr>
          <w:p>
            <w:pPr>
              <w:pStyle w:val="TableContents"/>
              <w:spacing w:before="0" w:after="283"/>
              <w:jc w:val="left"/>
              <w:rPr>
                <w:color w:val="000000"/>
              </w:rPr>
            </w:pPr>
            <w:r>
              <w:rPr>
                <w:color w:val="000000"/>
              </w:rPr>
              <w:t> </w:t>
            </w:r>
          </w:p>
        </w:tc>
        <w:tc>
          <w:tcPr>
            <w:tcW w:w="104" w:type="dxa"/>
            <w:tcBorders/>
            <w:shd w:fill="CCFFCC" w:val="clear"/>
            <w:vAlign w:val="bottom"/>
          </w:tcPr>
          <w:p>
            <w:pPr>
              <w:pStyle w:val="TableContents"/>
              <w:spacing w:before="0" w:after="283"/>
              <w:jc w:val="right"/>
              <w:rPr>
                <w:color w:val="000000"/>
              </w:rPr>
            </w:pPr>
            <w:r>
              <w:rPr>
                <w:color w:val="000000"/>
              </w:rPr>
              <w:t> </w:t>
            </w:r>
          </w:p>
        </w:tc>
        <w:tc>
          <w:tcPr>
            <w:tcW w:w="152" w:type="dxa"/>
            <w:tcBorders/>
            <w:shd w:fill="CCFFCC"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CFFCC"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1,743</w:t>
            </w:r>
          </w:p>
        </w:tc>
        <w:tc>
          <w:tcPr>
            <w:tcW w:w="82" w:type="dxa"/>
            <w:tcBorders/>
            <w:shd w:fill="CCFFCC" w:val="clear"/>
            <w:vAlign w:val="bottom"/>
          </w:tcPr>
          <w:p>
            <w:pPr>
              <w:pStyle w:val="TableContents"/>
              <w:spacing w:before="0" w:after="283"/>
              <w:jc w:val="left"/>
              <w:rPr>
                <w:color w:val="000000"/>
              </w:rPr>
            </w:pPr>
            <w:r>
              <w:rPr>
                <w:color w:val="000000"/>
              </w:rPr>
              <w:t> </w:t>
            </w:r>
          </w:p>
        </w:tc>
      </w:tr>
      <w:tr>
        <w:trPr/>
        <w:tc>
          <w:tcPr>
            <w:tcW w:w="1513" w:type="dxa"/>
            <w:tcBorders/>
            <w:shd w:fill="FFFFFF" w:val="clear"/>
            <w:vAlign w:val="bottom"/>
          </w:tcPr>
          <w:p>
            <w:pPr>
              <w:pStyle w:val="TableContents"/>
              <w:spacing w:before="0" w:after="283"/>
              <w:rPr/>
            </w:pPr>
            <w:r>
              <w:rPr/>
              <w:t xml:space="preserve">  </w:t>
            </w:r>
          </w:p>
        </w:tc>
        <w:tc>
          <w:tcPr>
            <w:tcW w:w="1446" w:type="dxa"/>
            <w:tcBorders/>
            <w:shd w:fill="FFFFFF" w:val="clear"/>
            <w:vAlign w:val="bottom"/>
          </w:tcPr>
          <w:p>
            <w:pPr>
              <w:pStyle w:val="TableContents"/>
              <w:spacing w:before="0" w:after="283"/>
              <w:rPr/>
            </w:pPr>
            <w:r>
              <w:rPr/>
              <w:t xml:space="preserve">  </w:t>
            </w:r>
          </w:p>
        </w:tc>
        <w:tc>
          <w:tcPr>
            <w:tcW w:w="3075" w:type="dxa"/>
            <w:tcBorders/>
            <w:shd w:fill="FFFFFF" w:val="clear"/>
            <w:vAlign w:val="bottom"/>
          </w:tcPr>
          <w:p>
            <w:pPr>
              <w:pStyle w:val="TableContents"/>
              <w:spacing w:before="0" w:after="283"/>
              <w:rPr/>
            </w:pPr>
            <w:r>
              <w:rPr/>
              <w:t xml:space="preserve">  </w:t>
            </w:r>
          </w:p>
        </w:tc>
        <w:tc>
          <w:tcPr>
            <w:tcW w:w="1720"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Year to Date</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5,512</w:t>
            </w:r>
          </w:p>
        </w:tc>
        <w:tc>
          <w:tcPr>
            <w:tcW w:w="104" w:type="dxa"/>
            <w:tcBorders/>
            <w:shd w:fill="FFFFFF" w:val="clear"/>
            <w:vAlign w:val="bottom"/>
          </w:tcPr>
          <w:p>
            <w:pPr>
              <w:pStyle w:val="TableContents"/>
              <w:spacing w:before="0" w:after="283"/>
              <w:jc w:val="left"/>
              <w:rPr>
                <w:color w:val="000000"/>
              </w:rPr>
            </w:pPr>
            <w:r>
              <w:rPr>
                <w:color w:val="000000"/>
              </w:rPr>
              <w:t> </w:t>
            </w:r>
          </w:p>
        </w:tc>
        <w:tc>
          <w:tcPr>
            <w:tcW w:w="104" w:type="dxa"/>
            <w:tcBorders/>
            <w:shd w:fill="FFFFFF" w:val="clear"/>
            <w:vAlign w:val="bottom"/>
          </w:tcPr>
          <w:p>
            <w:pPr>
              <w:pStyle w:val="TableContents"/>
              <w:spacing w:before="0" w:after="283"/>
              <w:jc w:val="right"/>
              <w:rPr>
                <w:color w:val="000000"/>
              </w:rPr>
            </w:pPr>
            <w:r>
              <w:rPr>
                <w:color w:val="000000"/>
              </w:rPr>
              <w:t> </w:t>
            </w:r>
          </w:p>
        </w:tc>
        <w:tc>
          <w:tcPr>
            <w:tcW w:w="152" w:type="dxa"/>
            <w:tcBorders/>
            <w:shd w:fill="FFFFFF" w:val="clear"/>
            <w:vAlign w:val="bottom"/>
          </w:tcPr>
          <w:p>
            <w:pPr>
              <w:pStyle w:val="TableContents"/>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vAlign w:val="bottom"/>
          </w:tcPr>
          <w:p>
            <w:pPr>
              <w:pStyle w:val="TableContents"/>
              <w:spacing w:before="0" w:after="283"/>
              <w:jc w:val="right"/>
              <w:rPr>
                <w:rFonts w:ascii="times new roman" w:hAnsi="times new roman"/>
                <w:color w:val="000000"/>
                <w:sz w:val="20"/>
              </w:rPr>
            </w:pPr>
            <w:r>
              <w:rPr>
                <w:rFonts w:ascii="times new roman" w:hAnsi="times new roman"/>
                <w:color w:val="000000"/>
                <w:sz w:val="20"/>
              </w:rPr>
              <w:t>5,427</w:t>
            </w:r>
          </w:p>
        </w:tc>
        <w:tc>
          <w:tcPr>
            <w:tcW w:w="82" w:type="dxa"/>
            <w:tcBorders/>
            <w:shd w:fill="FFFFFF" w:val="clear"/>
            <w:vAlign w:val="bottom"/>
          </w:tcPr>
          <w:p>
            <w:pPr>
              <w:pStyle w:val="TableContents"/>
              <w:spacing w:before="0" w:after="283"/>
              <w:jc w:val="left"/>
              <w:rPr>
                <w:color w:val="000000"/>
              </w:rPr>
            </w:pPr>
            <w:r>
              <w:rPr>
                <w:color w:val="000000"/>
              </w:rPr>
              <w:t>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 w:name="PGBRK7"/>
      <w:bookmarkStart w:id="88" w:name="PGBRK7"/>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FTR7"/>
      <w:bookmarkStart w:id="90" w:name="FTR7"/>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GLFTR7"/>
      <w:bookmarkStart w:id="92" w:name="GLFTR7"/>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93" w:name="PN7"/>
      <w:bookmarkStart w:id="94" w:name="PN7"/>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HDR7"/>
      <w:bookmarkStart w:id="96" w:name="HDR7"/>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 w:name="GLHDR7"/>
      <w:bookmarkStart w:id="98" w:name="GLHDR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78"/>
        <w:gridCol w:w="109"/>
        <w:gridCol w:w="127"/>
        <w:gridCol w:w="1001"/>
        <w:gridCol w:w="114"/>
        <w:gridCol w:w="109"/>
        <w:gridCol w:w="127"/>
        <w:gridCol w:w="1017"/>
        <w:gridCol w:w="123"/>
      </w:tblGrid>
      <w:tr>
        <w:trPr/>
        <w:tc>
          <w:tcPr>
            <w:tcW w:w="7478" w:type="dxa"/>
            <w:tcBorders/>
            <w:shd w:fill="auto" w:val="clear"/>
            <w:vAlign w:val="bottom"/>
          </w:tcPr>
          <w:p>
            <w:pPr>
              <w:pStyle w:val="TableContents"/>
              <w:spacing w:before="0" w:after="0"/>
              <w:ind w:left="0" w:right="0" w:hanging="0"/>
              <w:jc w:val="left"/>
              <w:rPr>
                <w:rFonts w:ascii="times new roman" w:hAnsi="times new roman"/>
                <w:b/>
                <w:color w:val="000000"/>
                <w:sz w:val="20"/>
              </w:rPr>
            </w:pPr>
            <w:bookmarkStart w:id="99" w:name="range_a1%3Ak40"/>
            <w:bookmarkEnd w:id="99"/>
            <w:r>
              <w:rPr>
                <w:rFonts w:ascii="times new roman" w:hAnsi="times new roman"/>
                <w:b/>
                <w:color w:val="000000"/>
                <w:sz w:val="20"/>
              </w:rPr>
              <w:t xml:space="preserve">O I L  -  D R I   C O R P O R A T I O N    O F    A M E R I C A </w:t>
            </w:r>
          </w:p>
        </w:tc>
        <w:tc>
          <w:tcPr>
            <w:tcW w:w="109"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Consolidated Statements of Cash Flows</w:t>
            </w:r>
          </w:p>
        </w:tc>
        <w:tc>
          <w:tcPr>
            <w:tcW w:w="109"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(in thousands)</w:t>
            </w:r>
          </w:p>
        </w:tc>
        <w:tc>
          <w:tcPr>
            <w:tcW w:w="109"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(unaudited)</w:t>
            </w:r>
          </w:p>
        </w:tc>
        <w:tc>
          <w:tcPr>
            <w:tcW w:w="109"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95"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Nine Months Ended</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9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April 30,</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CASH FLOWS FROM OPERATING ACTIVITIES</w:t>
            </w:r>
          </w:p>
        </w:tc>
        <w:tc>
          <w:tcPr>
            <w:tcW w:w="109" w:type="dxa"/>
            <w:tcBorders/>
            <w:shd w:fill="auto" w:val="clear"/>
            <w:vAlign w:val="bottom"/>
          </w:tcPr>
          <w:p>
            <w:pPr>
              <w:pStyle w:val="TableContents"/>
              <w:spacing w:before="0" w:after="283"/>
              <w:rPr/>
            </w:pPr>
            <w:r>
              <w:rPr/>
              <w:t> </w:t>
            </w:r>
          </w:p>
        </w:tc>
        <w:tc>
          <w:tcPr>
            <w:tcW w:w="11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9" w:type="dxa"/>
            <w:tcBorders>
              <w:bottom w:val="single" w:sz="12" w:space="0" w:color="000000"/>
            </w:tcBorders>
            <w:shd w:fill="auto" w:val="clear"/>
            <w:tcMar>
              <w:bottom w:w="28" w:type="dxa"/>
            </w:tcMar>
            <w:vAlign w:val="bottom"/>
          </w:tcPr>
          <w:p>
            <w:pPr>
              <w:pStyle w:val="TableContents"/>
              <w:spacing w:before="0" w:after="283"/>
              <w:rPr/>
            </w:pPr>
            <w:r>
              <w:rPr/>
              <w:t> </w:t>
            </w:r>
          </w:p>
        </w:tc>
        <w:tc>
          <w:tcPr>
            <w:tcW w:w="114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3" w:type="dxa"/>
            <w:tcBorders/>
            <w:shd w:fill="auto" w:val="clear"/>
            <w:vAlign w:val="bottom"/>
          </w:tcPr>
          <w:p>
            <w:pPr>
              <w:pStyle w:val="TableContents"/>
              <w:spacing w:before="0" w:after="283"/>
              <w:jc w:val="left"/>
              <w:rPr/>
            </w:pPr>
            <w:r>
              <w:rPr/>
              <w:t> </w:t>
            </w:r>
          </w:p>
        </w:tc>
      </w:tr>
      <w:tr>
        <w:trPr/>
        <w:tc>
          <w:tcPr>
            <w:tcW w:w="747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Net Income</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7,042</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7,034</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Adjustments to reconcile net income to net cash</w:t>
            </w:r>
          </w:p>
        </w:tc>
        <w:tc>
          <w:tcPr>
            <w:tcW w:w="109" w:type="dxa"/>
            <w:tcBorders/>
            <w:shd w:fill="CCFFCC" w:val="clear"/>
            <w:vAlign w:val="bottom"/>
          </w:tcPr>
          <w:p>
            <w:pPr>
              <w:pStyle w:val="TableContents"/>
              <w:spacing w:before="0" w:after="283"/>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pPr>
            <w:r>
              <w:rPr/>
              <w:t> </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provided by operating activities: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Depreciation and Amortization</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5,512</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5,427</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Decrease in Accounts Receivable</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2,297</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2,623</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Decrease (Increase) in Inventories</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405</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(2,392</w:t>
            </w:r>
          </w:p>
        </w:tc>
        <w:tc>
          <w:tcPr>
            <w:tcW w:w="12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Increase (Decrease) in Accounts Payable</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1,114</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Increase (Decrease) in Accrued Expenses</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1,729</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(1,676</w:t>
            </w:r>
          </w:p>
        </w:tc>
        <w:tc>
          <w:tcPr>
            <w:tcW w:w="12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Other</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1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Total Adjustments</w:t>
            </w:r>
          </w:p>
        </w:tc>
        <w:tc>
          <w:tcPr>
            <w:tcW w:w="109" w:type="dxa"/>
            <w:tcBorders/>
            <w:shd w:fill="CCFFCC" w:val="clear"/>
            <w:vAlign w:val="bottom"/>
          </w:tcPr>
          <w:p>
            <w:pPr>
              <w:pStyle w:val="TableContents"/>
              <w:spacing w:before="0" w:after="283"/>
              <w:jc w:val="right"/>
              <w:rPr/>
            </w:pPr>
            <w:r>
              <w:rPr/>
              <w:t> </w:t>
            </w:r>
          </w:p>
        </w:tc>
        <w:tc>
          <w:tcPr>
            <w:tcW w:w="127"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13,054</w:t>
            </w:r>
          </w:p>
        </w:tc>
        <w:tc>
          <w:tcPr>
            <w:tcW w:w="114"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9" w:type="dxa"/>
            <w:tcBorders>
              <w:bottom w:val="single" w:sz="12" w:space="0" w:color="000000"/>
            </w:tcBorders>
            <w:shd w:fill="CCFFCC" w:val="clear"/>
            <w:tcMar>
              <w:bottom w:w="28" w:type="dxa"/>
            </w:tcMar>
            <w:vAlign w:val="bottom"/>
          </w:tcPr>
          <w:p>
            <w:pPr>
              <w:pStyle w:val="TableContents"/>
              <w:spacing w:before="0" w:after="283"/>
              <w:jc w:val="right"/>
              <w:rPr/>
            </w:pPr>
            <w:r>
              <w:rPr/>
              <w:t> </w:t>
            </w:r>
          </w:p>
        </w:tc>
        <w:tc>
          <w:tcPr>
            <w:tcW w:w="127"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1,273</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Net Cash Provided by Operating Activities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20,096</w:t>
            </w:r>
          </w:p>
        </w:tc>
        <w:tc>
          <w:tcPr>
            <w:tcW w:w="1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8,307</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283"/>
              <w:rPr/>
            </w:pPr>
            <w:r>
              <w:rPr/>
              <w:t xml:space="preserve">  </w:t>
            </w:r>
          </w:p>
        </w:tc>
        <w:tc>
          <w:tcPr>
            <w:tcW w:w="109" w:type="dxa"/>
            <w:tcBorders/>
            <w:shd w:fill="CCFFCC" w:val="clear"/>
            <w:vAlign w:val="bottom"/>
          </w:tcPr>
          <w:p>
            <w:pPr>
              <w:pStyle w:val="TableContents"/>
              <w:spacing w:before="0" w:after="283"/>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pPr>
            <w:r>
              <w:rPr/>
              <w:t> </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CASH FLOWS FROM INVESTING ACTIVITIES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Capital Expenditures</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(7,945</w:t>
            </w:r>
          </w:p>
        </w:tc>
        <w:tc>
          <w:tcPr>
            <w:tcW w:w="11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(12,682</w:t>
            </w:r>
          </w:p>
        </w:tc>
        <w:tc>
          <w:tcPr>
            <w:tcW w:w="12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Net Dispositions of Investment Securities</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4,007</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17,035</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Other</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345</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Net Cash (Used in) Provided by Investing Activities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(3,593</w:t>
            </w:r>
          </w:p>
        </w:tc>
        <w:tc>
          <w:tcPr>
            <w:tcW w:w="114"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4,375</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283"/>
              <w:rPr/>
            </w:pPr>
            <w:r>
              <w:rPr/>
              <w:t xml:space="preserve">  </w:t>
            </w:r>
          </w:p>
        </w:tc>
        <w:tc>
          <w:tcPr>
            <w:tcW w:w="109" w:type="dxa"/>
            <w:tcBorders/>
            <w:shd w:fill="CCFFCC" w:val="clear"/>
            <w:vAlign w:val="bottom"/>
          </w:tcPr>
          <w:p>
            <w:pPr>
              <w:pStyle w:val="TableContents"/>
              <w:spacing w:before="0" w:after="283"/>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pPr>
            <w:r>
              <w:rPr/>
              <w:t> </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pPr>
            <w:r>
              <w:rPr/>
              <w:t> </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CASH FLOWS FROM FINANCING ACTIVITIES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Principal payments on Long-Term Debt</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(3,200</w:t>
            </w:r>
          </w:p>
        </w:tc>
        <w:tc>
          <w:tcPr>
            <w:tcW w:w="11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(5,580</w:t>
            </w:r>
          </w:p>
        </w:tc>
        <w:tc>
          <w:tcPr>
            <w:tcW w:w="12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Dividends Paid</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(2,995</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(2,760</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Purchase of Treasury Stock</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(2,028</w:t>
            </w:r>
          </w:p>
        </w:tc>
        <w:tc>
          <w:tcPr>
            <w:tcW w:w="11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(656</w:t>
            </w:r>
          </w:p>
        </w:tc>
        <w:tc>
          <w:tcPr>
            <w:tcW w:w="12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Other</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1,624</w:t>
            </w:r>
          </w:p>
        </w:tc>
        <w:tc>
          <w:tcPr>
            <w:tcW w:w="1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256</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color w:val="000000"/>
              </w:rPr>
            </w:pPr>
            <w:r>
              <w:rPr>
                <w:color w:val="000000"/>
              </w:rPr>
              <w:t>     </w:t>
            </w:r>
            <w:r>
              <w:rPr>
                <w:rFonts w:ascii="times new roman" w:hAnsi="times new roman"/>
                <w:b/>
                <w:color w:val="000000"/>
                <w:sz w:val="20"/>
              </w:rPr>
              <w:t>Net Cash Used in Financing Activities</w:t>
            </w:r>
          </w:p>
        </w:tc>
        <w:tc>
          <w:tcPr>
            <w:tcW w:w="109" w:type="dxa"/>
            <w:tcBorders/>
            <w:shd w:fill="CCFFCC" w:val="clear"/>
            <w:vAlign w:val="bottom"/>
          </w:tcPr>
          <w:p>
            <w:pPr>
              <w:pStyle w:val="TableContents"/>
              <w:spacing w:before="0" w:after="283"/>
              <w:jc w:val="right"/>
              <w:rPr/>
            </w:pPr>
            <w:r>
              <w:rPr/>
              <w:t> </w:t>
            </w:r>
          </w:p>
        </w:tc>
        <w:tc>
          <w:tcPr>
            <w:tcW w:w="127"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(6,599</w:t>
            </w:r>
          </w:p>
        </w:tc>
        <w:tc>
          <w:tcPr>
            <w:tcW w:w="114" w:type="dxa"/>
            <w:tcBorders>
              <w:bottom w:val="single" w:sz="12"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bottom w:val="single" w:sz="12" w:space="0" w:color="000000"/>
            </w:tcBorders>
            <w:shd w:fill="CCFFCC" w:val="clear"/>
            <w:tcMar>
              <w:bottom w:w="28" w:type="dxa"/>
            </w:tcMar>
            <w:vAlign w:val="bottom"/>
          </w:tcPr>
          <w:p>
            <w:pPr>
              <w:pStyle w:val="TableContents"/>
              <w:spacing w:before="0" w:after="283"/>
              <w:jc w:val="right"/>
              <w:rPr/>
            </w:pPr>
            <w:r>
              <w:rPr/>
              <w:t> </w:t>
            </w:r>
          </w:p>
        </w:tc>
        <w:tc>
          <w:tcPr>
            <w:tcW w:w="127" w:type="dxa"/>
            <w:tcBorders>
              <w:bottom w:val="single" w:sz="12" w:space="0" w:color="000000"/>
            </w:tcBorders>
            <w:shd w:fill="CCFFCC"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(8,740</w:t>
            </w:r>
          </w:p>
        </w:tc>
        <w:tc>
          <w:tcPr>
            <w:tcW w:w="123"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Effect of exchange rate changes on cash and cash equivalents</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114" w:type="dxa"/>
            <w:tcBorders/>
            <w:shd w:fill="CCFFCC"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890</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01"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01"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9,800</w:t>
            </w:r>
          </w:p>
        </w:tc>
        <w:tc>
          <w:tcPr>
            <w:tcW w:w="114" w:type="dxa"/>
            <w:tcBorders/>
            <w:shd w:fill="CCFFCC" w:val="clear"/>
            <w:vAlign w:val="bottom"/>
          </w:tcPr>
          <w:p>
            <w:pPr>
              <w:pStyle w:val="TableContents"/>
              <w:spacing w:before="0" w:after="283"/>
              <w:jc w:val="left"/>
              <w:rPr/>
            </w:pPr>
            <w:r>
              <w:rPr/>
              <w:t> </w:t>
            </w:r>
          </w:p>
        </w:tc>
        <w:tc>
          <w:tcPr>
            <w:tcW w:w="109" w:type="dxa"/>
            <w:tcBorders/>
            <w:shd w:fill="CCFFCC" w:val="clear"/>
            <w:vAlign w:val="bottom"/>
          </w:tcPr>
          <w:p>
            <w:pPr>
              <w:pStyle w:val="TableContents"/>
              <w:spacing w:before="0" w:after="283"/>
              <w:jc w:val="right"/>
              <w:rPr/>
            </w:pPr>
            <w:r>
              <w:rPr/>
              <w:t> </w:t>
            </w:r>
          </w:p>
        </w:tc>
        <w:tc>
          <w:tcPr>
            <w:tcW w:w="127" w:type="dxa"/>
            <w:tcBorders/>
            <w:shd w:fill="CCFFCC" w:val="clear"/>
            <w:vAlign w:val="bottom"/>
          </w:tcPr>
          <w:p>
            <w:pPr>
              <w:pStyle w:val="TableContents"/>
              <w:spacing w:before="0" w:after="283"/>
              <w:jc w:val="left"/>
              <w:rPr/>
            </w:pPr>
            <w:r>
              <w:rPr/>
              <w:t> </w:t>
            </w:r>
          </w:p>
        </w:tc>
        <w:tc>
          <w:tcPr>
            <w:tcW w:w="1017" w:type="dxa"/>
            <w:tcBorders/>
            <w:shd w:fill="CCFFCC" w:val="clear"/>
            <w:vAlign w:val="bottom"/>
          </w:tcPr>
          <w:p>
            <w:pPr>
              <w:pStyle w:val="TableContents"/>
              <w:spacing w:before="0" w:after="283"/>
              <w:jc w:val="right"/>
              <w:rPr>
                <w:rFonts w:ascii="times new roman" w:hAnsi="times new roman"/>
                <w:sz w:val="20"/>
              </w:rPr>
            </w:pPr>
            <w:r>
              <w:rPr>
                <w:rFonts w:ascii="times new roman" w:hAnsi="times new roman"/>
                <w:sz w:val="20"/>
              </w:rPr>
              <w:t>4,832</w:t>
            </w:r>
          </w:p>
        </w:tc>
        <w:tc>
          <w:tcPr>
            <w:tcW w:w="123" w:type="dxa"/>
            <w:tcBorders/>
            <w:shd w:fill="CCFFCC" w:val="clear"/>
            <w:vAlign w:val="bottom"/>
          </w:tcPr>
          <w:p>
            <w:pPr>
              <w:pStyle w:val="TableContents"/>
              <w:spacing w:before="0" w:after="283"/>
              <w:jc w:val="left"/>
              <w:rPr/>
            </w:pPr>
            <w:r>
              <w:rPr/>
              <w:t> </w:t>
            </w:r>
          </w:p>
        </w:tc>
      </w:tr>
      <w:tr>
        <w:trPr/>
        <w:tc>
          <w:tcPr>
            <w:tcW w:w="7478" w:type="dxa"/>
            <w:tcBorders/>
            <w:shd w:fill="FFFFFF"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Cash and Cash Equivalents, Beginning of Year</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11,839</w:t>
            </w:r>
          </w:p>
        </w:tc>
        <w:tc>
          <w:tcPr>
            <w:tcW w:w="11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6,848</w:t>
            </w:r>
          </w:p>
        </w:tc>
        <w:tc>
          <w:tcPr>
            <w:tcW w:w="123" w:type="dxa"/>
            <w:tcBorders/>
            <w:shd w:fill="FFFFFF" w:val="clear"/>
            <w:vAlign w:val="bottom"/>
          </w:tcPr>
          <w:p>
            <w:pPr>
              <w:pStyle w:val="TableContents"/>
              <w:spacing w:before="0" w:after="283"/>
              <w:jc w:val="left"/>
              <w:rPr/>
            </w:pPr>
            <w:r>
              <w:rPr/>
              <w:t> </w:t>
            </w:r>
          </w:p>
        </w:tc>
      </w:tr>
      <w:tr>
        <w:trPr/>
        <w:tc>
          <w:tcPr>
            <w:tcW w:w="7478" w:type="dxa"/>
            <w:tcBorders/>
            <w:shd w:fill="CCFFCC" w:val="clear"/>
            <w:vAlign w:val="bottom"/>
          </w:tcPr>
          <w:p>
            <w:pPr>
              <w:pStyle w:val="TableContents"/>
              <w:spacing w:before="0" w:after="0"/>
              <w:ind w:left="0" w:right="0" w:hanging="0"/>
              <w:jc w:val="left"/>
              <w:rPr>
                <w:rFonts w:ascii="times new roman" w:hAnsi="times new roman"/>
                <w:b/>
                <w:color w:val="000000"/>
                <w:sz w:val="20"/>
              </w:rPr>
            </w:pPr>
            <w:r>
              <w:rPr>
                <w:rFonts w:ascii="times new roman" w:hAnsi="times new roman"/>
                <w:b/>
                <w:color w:val="000000"/>
                <w:sz w:val="20"/>
              </w:rPr>
              <w:t>Cash and Cash Equivalents, April 30</w:t>
            </w:r>
          </w:p>
        </w:tc>
        <w:tc>
          <w:tcPr>
            <w:tcW w:w="109" w:type="dxa"/>
            <w:tcBorders/>
            <w:shd w:fill="CCFFCC" w:val="clear"/>
            <w:vAlign w:val="bottom"/>
          </w:tcPr>
          <w:p>
            <w:pPr>
              <w:pStyle w:val="TableContents"/>
              <w:spacing w:before="0" w:after="283"/>
              <w:jc w:val="right"/>
              <w:rPr/>
            </w:pPr>
            <w:r>
              <w:rPr/>
              <w:t> </w:t>
            </w:r>
          </w:p>
        </w:tc>
        <w:tc>
          <w:tcPr>
            <w:tcW w:w="127"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21,639</w:t>
            </w:r>
          </w:p>
        </w:tc>
        <w:tc>
          <w:tcPr>
            <w:tcW w:w="114" w:type="dxa"/>
            <w:tcBorders>
              <w:bottom w:val="double" w:sz="8" w:space="0" w:color="000000"/>
            </w:tcBorders>
            <w:shd w:fill="CCFFCC" w:val="clear"/>
            <w:tcMar>
              <w:bottom w:w="28" w:type="dxa"/>
            </w:tcMar>
            <w:vAlign w:val="bottom"/>
          </w:tcPr>
          <w:p>
            <w:pPr>
              <w:pStyle w:val="TableContents"/>
              <w:spacing w:before="0" w:after="283"/>
              <w:jc w:val="left"/>
              <w:rPr/>
            </w:pPr>
            <w:r>
              <w:rPr/>
              <w:t> </w:t>
            </w:r>
          </w:p>
        </w:tc>
        <w:tc>
          <w:tcPr>
            <w:tcW w:w="109" w:type="dxa"/>
            <w:tcBorders>
              <w:bottom w:val="double" w:sz="8" w:space="0" w:color="000000"/>
            </w:tcBorders>
            <w:shd w:fill="CCFFCC" w:val="clear"/>
            <w:tcMar>
              <w:bottom w:w="28" w:type="dxa"/>
            </w:tcMar>
            <w:vAlign w:val="bottom"/>
          </w:tcPr>
          <w:p>
            <w:pPr>
              <w:pStyle w:val="TableContents"/>
              <w:spacing w:before="0" w:after="283"/>
              <w:jc w:val="right"/>
              <w:rPr/>
            </w:pPr>
            <w:r>
              <w:rPr/>
              <w:t> </w:t>
            </w:r>
          </w:p>
        </w:tc>
        <w:tc>
          <w:tcPr>
            <w:tcW w:w="127" w:type="dxa"/>
            <w:tcBorders>
              <w:bottom w:val="double" w:sz="8" w:space="0" w:color="000000"/>
            </w:tcBorders>
            <w:shd w:fill="CCFFCC"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double" w:sz="8" w:space="0" w:color="000000"/>
            </w:tcBorders>
            <w:shd w:fill="CCFFCC"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11,680</w:t>
            </w:r>
          </w:p>
        </w:tc>
        <w:tc>
          <w:tcPr>
            <w:tcW w:w="123" w:type="dxa"/>
            <w:tcBorders/>
            <w:shd w:fill="CCFFCC"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 w:name="PGBRK8"/>
      <w:bookmarkStart w:id="101" w:name="PGBRK8"/>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FTR8"/>
      <w:bookmarkStart w:id="103" w:name="FTR8"/>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GLFTR8"/>
      <w:bookmarkStart w:id="105" w:name="GLFTR8"/>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12" w:space="0" w:color="808080"/>
        </w:pBdr>
        <w:jc w:val="center"/>
        <w:rPr/>
      </w:pPr>
      <w:r>
        <w:rPr/>
      </w:r>
      <w:bookmarkStart w:id="106" w:name="PN8"/>
      <w:bookmarkStart w:id="107" w:name="PN8"/>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HDR8"/>
      <w:bookmarkStart w:id="109" w:name="HDR8"/>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 w:name="GLHDR8"/>
      <w:bookmarkStart w:id="111" w:name="GLHDR8"/>
      <w:bookmarkEnd w:id="111"/>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2322</Words>
  <CharactersWithSpaces>15526</CharactersWithSpaces>
  <Paragraphs>1829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