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5" w:lineRule="exact"/>
        <w:rPr>
          <w:sz w:val="24"/>
          <w:szCs w:val="24"/>
          <w:color w:val="auto"/>
        </w:rPr>
      </w:pPr>
    </w:p>
    <w:p>
      <w:pPr>
        <w:ind w:left="40"/>
        <w:spacing w:after="0"/>
        <w:tabs>
          <w:tab w:leader="none" w:pos="100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December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001-12622</w:t>
            </w:r>
          </w:p>
        </w:tc>
        <w:tc>
          <w:tcPr>
            <w:tcW w:w="1700" w:type="dxa"/>
            <w:vAlign w:val="bottom"/>
          </w:tcPr>
          <w:p>
            <w:pPr>
              <w:spacing w:after="0"/>
              <w:rPr>
                <w:sz w:val="20"/>
                <w:szCs w:val="20"/>
                <w:color w:val="auto"/>
              </w:rPr>
            </w:pPr>
          </w:p>
        </w:tc>
        <w:tc>
          <w:tcPr>
            <w:tcW w:w="3540" w:type="dxa"/>
            <w:vAlign w:val="bottom"/>
          </w:tcPr>
          <w:p>
            <w:pPr>
              <w:jc w:val="right"/>
              <w:ind w:right="123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22"/>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30"/>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4"/>
              </w:rPr>
              <w:t>incorporation)</w:t>
            </w:r>
          </w:p>
        </w:tc>
        <w:tc>
          <w:tcPr>
            <w:tcW w:w="3320" w:type="dxa"/>
            <w:vAlign w:val="bottom"/>
            <w:gridSpan w:val="2"/>
          </w:tcPr>
          <w:p>
            <w:pPr>
              <w:jc w:val="center"/>
              <w:ind w:right="1100"/>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819"/>
        </w:trPr>
        <w:tc>
          <w:tcPr>
            <w:tcW w:w="7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410 North Michigan Avenue</w:t>
            </w:r>
          </w:p>
        </w:tc>
        <w:tc>
          <w:tcPr>
            <w:tcW w:w="3540" w:type="dxa"/>
            <w:vAlign w:val="bottom"/>
          </w:tcPr>
          <w:p>
            <w:pPr>
              <w:spacing w:after="0"/>
              <w:rPr>
                <w:sz w:val="24"/>
                <w:szCs w:val="24"/>
                <w:color w:val="auto"/>
              </w:rPr>
            </w:pPr>
          </w:p>
        </w:tc>
      </w:tr>
      <w:tr>
        <w:trPr>
          <w:trHeight w:val="216"/>
        </w:trPr>
        <w:tc>
          <w:tcPr>
            <w:tcW w:w="456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Suite 400</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456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Chicago, Illinois</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4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37"/>
        </w:trPr>
        <w:tc>
          <w:tcPr>
            <w:tcW w:w="78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jc w:val="center"/>
              <w:ind w:right="130"/>
              <w:spacing w:after="0"/>
              <w:rPr>
                <w:sz w:val="20"/>
                <w:szCs w:val="20"/>
                <w:color w:val="auto"/>
              </w:rPr>
            </w:pPr>
            <w:r>
              <w:rPr>
                <w:rFonts w:ascii="Arial" w:cs="Arial" w:eastAsia="Arial" w:hAnsi="Arial"/>
                <w:sz w:val="18"/>
                <w:szCs w:val="18"/>
                <w:color w:val="auto"/>
                <w:w w:val="94"/>
              </w:rPr>
              <w:t>(Zip Code)</w:t>
            </w:r>
          </w:p>
        </w:tc>
      </w:tr>
      <w:tr>
        <w:trPr>
          <w:trHeight w:val="837"/>
        </w:trPr>
        <w:tc>
          <w:tcPr>
            <w:tcW w:w="456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(312) 321-1515</w:t>
            </w:r>
          </w:p>
        </w:tc>
        <w:tc>
          <w:tcPr>
            <w:tcW w:w="3540" w:type="dxa"/>
            <w:vAlign w:val="bottom"/>
          </w:tcPr>
          <w:p>
            <w:pPr>
              <w:spacing w:after="0"/>
              <w:rPr>
                <w:sz w:val="24"/>
                <w:szCs w:val="24"/>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1060" w:right="2220" w:hanging="863"/>
        <w:spacing w:after="0" w:line="282" w:lineRule="auto"/>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09" w:lineRule="exact"/>
        <w:rPr>
          <w:sz w:val="20"/>
          <w:szCs w:val="20"/>
          <w:color w:val="auto"/>
        </w:rPr>
      </w:pPr>
    </w:p>
    <w:p>
      <w:pPr>
        <w:jc w:val="both"/>
        <w:ind w:firstLine="8"/>
        <w:spacing w:after="0" w:line="291" w:lineRule="auto"/>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stockholders of Oil-Dri Corporation of America (the “Registrant”) approved a second amendment (the “Second Amendment”) to the Oil-Dri Corporation of America 2006 Long Term Incentive Plan, as amended (the “Incentive Plan”), to amend and approve the performance measures in the Incentive Plan pursuant to which performance-based awards may be based. The terms of the Second Amendment are set forth in the Registrant’s definitive proxy statement on Schedule 14A dated October 28, 2015 (the “Proxy Statement”) under the caption “3. Approval of the Amendment to the Oil-Dri Corporation of America 2006 Long Term Incentive Plan to amend and approve the performance measures pursuant to which performance-based awards may be based”, and the description of the Second Amendment is incorporated herein by reference. Such description is qualified in its entirety by reference to the full text of the Second Amendment, a copy of which was attached as Appendix A to the Proxy Statement and which is incorporated by reference herein.</w:t>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5.07</w:t>
      </w:r>
      <w:r>
        <w:rPr>
          <w:rFonts w:ascii="Arial" w:cs="Arial" w:eastAsia="Arial" w:hAnsi="Arial"/>
          <w:sz w:val="18"/>
          <w:szCs w:val="18"/>
          <w:b w:val="1"/>
          <w:bCs w:val="1"/>
          <w:color w:val="auto"/>
        </w:rPr>
        <w:t xml:space="preserve">  Submission of Matters to a Vote of Security Holders.</w:t>
      </w:r>
    </w:p>
    <w:p>
      <w:pPr>
        <w:spacing w:after="0" w:line="256"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Registrant held its annual meeting of stockholders on December 8, 2015. See the Proxy Statement for more information on the proposals presented at the meeting, the relevant portions of which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stockholders elected all of the Board’s nominees for director. The voting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For</w:t>
            </w:r>
          </w:p>
        </w:tc>
        <w:tc>
          <w:tcPr>
            <w:tcW w:w="2600" w:type="dxa"/>
            <w:vAlign w:val="bottom"/>
            <w:gridSpan w:val="2"/>
          </w:tcPr>
          <w:p>
            <w:pPr>
              <w:ind w:left="1720"/>
              <w:spacing w:after="0"/>
              <w:rPr>
                <w:sz w:val="20"/>
                <w:szCs w:val="20"/>
                <w:color w:val="auto"/>
              </w:rPr>
            </w:pPr>
            <w:r>
              <w:rPr>
                <w:rFonts w:ascii="Arial" w:cs="Arial" w:eastAsia="Arial" w:hAnsi="Arial"/>
                <w:sz w:val="18"/>
                <w:szCs w:val="18"/>
                <w:color w:val="auto"/>
              </w:rPr>
              <w:t>Withheld</w:t>
            </w: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Broker Non-Votes</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Steven Cole</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24,639,349</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210,508</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767,182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Daniel S. Jaffee</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23,000,133</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1,849,724</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767,182</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Jaffee</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22,920,220</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1,929,637</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767,182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Joseph C. Miller</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22,854,592</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1,995,265</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767,182</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A. Nemeroff</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22,768,349</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2,081,508</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767,182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24,016,070</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833,787</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767,182</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24,707,849</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142,008</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767,182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24,708,524</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141,333</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767,182</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AUDITOR</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stockholders ratified the appointment of Grant Thornton LLP as independent auditor for the fiscal year ending July 31, 2016. The voting results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25,592,577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Against</w:t>
            </w:r>
          </w:p>
        </w:tc>
        <w:tc>
          <w:tcPr>
            <w:tcW w:w="5880" w:type="dxa"/>
            <w:vAlign w:val="bottom"/>
          </w:tcPr>
          <w:p>
            <w:pPr>
              <w:jc w:val="right"/>
              <w:ind w:right="10"/>
              <w:spacing w:after="0"/>
              <w:rPr>
                <w:sz w:val="20"/>
                <w:szCs w:val="20"/>
                <w:color w:val="auto"/>
              </w:rPr>
            </w:pPr>
            <w:r>
              <w:rPr>
                <w:rFonts w:ascii="Arial" w:cs="Arial" w:eastAsia="Arial" w:hAnsi="Arial"/>
                <w:sz w:val="18"/>
                <w:szCs w:val="18"/>
                <w:color w:val="auto"/>
              </w:rPr>
              <w:t>19,306</w:t>
            </w:r>
          </w:p>
        </w:tc>
      </w:tr>
      <w:tr>
        <w:trPr>
          <w:trHeight w:val="27"/>
        </w:trPr>
        <w:tc>
          <w:tcPr>
            <w:tcW w:w="554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Abstain</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5,156</w:t>
            </w:r>
          </w:p>
        </w:tc>
      </w:tr>
      <w:tr>
        <w:trPr>
          <w:trHeight w:val="27"/>
        </w:trPr>
        <w:tc>
          <w:tcPr>
            <w:tcW w:w="554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APPROVAL OF AN AMENDMENT TO THE OIL-DRI CORPORATION OF AMERICA 2006 LONG TERM INCENTIVE PLAN</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information set forth under Item 5.02 of this Current Report on Form 8-K is incorporated into this Item 5.07 by reference. The voting results with respect to the Second Amendment to the Incentive Plan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t>
            </w:r>
          </w:p>
        </w:tc>
        <w:tc>
          <w:tcPr>
            <w:tcW w:w="5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23,153,485</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Against</w:t>
            </w:r>
          </w:p>
        </w:tc>
        <w:tc>
          <w:tcPr>
            <w:tcW w:w="5500" w:type="dxa"/>
            <w:vAlign w:val="bottom"/>
          </w:tcPr>
          <w:p>
            <w:pPr>
              <w:jc w:val="right"/>
              <w:ind w:right="10"/>
              <w:spacing w:after="0"/>
              <w:rPr>
                <w:sz w:val="20"/>
                <w:szCs w:val="20"/>
                <w:color w:val="auto"/>
              </w:rPr>
            </w:pPr>
            <w:r>
              <w:rPr>
                <w:rFonts w:ascii="Arial" w:cs="Arial" w:eastAsia="Arial" w:hAnsi="Arial"/>
                <w:sz w:val="18"/>
                <w:szCs w:val="18"/>
                <w:color w:val="auto"/>
              </w:rPr>
              <w:t>1,688,464</w:t>
            </w:r>
          </w:p>
        </w:tc>
      </w:tr>
      <w:tr>
        <w:trPr>
          <w:trHeight w:val="27"/>
        </w:trPr>
        <w:tc>
          <w:tcPr>
            <w:tcW w:w="59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Abstain</w:t>
            </w:r>
          </w:p>
        </w:tc>
        <w:tc>
          <w:tcPr>
            <w:tcW w:w="5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7,908</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Broker Non-Votes</w:t>
            </w:r>
          </w:p>
        </w:tc>
        <w:tc>
          <w:tcPr>
            <w:tcW w:w="5500" w:type="dxa"/>
            <w:vAlign w:val="bottom"/>
          </w:tcPr>
          <w:p>
            <w:pPr>
              <w:jc w:val="right"/>
              <w:ind w:right="10"/>
              <w:spacing w:after="0"/>
              <w:rPr>
                <w:sz w:val="20"/>
                <w:szCs w:val="20"/>
                <w:color w:val="auto"/>
              </w:rPr>
            </w:pPr>
            <w:r>
              <w:rPr>
                <w:rFonts w:ascii="Arial" w:cs="Arial" w:eastAsia="Arial" w:hAnsi="Arial"/>
                <w:sz w:val="18"/>
                <w:szCs w:val="18"/>
                <w:color w:val="auto"/>
              </w:rPr>
              <w:t>767,182</w:t>
            </w:r>
          </w:p>
        </w:tc>
      </w:tr>
    </w:tbl>
    <w:p>
      <w:pPr>
        <w:sectPr>
          <w:pgSz w:w="11900" w:h="16838" w:orient="portrait"/>
          <w:cols w:equalWidth="0" w:num="1">
            <w:col w:w="11420"/>
          </w:cols>
          <w:pgMar w:left="240" w:top="742" w:right="239" w:bottom="1440" w:gutter="0" w:footer="0" w:header="0"/>
        </w:sectPr>
      </w:pPr>
    </w:p>
    <w:bookmarkStart w:id="2" w:name="page3"/>
    <w:bookmarkEnd w:id="2"/>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Also on December 8, 2015, the Registrant’s Board of Directors declared quarterly cash dividends of $0.21 per share of the Registrant’s Common Stock and $0.1575 per share of the Registrant’s Class B Stock. The dividends will be payable on March 4, 2016, to stockholders of record at the close of business on February 19, 2016.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20"/>
          </w:cols>
          <w:pgMar w:left="240" w:top="742" w:right="23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805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46355</wp:posOffset>
            </wp:positionV>
            <wp:extent cx="6226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960" w:space="720"/>
            <w:col w:w="5740"/>
          </w:cols>
          <w:pgMar w:left="240" w:top="742" w:right="239" w:bottom="1440" w:gutter="0" w:footer="0" w:header="0"/>
          <w:type w:val="continuous"/>
        </w:sectPr>
      </w:pPr>
    </w:p>
    <w:p>
      <w:pPr>
        <w:spacing w:after="0" w:line="155" w:lineRule="exact"/>
        <w:rPr>
          <w:sz w:val="20"/>
          <w:szCs w:val="20"/>
          <w:color w:val="auto"/>
        </w:rPr>
      </w:pPr>
    </w:p>
    <w:p>
      <w:pPr>
        <w:ind w:left="1640" w:right="120" w:hanging="800"/>
        <w:spacing w:after="0" w:line="277" w:lineRule="auto"/>
        <w:tabs>
          <w:tab w:leader="none" w:pos="1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Second Amendment to the Oil-Dri Corporation of America 2006 Long Term Incentive Plan (incorporated by reference to Appendix A to Registrant’s (File No. 001-12622) Definitive Proxy Statement on Schedule 14A filed on October 28, 2015)</w:t>
      </w:r>
    </w:p>
    <w:p>
      <w:pPr>
        <w:spacing w:after="0" w:line="306"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8, 2015 (Cash Dividends)</w:t>
      </w:r>
    </w:p>
    <w:p>
      <w:pPr>
        <w:sectPr>
          <w:pgSz w:w="11900" w:h="16838" w:orient="portrait"/>
          <w:cols w:equalWidth="0" w:num="1">
            <w:col w:w="11420"/>
          </w:cols>
          <w:pgMar w:left="240" w:top="742" w:right="239" w:bottom="1440" w:gutter="0" w:footer="0" w:header="0"/>
          <w:type w:val="continuous"/>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2015</w:t>
      </w:r>
    </w:p>
    <w:p>
      <w:pPr>
        <w:sectPr>
          <w:pgSz w:w="11900" w:h="16838" w:orient="portrait"/>
          <w:cols w:equalWidth="0" w:num="1">
            <w:col w:w="11060"/>
          </w:cols>
          <w:pgMar w:left="240" w:top="580" w:right="59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7"/>
          <w:szCs w:val="17"/>
          <w:u w:val="single" w:color="auto"/>
          <w:color w:val="auto"/>
        </w:rPr>
        <w:t>Exhibit Index</w:t>
      </w:r>
    </w:p>
    <w:p>
      <w:pPr>
        <w:sectPr>
          <w:pgSz w:w="11900" w:h="16838" w:orient="portrait"/>
          <w:cols w:equalWidth="0" w:num="1">
            <w:col w:w="11260"/>
          </w:cols>
          <w:pgMar w:left="280" w:top="5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805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46355</wp:posOffset>
            </wp:positionV>
            <wp:extent cx="6226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920" w:space="720"/>
            <w:col w:w="5620"/>
          </w:cols>
          <w:pgMar w:left="280" w:top="584" w:right="359" w:bottom="1440" w:gutter="0" w:footer="0" w:header="0"/>
          <w:type w:val="continuous"/>
        </w:sectPr>
      </w:pPr>
    </w:p>
    <w:p>
      <w:pPr>
        <w:spacing w:after="0" w:line="155" w:lineRule="exact"/>
        <w:rPr>
          <w:sz w:val="20"/>
          <w:szCs w:val="20"/>
          <w:color w:val="auto"/>
        </w:rPr>
      </w:pPr>
    </w:p>
    <w:p>
      <w:pPr>
        <w:ind w:left="1600" w:hanging="800"/>
        <w:spacing w:after="0" w:line="277" w:lineRule="auto"/>
        <w:tabs>
          <w:tab w:leader="none" w:pos="1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Second Amendment to the Oil-Dri Corporation of America 2006 Long Term Incentive Plan (incorporated by reference to Appendix A to Registrant’s (File No. 001-12622) Definitive Proxy Statement on Schedule 14A filed on October 28, 2015)</w:t>
      </w:r>
    </w:p>
    <w:p>
      <w:pPr>
        <w:spacing w:after="0" w:line="306"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8, 2015 (Cash Dividends)</w:t>
      </w:r>
    </w:p>
    <w:p>
      <w:pPr>
        <w:sectPr>
          <w:pgSz w:w="11900" w:h="16838" w:orient="portrait"/>
          <w:cols w:equalWidth="0" w:num="1">
            <w:col w:w="11260"/>
          </w:cols>
          <w:pgMar w:left="280" w:top="584"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66" w:lineRule="exact"/>
        <w:rPr>
          <w:sz w:val="20"/>
          <w:szCs w:val="20"/>
          <w:color w:val="auto"/>
        </w:rPr>
      </w:pPr>
    </w:p>
    <w:p>
      <w:pPr>
        <w:ind w:right="420"/>
        <w:spacing w:after="0" w:line="253" w:lineRule="auto"/>
        <w:rPr>
          <w:sz w:val="20"/>
          <w:szCs w:val="20"/>
          <w:color w:val="auto"/>
        </w:rPr>
      </w:pPr>
      <w:r>
        <w:rPr>
          <w:rFonts w:ascii="Arial" w:cs="Arial" w:eastAsia="Arial" w:hAnsi="Arial"/>
          <w:sz w:val="22"/>
          <w:szCs w:val="22"/>
          <w:color w:val="auto"/>
        </w:rPr>
        <w:t>CHICAGO-(December 8, 2015)-The Board of Directors of Oil-Dri Corporation of America (NYSE: ODC) today declared quarterly cash dividends of $0.21 per share of the Company’s Common Stock and $0.1575 per share of the Company’s Class B Stock.</w:t>
      </w:r>
    </w:p>
    <w:p>
      <w:pPr>
        <w:spacing w:after="0" w:line="186"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The dividends declared today will be payable on March 4, 2016, to stockholders of record at the close of business on February 19, 2016. The Company has paid cash dividends continuously since 1974 and has increased dividends annually for each of the last twelve years.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Company expects to release earnings for its second quarter of fiscal 2016 on Wednesday, March 9, 2016, aftermarket.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92"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2020-01-25T09:23:15Z</dcterms:created>
  <dcterms:modified xsi:type="dcterms:W3CDTF">2020-01-25T09:23:15Z</dcterms:modified>
</cp:coreProperties>
</file>