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jc w:val="center"/>
              <w:ind w:right="910"/>
              <w:spacing w:after="0"/>
              <w:rPr>
                <w:sz w:val="20"/>
                <w:szCs w:val="20"/>
                <w:color w:val="auto"/>
              </w:rPr>
            </w:pPr>
            <w:r>
              <w:rPr>
                <w:rFonts w:ascii="Arial" w:cs="Arial" w:eastAsia="Arial" w:hAnsi="Arial"/>
                <w:sz w:val="18"/>
                <w:szCs w:val="18"/>
                <w:color w:val="auto"/>
                <w:w w:val="90"/>
              </w:rPr>
              <w:t>Date of Report (Date of earliest event reported)</w:t>
            </w:r>
          </w:p>
        </w:tc>
        <w:tc>
          <w:tcPr>
            <w:tcW w:w="358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June 12, 2014</w:t>
            </w:r>
          </w:p>
        </w:tc>
      </w:tr>
      <w:tr>
        <w:trPr>
          <w:trHeight w:val="642"/>
        </w:trPr>
        <w:tc>
          <w:tcPr>
            <w:tcW w:w="44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910"/>
              <w:spacing w:after="0"/>
              <w:rPr>
                <w:sz w:val="20"/>
                <w:szCs w:val="20"/>
                <w:color w:val="auto"/>
              </w:rPr>
            </w:pPr>
            <w:r>
              <w:rPr>
                <w:rFonts w:ascii="Arial" w:cs="Arial" w:eastAsia="Arial" w:hAnsi="Arial"/>
                <w:sz w:val="18"/>
                <w:szCs w:val="18"/>
                <w:b w:val="1"/>
                <w:bCs w:val="1"/>
                <w:color w:val="auto"/>
                <w:w w:val="94"/>
              </w:rPr>
              <w:t>Oil-Dri Corporation of America</w:t>
            </w:r>
          </w:p>
        </w:tc>
        <w:tc>
          <w:tcPr>
            <w:tcW w:w="3420" w:type="dxa"/>
            <w:vAlign w:val="bottom"/>
            <w:tcBorders>
              <w:bottom w:val="single" w:sz="8" w:color="auto"/>
            </w:tcBorders>
          </w:tcPr>
          <w:p>
            <w:pPr>
              <w:spacing w:after="0"/>
              <w:rPr>
                <w:sz w:val="24"/>
                <w:szCs w:val="24"/>
                <w:color w:val="auto"/>
              </w:rPr>
            </w:pPr>
          </w:p>
        </w:tc>
      </w:tr>
      <w:tr>
        <w:trPr>
          <w:trHeight w:val="224"/>
        </w:trPr>
        <w:tc>
          <w:tcPr>
            <w:tcW w:w="8000" w:type="dxa"/>
            <w:vAlign w:val="bottom"/>
            <w:gridSpan w:val="2"/>
          </w:tcPr>
          <w:p>
            <w:pPr>
              <w:jc w:val="center"/>
              <w:ind w:left="3350"/>
              <w:spacing w:after="0"/>
              <w:rPr>
                <w:sz w:val="20"/>
                <w:szCs w:val="20"/>
                <w:color w:val="auto"/>
              </w:rPr>
            </w:pPr>
            <w:r>
              <w:rPr>
                <w:rFonts w:ascii="Arial" w:cs="Arial" w:eastAsia="Arial" w:hAnsi="Arial"/>
                <w:sz w:val="18"/>
                <w:szCs w:val="18"/>
                <w:color w:val="auto"/>
                <w:w w:val="90"/>
              </w:rPr>
              <w:t>(Exact name of registrant as specified in its charter)</w:t>
            </w:r>
          </w:p>
        </w:tc>
        <w:tc>
          <w:tcPr>
            <w:tcW w:w="3420" w:type="dxa"/>
            <w:vAlign w:val="bottom"/>
          </w:tcPr>
          <w:p>
            <w:pPr>
              <w:spacing w:after="0"/>
              <w:rPr>
                <w:sz w:val="19"/>
                <w:szCs w:val="19"/>
                <w:color w:val="auto"/>
              </w:rPr>
            </w:pPr>
          </w:p>
        </w:tc>
      </w:tr>
      <w:tr>
        <w:trPr>
          <w:trHeight w:val="634"/>
        </w:trPr>
        <w:tc>
          <w:tcPr>
            <w:tcW w:w="4420" w:type="dxa"/>
            <w:vAlign w:val="bottom"/>
            <w:tcBorders>
              <w:bottom w:val="single" w:sz="8" w:color="auto"/>
            </w:tcBorders>
          </w:tcPr>
          <w:p>
            <w:pPr>
              <w:jc w:val="center"/>
              <w:ind w:right="890"/>
              <w:spacing w:after="0"/>
              <w:rPr>
                <w:sz w:val="20"/>
                <w:szCs w:val="20"/>
                <w:color w:val="auto"/>
              </w:rPr>
            </w:pPr>
            <w:r>
              <w:rPr>
                <w:rFonts w:ascii="Arial" w:cs="Arial" w:eastAsia="Arial" w:hAnsi="Arial"/>
                <w:sz w:val="18"/>
                <w:szCs w:val="18"/>
                <w:b w:val="1"/>
                <w:bCs w:val="1"/>
                <w:color w:val="auto"/>
                <w:w w:val="91"/>
              </w:rPr>
              <w:t>Delaware</w:t>
            </w:r>
          </w:p>
        </w:tc>
        <w:tc>
          <w:tcPr>
            <w:tcW w:w="3580" w:type="dxa"/>
            <w:vAlign w:val="bottom"/>
            <w:tcBorders>
              <w:bottom w:val="single" w:sz="8" w:color="auto"/>
            </w:tcBorders>
          </w:tcPr>
          <w:p>
            <w:pPr>
              <w:jc w:val="center"/>
              <w:ind w:right="870"/>
              <w:spacing w:after="0"/>
              <w:rPr>
                <w:sz w:val="20"/>
                <w:szCs w:val="20"/>
                <w:color w:val="auto"/>
              </w:rPr>
            </w:pPr>
            <w:r>
              <w:rPr>
                <w:rFonts w:ascii="Arial" w:cs="Arial" w:eastAsia="Arial" w:hAnsi="Arial"/>
                <w:sz w:val="18"/>
                <w:szCs w:val="18"/>
                <w:b w:val="1"/>
                <w:bCs w:val="1"/>
                <w:color w:val="auto"/>
                <w:w w:val="90"/>
              </w:rPr>
              <w:t>001-12622</w:t>
            </w:r>
          </w:p>
        </w:tc>
        <w:tc>
          <w:tcPr>
            <w:tcW w:w="342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36-2048898</w:t>
            </w:r>
          </w:p>
        </w:tc>
      </w:tr>
      <w:tr>
        <w:trPr>
          <w:trHeight w:val="224"/>
        </w:trPr>
        <w:tc>
          <w:tcPr>
            <w:tcW w:w="4420" w:type="dxa"/>
            <w:vAlign w:val="bottom"/>
          </w:tcPr>
          <w:p>
            <w:pPr>
              <w:jc w:val="center"/>
              <w:ind w:right="890"/>
              <w:spacing w:after="0"/>
              <w:rPr>
                <w:sz w:val="20"/>
                <w:szCs w:val="20"/>
                <w:color w:val="auto"/>
              </w:rPr>
            </w:pPr>
            <w:r>
              <w:rPr>
                <w:rFonts w:ascii="Arial" w:cs="Arial" w:eastAsia="Arial" w:hAnsi="Arial"/>
                <w:sz w:val="18"/>
                <w:szCs w:val="18"/>
                <w:color w:val="auto"/>
                <w:w w:val="92"/>
              </w:rPr>
              <w:t>(State or other jurisdiction of incorporation)</w:t>
            </w:r>
          </w:p>
        </w:tc>
        <w:tc>
          <w:tcPr>
            <w:tcW w:w="3580" w:type="dxa"/>
            <w:vAlign w:val="bottom"/>
          </w:tcPr>
          <w:p>
            <w:pPr>
              <w:jc w:val="center"/>
              <w:ind w:right="870"/>
              <w:spacing w:after="0"/>
              <w:rPr>
                <w:sz w:val="20"/>
                <w:szCs w:val="20"/>
                <w:color w:val="auto"/>
              </w:rPr>
            </w:pPr>
            <w:r>
              <w:rPr>
                <w:rFonts w:ascii="Arial" w:cs="Arial" w:eastAsia="Arial" w:hAnsi="Arial"/>
                <w:sz w:val="18"/>
                <w:szCs w:val="18"/>
                <w:color w:val="auto"/>
                <w:w w:val="92"/>
              </w:rPr>
              <w:t>(Commission 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16"/>
        </w:trPr>
        <w:tc>
          <w:tcPr>
            <w:tcW w:w="44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410 North Michigan Avenue</w:t>
            </w:r>
          </w:p>
        </w:tc>
        <w:tc>
          <w:tcPr>
            <w:tcW w:w="35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44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Suite 400</w:t>
            </w:r>
          </w:p>
        </w:tc>
        <w:tc>
          <w:tcPr>
            <w:tcW w:w="35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4"/>
        </w:trPr>
        <w:tc>
          <w:tcPr>
            <w:tcW w:w="4420" w:type="dxa"/>
            <w:vAlign w:val="bottom"/>
            <w:tcBorders>
              <w:bottom w:val="single" w:sz="8" w:color="auto"/>
            </w:tcBorders>
          </w:tcPr>
          <w:p>
            <w:pPr>
              <w:jc w:val="center"/>
              <w:ind w:left="1330"/>
              <w:spacing w:after="0"/>
              <w:rPr>
                <w:sz w:val="20"/>
                <w:szCs w:val="20"/>
                <w:color w:val="auto"/>
              </w:rPr>
            </w:pPr>
            <w:r>
              <w:rPr>
                <w:rFonts w:ascii="Arial" w:cs="Arial" w:eastAsia="Arial" w:hAnsi="Arial"/>
                <w:sz w:val="18"/>
                <w:szCs w:val="18"/>
                <w:b w:val="1"/>
                <w:bCs w:val="1"/>
                <w:color w:val="auto"/>
                <w:w w:val="89"/>
              </w:rPr>
              <w:t>Chicago, Illinois</w:t>
            </w:r>
          </w:p>
        </w:tc>
        <w:tc>
          <w:tcPr>
            <w:tcW w:w="35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227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44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spacing w:after="0"/>
              <w:rPr>
                <w:sz w:val="19"/>
                <w:szCs w:val="19"/>
                <w:color w:val="auto"/>
              </w:rPr>
            </w:pPr>
          </w:p>
        </w:tc>
        <w:tc>
          <w:tcPr>
            <w:tcW w:w="3420" w:type="dxa"/>
            <w:vAlign w:val="bottom"/>
          </w:tcPr>
          <w:p>
            <w:pPr>
              <w:jc w:val="center"/>
              <w:ind w:right="2090"/>
              <w:spacing w:after="0"/>
              <w:rPr>
                <w:sz w:val="20"/>
                <w:szCs w:val="20"/>
                <w:color w:val="auto"/>
              </w:rPr>
            </w:pPr>
            <w:r>
              <w:rPr>
                <w:rFonts w:ascii="Arial" w:cs="Arial" w:eastAsia="Arial" w:hAnsi="Arial"/>
                <w:sz w:val="18"/>
                <w:szCs w:val="18"/>
                <w:color w:val="auto"/>
                <w:w w:val="94"/>
              </w:rPr>
              <w:t>(Zip Code)</w:t>
            </w:r>
          </w:p>
        </w:tc>
      </w:tr>
      <w:tr>
        <w:trPr>
          <w:trHeight w:val="634"/>
        </w:trPr>
        <w:tc>
          <w:tcPr>
            <w:tcW w:w="4420" w:type="dxa"/>
            <w:vAlign w:val="bottom"/>
          </w:tcPr>
          <w:p>
            <w:pPr>
              <w:spacing w:after="0"/>
              <w:rPr>
                <w:sz w:val="20"/>
                <w:szCs w:val="20"/>
                <w:color w:val="auto"/>
              </w:rPr>
            </w:pPr>
            <w:r>
              <w:rPr>
                <w:rFonts w:ascii="Arial" w:cs="Arial" w:eastAsia="Arial" w:hAnsi="Arial"/>
                <w:sz w:val="18"/>
                <w:szCs w:val="18"/>
                <w:color w:val="auto"/>
              </w:rPr>
              <w:t>Registrant’s telephone number, including area code</w:t>
            </w:r>
          </w:p>
        </w:tc>
        <w:tc>
          <w:tcPr>
            <w:tcW w:w="3580" w:type="dxa"/>
            <w:vAlign w:val="bottom"/>
          </w:tcPr>
          <w:p>
            <w:pPr>
              <w:spacing w:after="0"/>
              <w:rPr>
                <w:sz w:val="24"/>
                <w:szCs w:val="24"/>
                <w:color w:val="auto"/>
              </w:rPr>
            </w:pPr>
          </w:p>
        </w:tc>
        <w:tc>
          <w:tcPr>
            <w:tcW w:w="342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(312) 321-1515</w:t>
            </w:r>
          </w:p>
        </w:tc>
      </w:tr>
    </w:tbl>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its regular meeting on June 12, 2014, the Registrant’s Board of Directors declared quarterly cash dividends of $0.20 per share of the Registrant’s Common Stock and $0.15 per share of the Registrant’s Class B Stock. The dividends will be payable on August 29, 2014, to stockholders of record at the close of business on August 15, 2014. A copy of the Registrant’s press release announcing these matters is attached as Exhibit 99.1 and the information contained therein is incorporated herein by reference.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2"/>
          </w:tcPr>
          <w:p>
            <w:pPr>
              <w:jc w:val="center"/>
              <w:ind w:right="7130"/>
              <w:spacing w:after="0"/>
              <w:rPr>
                <w:sz w:val="20"/>
                <w:szCs w:val="20"/>
                <w:color w:val="auto"/>
              </w:rPr>
            </w:pPr>
            <w:r>
              <w:rPr>
                <w:rFonts w:ascii="Arial" w:cs="Arial" w:eastAsia="Arial" w:hAnsi="Arial"/>
                <w:sz w:val="18"/>
                <w:szCs w:val="18"/>
                <w:b w:val="1"/>
                <w:bCs w:val="1"/>
                <w:color w:val="auto"/>
                <w:w w:val="90"/>
              </w:rPr>
              <w:t>Financial Statements and Exhibits.</w:t>
            </w:r>
          </w:p>
        </w:tc>
      </w:tr>
      <w:tr>
        <w:trPr>
          <w:trHeight w:val="20"/>
        </w:trPr>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r>
      <w:tr>
        <w:trPr>
          <w:trHeight w:val="453"/>
        </w:trPr>
        <w:tc>
          <w:tcPr>
            <w:tcW w:w="1080" w:type="dxa"/>
            <w:vAlign w:val="bottom"/>
            <w:gridSpan w:val="2"/>
          </w:tcPr>
          <w:p>
            <w:pPr>
              <w:spacing w:after="0"/>
              <w:rPr>
                <w:sz w:val="20"/>
                <w:szCs w:val="20"/>
                <w:color w:val="auto"/>
              </w:rPr>
            </w:pPr>
            <w:r>
              <w:rPr>
                <w:rFonts w:ascii="Arial" w:cs="Arial" w:eastAsia="Arial" w:hAnsi="Arial"/>
                <w:sz w:val="18"/>
                <w:szCs w:val="18"/>
                <w:color w:val="auto"/>
              </w:rPr>
              <w:t>(d) Exhibit</w:t>
            </w:r>
          </w:p>
        </w:tc>
        <w:tc>
          <w:tcPr>
            <w:tcW w:w="320" w:type="dxa"/>
            <w:vAlign w:val="bottom"/>
          </w:tcPr>
          <w:p>
            <w:pPr>
              <w:spacing w:after="0"/>
              <w:rPr>
                <w:sz w:val="24"/>
                <w:szCs w:val="24"/>
                <w:color w:val="auto"/>
              </w:rPr>
            </w:pPr>
          </w:p>
        </w:tc>
        <w:tc>
          <w:tcPr>
            <w:tcW w:w="10020" w:type="dxa"/>
            <w:vAlign w:val="bottom"/>
          </w:tcPr>
          <w:p>
            <w:pPr>
              <w:spacing w:after="0"/>
              <w:rPr>
                <w:sz w:val="24"/>
                <w:szCs w:val="24"/>
                <w:color w:val="auto"/>
              </w:rPr>
            </w:pP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20" w:type="dxa"/>
            <w:vAlign w:val="bottom"/>
          </w:tcPr>
          <w:p>
            <w:pPr>
              <w:spacing w:after="0"/>
              <w:rPr>
                <w:sz w:val="24"/>
                <w:szCs w:val="24"/>
                <w:color w:val="auto"/>
              </w:rPr>
            </w:pPr>
          </w:p>
        </w:tc>
        <w:tc>
          <w:tcPr>
            <w:tcW w:w="10020" w:type="dxa"/>
            <w:vAlign w:val="bottom"/>
          </w:tcPr>
          <w:p>
            <w:pPr>
              <w:spacing w:after="0"/>
              <w:rPr>
                <w:sz w:val="24"/>
                <w:szCs w:val="24"/>
                <w:color w:val="auto"/>
              </w:rPr>
            </w:pPr>
          </w:p>
        </w:tc>
      </w:tr>
      <w:tr>
        <w:trPr>
          <w:trHeight w:val="230"/>
        </w:trPr>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w:t>
            </w:r>
          </w:p>
        </w:tc>
        <w:tc>
          <w:tcPr>
            <w:tcW w:w="320" w:type="dxa"/>
            <w:vAlign w:val="bottom"/>
          </w:tcPr>
          <w:p>
            <w:pPr>
              <w:spacing w:after="0"/>
              <w:rPr>
                <w:sz w:val="20"/>
                <w:szCs w:val="20"/>
                <w:color w:val="auto"/>
              </w:rPr>
            </w:pPr>
          </w:p>
        </w:tc>
        <w:tc>
          <w:tcPr>
            <w:tcW w:w="10020" w:type="dxa"/>
            <w:vAlign w:val="bottom"/>
            <w:tcBorders>
              <w:bottom w:val="single" w:sz="8" w:color="auto"/>
            </w:tcBorders>
          </w:tcPr>
          <w:p>
            <w:pPr>
              <w:ind w:left="4120"/>
              <w:spacing w:after="0"/>
              <w:rPr>
                <w:sz w:val="20"/>
                <w:szCs w:val="20"/>
                <w:color w:val="auto"/>
              </w:rPr>
            </w:pPr>
            <w:r>
              <w:rPr>
                <w:rFonts w:ascii="Arial" w:cs="Arial" w:eastAsia="Arial" w:hAnsi="Arial"/>
                <w:sz w:val="18"/>
                <w:szCs w:val="18"/>
                <w:color w:val="auto"/>
              </w:rPr>
              <w:t>Description of Exhibits</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10340" w:type="dxa"/>
            <w:vAlign w:val="bottom"/>
            <w:gridSpan w:val="2"/>
          </w:tcPr>
          <w:p>
            <w:pPr>
              <w:jc w:val="center"/>
              <w:ind w:right="7150"/>
              <w:spacing w:after="0"/>
              <w:rPr>
                <w:sz w:val="20"/>
                <w:szCs w:val="20"/>
                <w:color w:val="auto"/>
              </w:rPr>
            </w:pPr>
            <w:r>
              <w:rPr>
                <w:rFonts w:ascii="Arial" w:cs="Arial" w:eastAsia="Arial" w:hAnsi="Arial"/>
                <w:sz w:val="18"/>
                <w:szCs w:val="18"/>
                <w:color w:val="auto"/>
                <w:w w:val="85"/>
              </w:rPr>
              <w:t>Press Release dated June 12, 2014</w:t>
            </w:r>
          </w:p>
        </w:tc>
      </w:tr>
      <w:tr>
        <w:trPr>
          <w:trHeight w:val="648"/>
        </w:trPr>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OIL-DRI CORPORATION OF AMERICA</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 President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688" w:right="5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20" w:type="dxa"/>
            <w:vAlign w:val="bottom"/>
            <w:gridSpan w:val="3"/>
          </w:tcPr>
          <w:p>
            <w:pPr>
              <w:ind w:left="3820"/>
              <w:spacing w:after="0"/>
              <w:rPr>
                <w:sz w:val="20"/>
                <w:szCs w:val="20"/>
                <w:color w:val="auto"/>
              </w:rPr>
            </w:pPr>
            <w:r>
              <w:rPr>
                <w:rFonts w:ascii="Arial" w:cs="Arial" w:eastAsia="Arial" w:hAnsi="Arial"/>
                <w:sz w:val="18"/>
                <w:szCs w:val="18"/>
                <w:color w:val="auto"/>
              </w:rPr>
              <w:t>Exhibit Index</w:t>
            </w:r>
          </w:p>
        </w:tc>
      </w:tr>
      <w:tr>
        <w:trPr>
          <w:trHeight w:val="654"/>
        </w:trPr>
        <w:tc>
          <w:tcPr>
            <w:tcW w:w="1080" w:type="dxa"/>
            <w:vAlign w:val="bottom"/>
          </w:tcPr>
          <w:p>
            <w:pPr>
              <w:spacing w:after="0"/>
              <w:rPr>
                <w:sz w:val="20"/>
                <w:szCs w:val="20"/>
                <w:color w:val="auto"/>
              </w:rPr>
            </w:pPr>
            <w:r>
              <w:rPr>
                <w:rFonts w:ascii="Arial" w:cs="Arial" w:eastAsia="Arial" w:hAnsi="Arial"/>
                <w:sz w:val="18"/>
                <w:szCs w:val="18"/>
                <w:color w:val="auto"/>
              </w:rPr>
              <w:t>Exhibit</w:t>
            </w:r>
          </w:p>
        </w:tc>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0"/>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32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Description of Exhibits</w:t>
            </w: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10340" w:type="dxa"/>
            <w:vAlign w:val="bottom"/>
            <w:gridSpan w:val="4"/>
          </w:tcPr>
          <w:p>
            <w:pPr>
              <w:ind w:left="320"/>
              <w:spacing w:after="0"/>
              <w:rPr>
                <w:sz w:val="20"/>
                <w:szCs w:val="20"/>
                <w:color w:val="auto"/>
              </w:rPr>
            </w:pPr>
            <w:r>
              <w:rPr>
                <w:rFonts w:ascii="Arial" w:cs="Arial" w:eastAsia="Arial" w:hAnsi="Arial"/>
                <w:sz w:val="18"/>
                <w:szCs w:val="18"/>
                <w:color w:val="auto"/>
              </w:rPr>
              <w:t>Press Release dated June 12, 2014</w:t>
            </w:r>
          </w:p>
        </w:tc>
      </w:tr>
      <w:tr>
        <w:trPr>
          <w:trHeight w:val="432"/>
        </w:trPr>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5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54660"/>
                    </a:xfrm>
                    <a:prstGeom prst="rect">
                      <a:avLst/>
                    </a:prstGeom>
                    <a:noFill/>
                  </pic:spPr>
                </pic:pic>
              </a:graphicData>
            </a:graphic>
          </wp:anchor>
        </w:drawing>
        <w:t>410 N. Michigan Ave. Chicago, Illinois 60611, U.S.A</w:t>
      </w: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002D69"/>
        </w:rPr>
        <w:t>News Announcement</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5715</wp:posOffset>
            </wp:positionV>
            <wp:extent cx="496570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65700" cy="26035"/>
                    </a:xfrm>
                    <a:prstGeom prst="rect">
                      <a:avLst/>
                    </a:prstGeom>
                    <a:noFill/>
                  </pic:spPr>
                </pic:pic>
              </a:graphicData>
            </a:graphic>
          </wp:anchor>
        </w:drawing>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Board of Directors Declares Increased Quarterly Dividends</w:t>
      </w:r>
    </w:p>
    <w:p>
      <w:pPr>
        <w:spacing w:after="0" w:line="200" w:lineRule="exact"/>
        <w:rPr>
          <w:sz w:val="20"/>
          <w:szCs w:val="20"/>
          <w:color w:val="auto"/>
        </w:rPr>
      </w:pPr>
    </w:p>
    <w:p>
      <w:pPr>
        <w:spacing w:after="0" w:line="24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CHICAGO—(June 12, 2014)—The Board of Directors of Oil-Dri Corporation of America (NYSE: ODC) today declared quarterly cash dividends of $0.20 per share of the Company’s Common Stock and $0.15 per share of the Company’s Class B Stock, approximately a 5% increase for both classes of stock.</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dividends declared today will be payable in the first quarter of fiscal 2015, on August 29, 2014, to stockholders of record at the close of business on August 15, 2014. The Company has paid cash dividends continuously since 1974 and paid $0.76 per share of Common Stock and $0.57 per share of Class B Stock in fiscal 2014. The new dividend rate marks the eleventh consecutive year Oil-Dri has increased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Oil-Dri Corporation of America is a leading supplier of specialty sorbent products for industrial, automotive, agricultural,</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horticultural and specialty markets and the world’s largest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700405</wp:posOffset>
            </wp:positionV>
            <wp:extent cx="496570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6570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Reagan Culbertson</w:t>
      </w:r>
    </w:p>
    <w:p>
      <w:pPr>
        <w:jc w:val="center"/>
        <w:spacing w:after="0" w:line="221" w:lineRule="auto"/>
        <w:rPr>
          <w:sz w:val="20"/>
          <w:szCs w:val="20"/>
          <w:color w:val="auto"/>
        </w:rPr>
      </w:pPr>
      <w:r>
        <w:rPr>
          <w:rFonts w:ascii="Arial" w:cs="Arial" w:eastAsia="Arial" w:hAnsi="Arial"/>
          <w:sz w:val="14"/>
          <w:szCs w:val="14"/>
          <w:i w:val="1"/>
          <w:iCs w:val="1"/>
          <w:color w:val="002D69"/>
        </w:rPr>
        <w:t>Investor Relations Manager</w:t>
      </w:r>
    </w:p>
    <w:p>
      <w:pPr>
        <w:jc w:val="center"/>
        <w:spacing w:after="0" w:line="221" w:lineRule="auto"/>
        <w:rPr>
          <w:sz w:val="20"/>
          <w:szCs w:val="20"/>
          <w:color w:val="auto"/>
        </w:rPr>
      </w:pPr>
      <w:r>
        <w:rPr>
          <w:rFonts w:ascii="Arial" w:cs="Arial" w:eastAsia="Arial" w:hAnsi="Arial"/>
          <w:sz w:val="14"/>
          <w:szCs w:val="14"/>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2020-01-27T18:11:29Z</dcterms:created>
  <dcterms:modified xsi:type="dcterms:W3CDTF">2020-01-27T18:11:29Z</dcterms:modified>
</cp:coreProperties>
</file>