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Lamson Christopher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40"/>
        <w:spacing w:after="0" w:line="315" w:lineRule="auto"/>
        <w:rPr>
          <w:sz w:val="20"/>
          <w:szCs w:val="20"/>
          <w:color w:val="auto"/>
        </w:rPr>
      </w:pPr>
      <w:r>
        <w:rPr>
          <w:rFonts w:ascii="Arial" w:cs="Arial" w:eastAsia="Arial" w:hAnsi="Arial"/>
          <w:sz w:val="17"/>
          <w:szCs w:val="17"/>
          <w:color w:val="0000FF"/>
        </w:rPr>
        <w:t>410 N. MICHIGAN AVENUE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Group VP of Retail &amp; Wholesale</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9"/>
          </w:tcPr>
          <w:p>
            <w:pPr>
              <w:ind w:left="16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CHICAGO</w:t>
            </w:r>
          </w:p>
        </w:tc>
        <w:tc>
          <w:tcPr>
            <w:tcW w:w="260" w:type="dxa"/>
            <w:vAlign w:val="bottom"/>
            <w:vMerge w:val="restart"/>
          </w:tcPr>
          <w:p>
            <w:pPr>
              <w:ind w:left="40"/>
              <w:spacing w:after="0"/>
              <w:rPr>
                <w:sz w:val="20"/>
                <w:szCs w:val="20"/>
                <w:color w:val="auto"/>
              </w:rPr>
            </w:pPr>
            <w:r>
              <w:rPr>
                <w:rFonts w:ascii="Arial" w:cs="Arial" w:eastAsia="Arial" w:hAnsi="Arial"/>
                <w:sz w:val="17"/>
                <w:szCs w:val="17"/>
                <w:color w:val="0000FF"/>
              </w:rPr>
              <w:t>IL</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60611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01/31/2022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30,000</w:t>
            </w:r>
            <w:r>
              <w:rPr>
                <w:rFonts w:ascii="Arial" w:cs="Arial" w:eastAsia="Arial" w:hAnsi="Arial"/>
                <w:sz w:val="22"/>
                <w:szCs w:val="22"/>
                <w:color w:val="008000"/>
                <w:w w:val="88"/>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30,000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granted pursuant to the Oil-Dri Corporation of America 2006 Long Term Incentive Plan in a transaction exempt under rule 16b-3.</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shall vest as follows on the anniversaries of January 31, 2022: (i) 2,000 shares on the first anniversary, (ii) 4,000 shares on the second anniversary, (iii) 6,000 shares on each of the third and fourth anniversaries, and (iv) 12,000 shares on the fifth anniversary.</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5"/>
              </w:rPr>
              <w:t>Laura G. Scheland by Power</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01/31/2022</w:t>
            </w:r>
          </w:p>
        </w:tc>
        <w:tc>
          <w:tcPr>
            <w:tcW w:w="0" w:type="dxa"/>
            <w:vAlign w:val="bottom"/>
          </w:tcPr>
          <w:p>
            <w:pPr>
              <w:spacing w:after="0"/>
              <w:rPr>
                <w:sz w:val="1"/>
                <w:szCs w:val="1"/>
                <w:color w:val="auto"/>
              </w:rPr>
            </w:pPr>
          </w:p>
        </w:tc>
      </w:tr>
      <w:tr>
        <w:trPr>
          <w:trHeight w:val="87"/>
        </w:trPr>
        <w:tc>
          <w:tcPr>
            <w:tcW w:w="82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of Attorney</w:t>
            </w:r>
          </w:p>
        </w:tc>
        <w:tc>
          <w:tcPr>
            <w:tcW w:w="11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top w:val="single" w:sz="8" w:color="auto"/>
              <w:bottom w:val="single" w:sz="8" w:color="auto"/>
            </w:tcBorders>
            <w:vMerge w:val="continue"/>
          </w:tcPr>
          <w:p>
            <w:pPr>
              <w:spacing w:after="0"/>
              <w:rPr>
                <w:sz w:val="7"/>
                <w:szCs w:val="7"/>
                <w:color w:val="auto"/>
              </w:rPr>
            </w:pPr>
          </w:p>
        </w:tc>
        <w:tc>
          <w:tcPr>
            <w:tcW w:w="11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7830"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2022-01-31T15:57:05Z</dcterms:created>
  <dcterms:modified xsi:type="dcterms:W3CDTF">2022-01-31T15:57:05Z</dcterms:modified>
</cp:coreProperties>
</file>