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 (Amendment No. 29)</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Oil-Dri Corporation of America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$0.10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w:t>
      </w:r>
      <w:r>
        <w:rPr>
          <w:rFonts w:ascii="Arial" w:cs="Arial" w:eastAsia="Arial" w:hAnsi="Arial"/>
          <w:sz w:val="22"/>
          <w:szCs w:val="22"/>
          <w:u w:val="single" w:color="auto"/>
          <w:color w:val="auto"/>
        </w:rPr>
        <w:t>677864100</w:t>
      </w:r>
      <w:r>
        <w:rPr>
          <w:rFonts w:ascii="Arial" w:cs="Arial" w:eastAsia="Arial" w:hAnsi="Arial"/>
          <w:sz w:val="22"/>
          <w:szCs w:val="22"/>
          <w:color w:val="auto"/>
        </w:rPr>
        <w:t>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David Goldman</w:t>
      </w:r>
    </w:p>
    <w:p>
      <w:pPr>
        <w:jc w:val="center"/>
        <w:ind w:right="-19"/>
        <w:spacing w:after="0" w:line="238" w:lineRule="auto"/>
        <w:rPr>
          <w:sz w:val="20"/>
          <w:szCs w:val="20"/>
          <w:color w:val="auto"/>
        </w:rPr>
      </w:pPr>
      <w:r>
        <w:rPr>
          <w:rFonts w:ascii="Arial" w:cs="Arial" w:eastAsia="Arial" w:hAnsi="Arial"/>
          <w:sz w:val="22"/>
          <w:szCs w:val="22"/>
          <w:color w:val="auto"/>
        </w:rPr>
        <w:t>GAMCO Investors, Inc.</w:t>
      </w:r>
    </w:p>
    <w:p>
      <w:pPr>
        <w:jc w:val="center"/>
        <w:ind w:right="-19"/>
        <w:spacing w:after="0" w:line="230" w:lineRule="auto"/>
        <w:rPr>
          <w:sz w:val="20"/>
          <w:szCs w:val="20"/>
          <w:color w:val="auto"/>
        </w:rPr>
      </w:pPr>
      <w:r>
        <w:rPr>
          <w:rFonts w:ascii="Arial" w:cs="Arial" w:eastAsia="Arial" w:hAnsi="Arial"/>
          <w:sz w:val="22"/>
          <w:szCs w:val="22"/>
          <w:color w:val="auto"/>
        </w:rPr>
        <w:t>One Corporate Center</w:t>
      </w:r>
    </w:p>
    <w:p>
      <w:pPr>
        <w:jc w:val="center"/>
        <w:ind w:right="-19"/>
        <w:spacing w:after="0" w:line="231" w:lineRule="auto"/>
        <w:rPr>
          <w:sz w:val="20"/>
          <w:szCs w:val="20"/>
          <w:color w:val="auto"/>
        </w:rPr>
      </w:pPr>
      <w:r>
        <w:rPr>
          <w:rFonts w:ascii="Arial" w:cs="Arial" w:eastAsia="Arial" w:hAnsi="Arial"/>
          <w:sz w:val="22"/>
          <w:szCs w:val="22"/>
          <w:color w:val="auto"/>
        </w:rPr>
        <w:t>Rye, New York 10580-1435</w:t>
      </w:r>
    </w:p>
    <w:p>
      <w:pPr>
        <w:jc w:val="center"/>
        <w:ind w:right="-19"/>
        <w:spacing w:after="0" w:line="230" w:lineRule="auto"/>
        <w:rPr>
          <w:sz w:val="20"/>
          <w:szCs w:val="20"/>
          <w:color w:val="auto"/>
        </w:rPr>
      </w:pPr>
      <w:r>
        <w:rPr>
          <w:rFonts w:ascii="Arial" w:cs="Arial" w:eastAsia="Arial" w:hAnsi="Arial"/>
          <w:sz w:val="22"/>
          <w:szCs w:val="22"/>
          <w:color w:val="auto"/>
        </w:rPr>
        <w:t>(914) 921-5000</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8" w:lineRule="exact"/>
        <w:rPr>
          <w:sz w:val="24"/>
          <w:szCs w:val="24"/>
          <w:color w:val="auto"/>
        </w:rPr>
      </w:pPr>
    </w:p>
    <w:p>
      <w:pPr>
        <w:ind w:left="2840"/>
        <w:spacing w:after="0"/>
        <w:rPr>
          <w:sz w:val="20"/>
          <w:szCs w:val="20"/>
          <w:color w:val="auto"/>
        </w:rPr>
      </w:pPr>
      <w:r>
        <w:rPr>
          <w:rFonts w:ascii="Arial" w:cs="Arial" w:eastAsia="Arial" w:hAnsi="Arial"/>
          <w:sz w:val="22"/>
          <w:szCs w:val="22"/>
          <w:color w:val="auto"/>
        </w:rPr>
        <w:t>____________________</w:t>
      </w:r>
      <w:r>
        <w:rPr>
          <w:rFonts w:ascii="Arial" w:cs="Arial" w:eastAsia="Arial" w:hAnsi="Arial"/>
          <w:sz w:val="22"/>
          <w:szCs w:val="22"/>
          <w:u w:val="single" w:color="auto"/>
          <w:color w:val="auto"/>
        </w:rPr>
        <w:t>April 7, 2020</w:t>
      </w:r>
      <w:r>
        <w:rPr>
          <w:rFonts w:ascii="Arial" w:cs="Arial" w:eastAsia="Arial" w:hAnsi="Arial"/>
          <w:sz w:val="22"/>
          <w:szCs w:val="22"/>
          <w:color w:val="auto"/>
        </w:rPr>
        <w:t>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Gabelli Funds, LLC</w:t>
            </w:r>
          </w:p>
        </w:tc>
        <w:tc>
          <w:tcPr>
            <w:tcW w:w="692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I.D. No. 13-4044523</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58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rFonts w:ascii="Arial" w:cs="Arial" w:eastAsia="Arial" w:hAnsi="Arial"/>
                <w:sz w:val="18"/>
                <w:szCs w:val="18"/>
                <w:b w:val="1"/>
                <w:bCs w:val="1"/>
                <w:color w:val="auto"/>
              </w:rPr>
              <w:t xml:space="preserve">   (a)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98,300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98,300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98,300 (Item 5)</w:t>
      </w:r>
    </w:p>
    <w:p>
      <w:pPr>
        <w:ind w:left="840" w:hanging="832"/>
        <w:spacing w:after="0"/>
        <w:tabs>
          <w:tab w:leader="none" w:pos="840" w:val="left"/>
        </w:tabs>
        <w:numPr>
          <w:ilvl w:val="0"/>
          <w:numId w:val="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520" w:hanging="832"/>
        <w:spacing w:after="0" w:line="363" w:lineRule="auto"/>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1.82%</w:t>
      </w:r>
    </w:p>
    <w:p>
      <w:pPr>
        <w:ind w:left="840" w:hanging="832"/>
        <w:spacing w:after="0"/>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Asset Management, Inc.</w:t>
            </w:r>
          </w:p>
        </w:tc>
        <w:tc>
          <w:tcPr>
            <w:tcW w:w="48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I.D. No. 13-4044521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48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487,435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517,135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4"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517,135 (Item 5)</w:t>
      </w:r>
    </w:p>
    <w:p>
      <w:pPr>
        <w:ind w:left="840" w:hanging="832"/>
        <w:spacing w:after="0"/>
        <w:tabs>
          <w:tab w:leader="none" w:pos="840" w:val="left"/>
        </w:tabs>
        <w:numPr>
          <w:ilvl w:val="0"/>
          <w:numId w:val="1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520" w:hanging="832"/>
        <w:spacing w:after="0" w:line="363" w:lineRule="auto"/>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9.55%</w:t>
      </w:r>
    </w:p>
    <w:p>
      <w:pPr>
        <w:ind w:left="840" w:hanging="832"/>
        <w:spacing w:after="0"/>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Teton Advisors, Inc.</w:t>
            </w:r>
          </w:p>
        </w:tc>
        <w:tc>
          <w:tcPr>
            <w:tcW w:w="4500" w:type="dxa"/>
            <w:vAlign w:val="bottom"/>
          </w:tcPr>
          <w:p>
            <w:pPr>
              <w:ind w:left="3420"/>
              <w:spacing w:after="0"/>
              <w:rPr>
                <w:sz w:val="20"/>
                <w:szCs w:val="20"/>
                <w:color w:val="auto"/>
              </w:rPr>
            </w:pPr>
            <w:r>
              <w:rPr>
                <w:rFonts w:ascii="Arial" w:cs="Arial" w:eastAsia="Arial" w:hAnsi="Arial"/>
                <w:sz w:val="18"/>
                <w:szCs w:val="18"/>
                <w:b w:val="1"/>
                <w:bCs w:val="1"/>
                <w:color w:val="auto"/>
              </w:rPr>
              <w:t>I.D. No. 13-</w:t>
            </w:r>
          </w:p>
        </w:tc>
      </w:t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4008049</w:t>
            </w:r>
          </w:p>
        </w:tc>
        <w:tc>
          <w:tcPr>
            <w:tcW w:w="4500" w:type="dxa"/>
            <w:vAlign w:val="bottom"/>
            <w:tcBorders>
              <w:bottom w:val="single" w:sz="8" w:color="auto"/>
            </w:tcBorders>
          </w:tcPr>
          <w:p>
            <w:pPr>
              <w:spacing w:after="0"/>
              <w:rPr>
                <w:sz w:val="20"/>
                <w:szCs w:val="20"/>
                <w:color w:val="auto"/>
              </w:rPr>
            </w:pP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840" w:right="7240" w:hanging="458"/>
        <w:spacing w:after="0" w:line="347" w:lineRule="auto"/>
        <w:tabs>
          <w:tab w:leader="none" w:pos="8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54,000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54,000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54,000 (Item 5)</w:t>
      </w: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1.00%</w:t>
      </w: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677864100</w:t>
      </w:r>
    </w:p>
    <w:p>
      <w:pPr>
        <w:spacing w:after="0" w:line="19" w:lineRule="exact"/>
        <w:rPr>
          <w:sz w:val="20"/>
          <w:szCs w:val="20"/>
          <w:color w:val="auto"/>
        </w:rPr>
      </w:pPr>
    </w:p>
    <w:p>
      <w:pPr>
        <w:ind w:left="840" w:hanging="458"/>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GGCP, Inc.</w:t>
            </w:r>
          </w:p>
        </w:tc>
        <w:tc>
          <w:tcPr>
            <w:tcW w:w="488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I.D. No. 13-3056041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48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660" w:hanging="458"/>
        <w:spacing w:after="0" w:line="282" w:lineRule="auto"/>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6" w:lineRule="auto"/>
        <w:tabs>
          <w:tab w:leader="none" w:pos="840" w:val="left"/>
        </w:tabs>
        <w:numPr>
          <w:ilvl w:val="0"/>
          <w:numId w:val="26"/>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3" w:lineRule="exact"/>
        <w:rPr>
          <w:rFonts w:ascii="Arial" w:cs="Arial" w:eastAsia="Arial" w:hAnsi="Arial"/>
          <w:sz w:val="19"/>
          <w:szCs w:val="19"/>
          <w:b w:val="1"/>
          <w:bCs w:val="1"/>
          <w:color w:val="auto"/>
          <w:vertAlign w:val="subscript"/>
        </w:rPr>
      </w:pPr>
    </w:p>
    <w:p>
      <w:pPr>
        <w:ind w:left="840" w:right="6520" w:hanging="832"/>
        <w:spacing w:after="0" w:line="363" w:lineRule="auto"/>
        <w:tabs>
          <w:tab w:leader="none" w:pos="840" w:val="left"/>
        </w:tabs>
        <w:numPr>
          <w:ilvl w:val="0"/>
          <w:numId w:val="2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2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4880" w:type="dxa"/>
            <w:vAlign w:val="bottom"/>
          </w:tcPr>
          <w:p>
            <w:pPr>
              <w:ind w:left="4100"/>
              <w:spacing w:after="0"/>
              <w:rPr>
                <w:sz w:val="20"/>
                <w:szCs w:val="20"/>
                <w:color w:val="auto"/>
              </w:rPr>
            </w:pPr>
            <w:r>
              <w:rPr>
                <w:rFonts w:ascii="Arial" w:cs="Arial" w:eastAsia="Arial" w:hAnsi="Arial"/>
                <w:sz w:val="18"/>
                <w:szCs w:val="18"/>
                <w:b w:val="1"/>
                <w:bCs w:val="1"/>
                <w:color w:val="auto"/>
              </w:rPr>
              <w:t>I.D. No.</w:t>
            </w:r>
          </w:p>
        </w:tc>
      </w:t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13-4007862</w:t>
            </w:r>
          </w:p>
        </w:tc>
        <w:tc>
          <w:tcPr>
            <w:tcW w:w="4880" w:type="dxa"/>
            <w:vAlign w:val="bottom"/>
            <w:tcBorders>
              <w:bottom w:val="single" w:sz="8" w:color="auto"/>
            </w:tcBorders>
          </w:tcPr>
          <w:p>
            <w:pPr>
              <w:spacing w:after="0"/>
              <w:rPr>
                <w:sz w:val="20"/>
                <w:szCs w:val="20"/>
                <w:color w:val="auto"/>
              </w:rPr>
            </w:pP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48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6" w:lineRule="auto"/>
        <w:tabs>
          <w:tab w:leader="none" w:pos="840" w:val="left"/>
        </w:tabs>
        <w:numPr>
          <w:ilvl w:val="0"/>
          <w:numId w:val="32"/>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3" w:lineRule="exact"/>
        <w:rPr>
          <w:rFonts w:ascii="Arial" w:cs="Arial" w:eastAsia="Arial" w:hAnsi="Arial"/>
          <w:sz w:val="19"/>
          <w:szCs w:val="19"/>
          <w:b w:val="1"/>
          <w:bCs w:val="1"/>
          <w:color w:val="auto"/>
          <w:vertAlign w:val="subscript"/>
        </w:rPr>
      </w:pPr>
    </w:p>
    <w:p>
      <w:pPr>
        <w:ind w:left="840" w:right="6520" w:hanging="832"/>
        <w:spacing w:after="0" w:line="385" w:lineRule="auto"/>
        <w:tabs>
          <w:tab w:leader="none" w:pos="840" w:val="left"/>
        </w:tabs>
        <w:numPr>
          <w:ilvl w:val="0"/>
          <w:numId w:val="32"/>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32"/>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tabs>
          <w:tab w:leader="none" w:pos="6880" w:val="left"/>
        </w:tabs>
        <w:rPr>
          <w:sz w:val="20"/>
          <w:szCs w:val="20"/>
          <w:color w:val="auto"/>
        </w:rPr>
      </w:pPr>
      <w:r>
        <w:rPr>
          <w:rFonts w:ascii="Arial" w:cs="Arial" w:eastAsia="Arial" w:hAnsi="Arial"/>
          <w:sz w:val="18"/>
          <w:szCs w:val="18"/>
          <w:b w:val="1"/>
          <w:bCs w:val="1"/>
          <w:color w:val="auto"/>
        </w:rPr>
        <w:t>Associated Capital Group, Inc.</w:t>
      </w:r>
      <w:r>
        <w:rPr>
          <w:sz w:val="20"/>
          <w:szCs w:val="20"/>
          <w:color w:val="auto"/>
        </w:rPr>
        <w:tab/>
      </w:r>
      <w:r>
        <w:rPr>
          <w:rFonts w:ascii="Arial" w:cs="Arial" w:eastAsia="Arial" w:hAnsi="Arial"/>
          <w:sz w:val="16"/>
          <w:szCs w:val="16"/>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right="7280" w:hanging="458"/>
        <w:spacing w:after="0" w:line="282" w:lineRule="auto"/>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660" w:hanging="558"/>
        <w:spacing w:after="0" w:line="282" w:lineRule="auto"/>
        <w:tabs>
          <w:tab w:leader="none" w:pos="85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00" w:type="dxa"/>
            <w:vAlign w:val="bottom"/>
            <w:tcBorders>
              <w:top w:val="single" w:sz="8" w:color="auto"/>
            </w:tcBorders>
          </w:tcPr>
          <w:p>
            <w:pPr>
              <w:ind w:left="1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13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00" w:type="dxa"/>
            <w:vAlign w:val="bottom"/>
            <w:vMerge w:val="restart"/>
          </w:tcPr>
          <w:p>
            <w:pPr>
              <w:ind w:left="114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1,500 (Item 5)</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2"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0.03%</w:t>
      </w: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820" w:val="left"/>
          <w:tab w:leader="none" w:pos="6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sz w:val="20"/>
          <w:szCs w:val="20"/>
          <w:color w:val="auto"/>
        </w:rPr>
        <w:tab/>
      </w:r>
      <w:r>
        <w:rPr>
          <w:rFonts w:ascii="Arial" w:cs="Arial" w:eastAsia="Arial" w:hAnsi="Arial"/>
          <w:sz w:val="16"/>
          <w:szCs w:val="16"/>
          <w:b w:val="1"/>
          <w:bCs w:val="1"/>
          <w:color w:val="auto"/>
        </w:rPr>
        <w:t>(a)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6" w:lineRule="auto"/>
        <w:tabs>
          <w:tab w:leader="none" w:pos="840" w:val="left"/>
        </w:tabs>
        <w:numPr>
          <w:ilvl w:val="0"/>
          <w:numId w:val="44"/>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3" w:lineRule="exact"/>
        <w:rPr>
          <w:rFonts w:ascii="Arial" w:cs="Arial" w:eastAsia="Arial" w:hAnsi="Arial"/>
          <w:sz w:val="19"/>
          <w:szCs w:val="19"/>
          <w:b w:val="1"/>
          <w:bCs w:val="1"/>
          <w:color w:val="auto"/>
          <w:vertAlign w:val="subscript"/>
        </w:rPr>
      </w:pPr>
    </w:p>
    <w:p>
      <w:pPr>
        <w:ind w:left="840" w:right="6520" w:hanging="832"/>
        <w:spacing w:after="0" w:line="363" w:lineRule="auto"/>
        <w:tabs>
          <w:tab w:leader="none" w:pos="840" w:val="left"/>
        </w:tabs>
        <w:numPr>
          <w:ilvl w:val="0"/>
          <w:numId w:val="4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4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 w:name="page9"/>
    <w:bookmarkEnd w:id="8"/>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1.</w:t>
            </w:r>
          </w:p>
        </w:tc>
        <w:tc>
          <w:tcPr>
            <w:tcW w:w="160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Security and Issuer</w:t>
            </w:r>
          </w:p>
        </w:tc>
        <w:tc>
          <w:tcPr>
            <w:tcW w:w="626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9520" w:type="dxa"/>
            <w:vAlign w:val="bottom"/>
            <w:gridSpan w:val="3"/>
          </w:tcPr>
          <w:p>
            <w:pPr>
              <w:ind w:left="340"/>
              <w:spacing w:after="0"/>
              <w:rPr>
                <w:sz w:val="20"/>
                <w:szCs w:val="20"/>
                <w:color w:val="auto"/>
              </w:rPr>
            </w:pPr>
            <w:r>
              <w:rPr>
                <w:rFonts w:ascii="Arial" w:cs="Arial" w:eastAsia="Arial" w:hAnsi="Arial"/>
                <w:sz w:val="22"/>
                <w:szCs w:val="22"/>
                <w:color w:val="auto"/>
                <w:w w:val="91"/>
              </w:rPr>
              <w:t>This Amendment No. 29 to Schedule 13D on the Common Stock of Oil-Dri Corporation of America (the</w:t>
            </w:r>
          </w:p>
        </w:tc>
      </w:tr>
    </w:tbl>
    <w:p>
      <w:pPr>
        <w:ind w:right="80"/>
        <w:spacing w:after="0" w:line="234" w:lineRule="auto"/>
        <w:rPr>
          <w:sz w:val="20"/>
          <w:szCs w:val="20"/>
          <w:color w:val="auto"/>
        </w:rPr>
      </w:pPr>
      <w:r>
        <w:rPr>
          <w:rFonts w:ascii="Arial" w:cs="Arial" w:eastAsia="Arial" w:hAnsi="Arial"/>
          <w:sz w:val="22"/>
          <w:szCs w:val="22"/>
          <w:color w:val="auto"/>
        </w:rPr>
        <w:t>“Issuer”)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2.</w:t>
            </w:r>
          </w:p>
        </w:tc>
        <w:tc>
          <w:tcPr>
            <w:tcW w:w="160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Identity and Background</w:t>
            </w:r>
          </w:p>
        </w:tc>
        <w:tc>
          <w:tcPr>
            <w:tcW w:w="4940" w:type="dxa"/>
            <w:vAlign w:val="bottom"/>
          </w:tcPr>
          <w:p>
            <w:pPr>
              <w:spacing w:after="0"/>
              <w:rPr>
                <w:sz w:val="21"/>
                <w:szCs w:val="21"/>
                <w:color w:val="auto"/>
              </w:rPr>
            </w:pPr>
          </w:p>
        </w:tc>
      </w:tr>
      <w:tr>
        <w:trPr>
          <w:trHeight w:val="242"/>
        </w:trPr>
        <w:tc>
          <w:tcPr>
            <w:tcW w:w="960" w:type="dxa"/>
            <w:vAlign w:val="bottom"/>
          </w:tcPr>
          <w:p>
            <w:pPr>
              <w:spacing w:after="0"/>
              <w:rPr>
                <w:sz w:val="21"/>
                <w:szCs w:val="21"/>
                <w:color w:val="auto"/>
              </w:rPr>
            </w:pPr>
          </w:p>
        </w:tc>
        <w:tc>
          <w:tcPr>
            <w:tcW w:w="870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Item 2 to Schedule 13D is amended, in pertinent part, as follows:</w:t>
            </w:r>
          </w:p>
        </w:tc>
      </w:tr>
      <w:tr>
        <w:trPr>
          <w:trHeight w:val="261"/>
        </w:trPr>
        <w:tc>
          <w:tcPr>
            <w:tcW w:w="960" w:type="dxa"/>
            <w:vAlign w:val="bottom"/>
          </w:tcPr>
          <w:p>
            <w:pPr>
              <w:spacing w:after="0"/>
              <w:rPr>
                <w:sz w:val="22"/>
                <w:szCs w:val="22"/>
                <w:color w:val="auto"/>
              </w:rPr>
            </w:pPr>
          </w:p>
        </w:tc>
        <w:tc>
          <w:tcPr>
            <w:tcW w:w="8700" w:type="dxa"/>
            <w:vAlign w:val="bottom"/>
            <w:gridSpan w:val="3"/>
          </w:tcPr>
          <w:p>
            <w:pPr>
              <w:ind w:left="340"/>
              <w:spacing w:after="0"/>
              <w:rPr>
                <w:sz w:val="20"/>
                <w:szCs w:val="20"/>
                <w:color w:val="auto"/>
              </w:rPr>
            </w:pPr>
            <w:r>
              <w:rPr>
                <w:rFonts w:ascii="Arial" w:cs="Arial" w:eastAsia="Arial" w:hAnsi="Arial"/>
                <w:sz w:val="22"/>
                <w:szCs w:val="22"/>
                <w:color w:val="auto"/>
                <w:w w:val="91"/>
              </w:rPr>
              <w:t>This statement is being filed by Mario J. Gabelli (“Mario Gabelli”) and various entities which he</w:t>
            </w:r>
          </w:p>
        </w:tc>
      </w:tr>
    </w:tbl>
    <w:p>
      <w:pPr>
        <w:spacing w:after="0" w:line="230" w:lineRule="auto"/>
        <w:rPr>
          <w:sz w:val="20"/>
          <w:szCs w:val="20"/>
          <w:color w:val="auto"/>
        </w:rPr>
      </w:pPr>
      <w:r>
        <w:rPr>
          <w:rFonts w:ascii="Arial" w:cs="Arial" w:eastAsia="Arial" w:hAnsi="Arial"/>
          <w:sz w:val="22"/>
          <w:szCs w:val="22"/>
          <w:color w:val="auto"/>
        </w:rPr>
        <w:t>directly or indirectly controls or for which he acts as chief investment officer. These entities, except for LICT Corporation (“LICT) and CIBL, Inc. (“CIBL”),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w:t>
      </w:r>
    </w:p>
    <w:p>
      <w:pPr>
        <w:spacing w:after="0" w:line="3" w:lineRule="exact"/>
        <w:rPr>
          <w:sz w:val="20"/>
          <w:szCs w:val="20"/>
          <w:color w:val="auto"/>
        </w:rPr>
      </w:pPr>
    </w:p>
    <w:p>
      <w:pPr>
        <w:ind w:right="160" w:firstLine="1296"/>
        <w:spacing w:after="0" w:line="266" w:lineRule="auto"/>
        <w:rPr>
          <w:sz w:val="20"/>
          <w:szCs w:val="20"/>
          <w:color w:val="auto"/>
        </w:rPr>
      </w:pPr>
      <w:r>
        <w:rPr>
          <w:rFonts w:ascii="Arial" w:cs="Arial" w:eastAsia="Arial" w:hAnsi="Arial"/>
          <w:sz w:val="19"/>
          <w:szCs w:val="19"/>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7" w:lineRule="exact"/>
        <w:rPr>
          <w:sz w:val="20"/>
          <w:szCs w:val="20"/>
          <w:color w:val="auto"/>
        </w:rPr>
      </w:pPr>
    </w:p>
    <w:p>
      <w:pPr>
        <w:ind w:right="40" w:firstLine="1296"/>
        <w:spacing w:after="0" w:line="266" w:lineRule="auto"/>
        <w:rPr>
          <w:sz w:val="20"/>
          <w:szCs w:val="20"/>
          <w:color w:val="auto"/>
        </w:rPr>
      </w:pPr>
      <w:r>
        <w:rPr>
          <w:rFonts w:ascii="Arial" w:cs="Arial" w:eastAsia="Arial" w:hAnsi="Arial"/>
          <w:sz w:val="19"/>
          <w:szCs w:val="19"/>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w:t>
      </w:r>
    </w:p>
    <w:p>
      <w:pPr>
        <w:spacing w:after="0" w:line="3" w:lineRule="exact"/>
        <w:rPr>
          <w:sz w:val="20"/>
          <w:szCs w:val="20"/>
          <w:color w:val="auto"/>
        </w:rPr>
      </w:pPr>
    </w:p>
    <w:p>
      <w:pPr>
        <w:ind w:right="80" w:firstLine="8"/>
        <w:spacing w:after="0" w:line="241" w:lineRule="auto"/>
        <w:tabs>
          <w:tab w:leader="none" w:pos="222" w:val="left"/>
        </w:tabs>
        <w:numPr>
          <w:ilvl w:val="0"/>
          <w:numId w:val="45"/>
        </w:numPr>
        <w:rPr>
          <w:rFonts w:ascii="Arial" w:cs="Arial" w:eastAsia="Arial" w:hAnsi="Arial"/>
          <w:sz w:val="21"/>
          <w:szCs w:val="21"/>
          <w:color w:val="auto"/>
        </w:rPr>
      </w:pPr>
      <w:r>
        <w:rPr>
          <w:rFonts w:ascii="Arial" w:cs="Arial" w:eastAsia="Arial" w:hAnsi="Arial"/>
          <w:sz w:val="21"/>
          <w:szCs w:val="21"/>
          <w:color w:val="auto"/>
        </w:rPr>
        <w:t>Company Investment Advisers, Inc. (“GCIA”), Morgan Group Holding Co., (“MGH”), G.research, LLC (“G.research”), MJG Associates, Inc. (“MJG Associates”), Gabelli Foundation, Inc. (“Foundation”), Mario Gabelli, LICT and CIBL. Those of the foregoing persons signing this Schedule 13D are hereinafter referred to as the “Reporting Persons”.</w:t>
      </w:r>
    </w:p>
    <w:p>
      <w:pPr>
        <w:spacing w:after="0" w:line="1" w:lineRule="exact"/>
        <w:rPr>
          <w:rFonts w:ascii="Arial" w:cs="Arial" w:eastAsia="Arial" w:hAnsi="Arial"/>
          <w:sz w:val="21"/>
          <w:szCs w:val="21"/>
          <w:color w:val="auto"/>
        </w:rPr>
      </w:pPr>
    </w:p>
    <w:p>
      <w:pPr>
        <w:ind w:right="20" w:firstLine="1296"/>
        <w:spacing w:after="0" w:line="230" w:lineRule="auto"/>
        <w:rPr>
          <w:rFonts w:ascii="Arial" w:cs="Arial" w:eastAsia="Arial" w:hAnsi="Arial"/>
          <w:sz w:val="21"/>
          <w:szCs w:val="21"/>
          <w:color w:val="auto"/>
        </w:rPr>
      </w:pPr>
      <w:r>
        <w:rPr>
          <w:rFonts w:ascii="Arial" w:cs="Arial" w:eastAsia="Arial" w:hAnsi="Arial"/>
          <w:sz w:val="22"/>
          <w:szCs w:val="22"/>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rFonts w:ascii="Arial" w:cs="Arial" w:eastAsia="Arial" w:hAnsi="Arial"/>
          <w:sz w:val="21"/>
          <w:szCs w:val="21"/>
          <w:color w:val="auto"/>
        </w:rPr>
      </w:pPr>
    </w:p>
    <w:p>
      <w:pPr>
        <w:ind w:right="140" w:firstLine="1296"/>
        <w:spacing w:after="0" w:line="241" w:lineRule="auto"/>
        <w:rPr>
          <w:rFonts w:ascii="Arial" w:cs="Arial" w:eastAsia="Arial" w:hAnsi="Arial"/>
          <w:sz w:val="21"/>
          <w:szCs w:val="21"/>
          <w:color w:val="auto"/>
        </w:rPr>
      </w:pPr>
      <w:r>
        <w:rPr>
          <w:rFonts w:ascii="Arial" w:cs="Arial" w:eastAsia="Arial" w:hAnsi="Arial"/>
          <w:sz w:val="21"/>
          <w:szCs w:val="21"/>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rFonts w:ascii="Arial" w:cs="Arial" w:eastAsia="Arial" w:hAnsi="Arial"/>
          <w:sz w:val="21"/>
          <w:szCs w:val="21"/>
          <w:color w:val="auto"/>
        </w:rPr>
      </w:pPr>
    </w:p>
    <w:p>
      <w:pPr>
        <w:ind w:firstLine="1296"/>
        <w:spacing w:after="0" w:line="241" w:lineRule="auto"/>
        <w:rPr>
          <w:rFonts w:ascii="Arial" w:cs="Arial" w:eastAsia="Arial" w:hAnsi="Arial"/>
          <w:sz w:val="21"/>
          <w:szCs w:val="21"/>
          <w:color w:val="auto"/>
        </w:rPr>
      </w:pPr>
      <w:r>
        <w:rPr>
          <w:rFonts w:ascii="Arial" w:cs="Arial" w:eastAsia="Arial" w:hAnsi="Arial"/>
          <w:sz w:val="21"/>
          <w:szCs w:val="21"/>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spacing w:after="0" w:line="3" w:lineRule="exact"/>
        <w:rPr>
          <w:rFonts w:ascii="Arial" w:cs="Arial" w:eastAsia="Arial" w:hAnsi="Arial"/>
          <w:sz w:val="21"/>
          <w:szCs w:val="21"/>
          <w:color w:val="auto"/>
        </w:rPr>
      </w:pPr>
    </w:p>
    <w:p>
      <w:pPr>
        <w:ind w:right="20" w:firstLine="1296"/>
        <w:spacing w:after="0" w:line="230" w:lineRule="auto"/>
        <w:rPr>
          <w:rFonts w:ascii="Arial" w:cs="Arial" w:eastAsia="Arial" w:hAnsi="Arial"/>
          <w:sz w:val="21"/>
          <w:szCs w:val="21"/>
          <w:color w:val="auto"/>
        </w:rPr>
      </w:pPr>
      <w:r>
        <w:rPr>
          <w:rFonts w:ascii="Arial" w:cs="Arial" w:eastAsia="Arial" w:hAnsi="Arial"/>
          <w:sz w:val="22"/>
          <w:szCs w:val="22"/>
          <w:color w:val="auto"/>
        </w:rPr>
        <w:t>G.research is a wholly owned subsidiary of MGH. MGH in turn is controlled by AC through an 83% ownership interest. G.research, is a broker-dealer registered under the Securities Exchange Act of 1934, as amended (“1934 Act”), which as a part of its business regularly purchases and sells securities for its own account.</w:t>
      </w:r>
    </w:p>
    <w:p>
      <w:pPr>
        <w:spacing w:after="0" w:line="1" w:lineRule="exact"/>
        <w:rPr>
          <w:rFonts w:ascii="Arial" w:cs="Arial" w:eastAsia="Arial" w:hAnsi="Arial"/>
          <w:sz w:val="21"/>
          <w:szCs w:val="21"/>
          <w:color w:val="auto"/>
        </w:rPr>
      </w:pPr>
    </w:p>
    <w:p>
      <w:pPr>
        <w:ind w:firstLine="1296"/>
        <w:spacing w:after="0" w:line="244" w:lineRule="auto"/>
        <w:rPr>
          <w:rFonts w:ascii="Arial" w:cs="Arial" w:eastAsia="Arial" w:hAnsi="Arial"/>
          <w:sz w:val="21"/>
          <w:szCs w:val="21"/>
          <w:color w:val="auto"/>
        </w:rPr>
      </w:pPr>
      <w:r>
        <w:rPr>
          <w:rFonts w:ascii="Arial" w:cs="Arial" w:eastAsia="Arial" w:hAnsi="Arial"/>
          <w:sz w:val="20"/>
          <w:szCs w:val="20"/>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32"/>
          <w:szCs w:val="32"/>
          <w:color w:val="auto"/>
          <w:vertAlign w:val="superscript"/>
        </w:rPr>
        <w:t>Rx</w:t>
      </w:r>
      <w:r>
        <w:rPr>
          <w:rFonts w:ascii="Arial" w:cs="Arial" w:eastAsia="Arial" w:hAnsi="Arial"/>
          <w:sz w:val="20"/>
          <w:szCs w:val="20"/>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6" w:lineRule="exact"/>
        <w:rPr>
          <w:rFonts w:ascii="Arial" w:cs="Arial" w:eastAsia="Arial" w:hAnsi="Arial"/>
          <w:sz w:val="21"/>
          <w:szCs w:val="21"/>
          <w:color w:val="auto"/>
        </w:rPr>
      </w:pPr>
    </w:p>
    <w:p>
      <w:pPr>
        <w:ind w:right="60" w:firstLine="1296"/>
        <w:spacing w:after="0" w:line="202" w:lineRule="auto"/>
        <w:rPr>
          <w:rFonts w:ascii="Arial" w:cs="Arial" w:eastAsia="Arial" w:hAnsi="Arial"/>
          <w:sz w:val="21"/>
          <w:szCs w:val="21"/>
          <w:color w:val="auto"/>
        </w:rPr>
      </w:pPr>
      <w:r>
        <w:rPr>
          <w:rFonts w:ascii="Arial" w:cs="Arial" w:eastAsia="Arial" w:hAnsi="Arial"/>
          <w:sz w:val="21"/>
          <w:szCs w:val="21"/>
          <w:color w:val="auto"/>
        </w:rPr>
        <w:t>Teton Advisors, an investment adviser registered under the Advisers Act, provides discretionary advisory services to The TETON Westwood Mighty Mites</w:t>
      </w:r>
      <w:r>
        <w:rPr>
          <w:rFonts w:ascii="Arial" w:cs="Arial" w:eastAsia="Arial" w:hAnsi="Arial"/>
          <w:sz w:val="33"/>
          <w:szCs w:val="33"/>
          <w:color w:val="auto"/>
          <w:vertAlign w:val="superscript"/>
        </w:rPr>
        <w:t>sm</w:t>
      </w:r>
      <w:r>
        <w:rPr>
          <w:rFonts w:ascii="Arial" w:cs="Arial" w:eastAsia="Arial" w:hAnsi="Arial"/>
          <w:sz w:val="21"/>
          <w:szCs w:val="21"/>
          <w:color w:val="auto"/>
        </w:rPr>
        <w:t xml:space="preserve"> Fund, The TETON Westwood Income Fund, The TETON Westwood SmallCap Equity Fund, TETON Westwood Intermediate Bond Fund, and The TETON Westwood Mid-Cap Equity Fund.</w:t>
      </w:r>
    </w:p>
    <w:p>
      <w:pPr>
        <w:spacing w:after="0" w:line="3" w:lineRule="exact"/>
        <w:rPr>
          <w:rFonts w:ascii="Arial" w:cs="Arial" w:eastAsia="Arial" w:hAnsi="Arial"/>
          <w:sz w:val="21"/>
          <w:szCs w:val="21"/>
          <w:color w:val="auto"/>
        </w:rPr>
      </w:pPr>
    </w:p>
    <w:p>
      <w:pPr>
        <w:ind w:right="120" w:firstLine="1296"/>
        <w:spacing w:after="0" w:line="287" w:lineRule="auto"/>
        <w:rPr>
          <w:rFonts w:ascii="Arial" w:cs="Arial" w:eastAsia="Arial" w:hAnsi="Arial"/>
          <w:sz w:val="21"/>
          <w:szCs w:val="21"/>
          <w:color w:val="auto"/>
        </w:rPr>
      </w:pPr>
      <w:r>
        <w:rPr>
          <w:rFonts w:ascii="Arial" w:cs="Arial" w:eastAsia="Arial" w:hAnsi="Arial"/>
          <w:sz w:val="19"/>
          <w:szCs w:val="19"/>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ectPr>
          <w:pgSz w:w="11900" w:h="16915" w:orient="portrait"/>
          <w:cols w:equalWidth="0" w:num="1">
            <w:col w:w="11220"/>
          </w:cols>
          <w:pgMar w:left="320" w:top="89" w:right="359" w:bottom="0" w:gutter="0" w:footer="0" w:header="0"/>
        </w:sectPr>
      </w:pPr>
    </w:p>
    <w:bookmarkStart w:id="9" w:name="page10"/>
    <w:bookmarkEnd w:id="9"/>
    <w:p>
      <w:pPr>
        <w:ind w:right="120" w:firstLine="1296"/>
        <w:spacing w:after="0" w:line="239" w:lineRule="auto"/>
        <w:rPr>
          <w:sz w:val="20"/>
          <w:szCs w:val="20"/>
          <w:color w:val="auto"/>
        </w:rPr>
      </w:pPr>
      <w:r>
        <w:rPr>
          <w:rFonts w:ascii="Arial" w:cs="Arial" w:eastAsia="Arial" w:hAnsi="Arial"/>
          <w:sz w:val="22"/>
          <w:szCs w:val="22"/>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firstLine="1296"/>
        <w:spacing w:after="0" w:line="266" w:lineRule="auto"/>
        <w:rPr>
          <w:sz w:val="20"/>
          <w:szCs w:val="20"/>
          <w:color w:val="auto"/>
        </w:rPr>
      </w:pPr>
      <w:r>
        <w:rPr>
          <w:rFonts w:ascii="Arial" w:cs="Arial" w:eastAsia="Arial" w:hAnsi="Arial"/>
          <w:sz w:val="19"/>
          <w:szCs w:val="19"/>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3"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9"/>
          <w:szCs w:val="19"/>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3" w:lineRule="exact"/>
        <w:rPr>
          <w:sz w:val="20"/>
          <w:szCs w:val="20"/>
          <w:color w:val="auto"/>
        </w:rPr>
      </w:pPr>
    </w:p>
    <w:p>
      <w:pPr>
        <w:ind w:right="220" w:firstLine="1296"/>
        <w:spacing w:after="0" w:line="230" w:lineRule="auto"/>
        <w:rPr>
          <w:sz w:val="20"/>
          <w:szCs w:val="20"/>
          <w:color w:val="auto"/>
        </w:rPr>
      </w:pPr>
      <w:r>
        <w:rPr>
          <w:rFonts w:ascii="Arial" w:cs="Arial" w:eastAsia="Arial" w:hAnsi="Arial"/>
          <w:sz w:val="22"/>
          <w:szCs w:val="22"/>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line="232" w:lineRule="auto"/>
        <w:rPr>
          <w:sz w:val="20"/>
          <w:szCs w:val="20"/>
          <w:color w:val="auto"/>
        </w:rPr>
      </w:pPr>
      <w:r>
        <w:rPr>
          <w:rFonts w:ascii="Arial" w:cs="Arial" w:eastAsia="Arial" w:hAnsi="Arial"/>
          <w:sz w:val="22"/>
          <w:szCs w:val="22"/>
          <w:color w:val="auto"/>
        </w:rPr>
        <w:t>The Reporting Persons do not admit that they constitute a group.</w:t>
      </w:r>
    </w:p>
    <w:p>
      <w:pPr>
        <w:ind w:right="20" w:firstLine="1296"/>
        <w:spacing w:after="0" w:line="241" w:lineRule="auto"/>
        <w:rPr>
          <w:sz w:val="20"/>
          <w:szCs w:val="20"/>
          <w:color w:val="auto"/>
        </w:rPr>
      </w:pPr>
      <w:r>
        <w:rPr>
          <w:rFonts w:ascii="Arial" w:cs="Arial" w:eastAsia="Arial" w:hAnsi="Arial"/>
          <w:sz w:val="21"/>
          <w:szCs w:val="21"/>
          <w:color w:val="auto"/>
        </w:rPr>
        <w:t>GAMCO is a New York corporation and GBL, MGH and Teton Advisors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6" w:lineRule="exact"/>
        <w:rPr>
          <w:sz w:val="20"/>
          <w:szCs w:val="20"/>
          <w:color w:val="auto"/>
        </w:rPr>
      </w:pPr>
    </w:p>
    <w:p>
      <w:pPr>
        <w:ind w:right="40" w:firstLine="1296"/>
        <w:spacing w:after="0" w:line="230" w:lineRule="auto"/>
        <w:rPr>
          <w:sz w:val="20"/>
          <w:szCs w:val="20"/>
          <w:color w:val="auto"/>
        </w:rPr>
      </w:pPr>
      <w:r>
        <w:rPr>
          <w:rFonts w:ascii="Arial" w:cs="Arial" w:eastAsia="Arial" w:hAnsi="Arial"/>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00" w:hanging="296"/>
        <w:spacing w:after="0" w:line="232" w:lineRule="auto"/>
        <w:tabs>
          <w:tab w:leader="none" w:pos="16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Not applicable.</w:t>
      </w:r>
    </w:p>
    <w:p>
      <w:pPr>
        <w:ind w:left="1600" w:hanging="296"/>
        <w:spacing w:after="0" w:line="230" w:lineRule="auto"/>
        <w:tabs>
          <w:tab w:leader="none" w:pos="16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Not applicable.</w:t>
      </w:r>
    </w:p>
    <w:p>
      <w:pPr>
        <w:ind w:left="1580" w:hanging="276"/>
        <w:spacing w:after="0"/>
        <w:tabs>
          <w:tab w:leader="none" w:pos="15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Reference is made to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5.</w:t>
            </w:r>
          </w:p>
        </w:tc>
        <w:tc>
          <w:tcPr>
            <w:tcW w:w="1600" w:type="dxa"/>
            <w:vAlign w:val="bottom"/>
          </w:tcPr>
          <w:p>
            <w:pPr>
              <w:spacing w:after="0"/>
              <w:rPr>
                <w:sz w:val="21"/>
                <w:szCs w:val="21"/>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Interest In Securities Of The Issuer</w:t>
            </w:r>
          </w:p>
        </w:tc>
        <w:tc>
          <w:tcPr>
            <w:tcW w:w="132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5960" w:type="dxa"/>
            <w:vAlign w:val="bottom"/>
            <w:gridSpan w:val="3"/>
          </w:tcPr>
          <w:p>
            <w:pPr>
              <w:ind w:left="340"/>
              <w:spacing w:after="0"/>
              <w:rPr>
                <w:sz w:val="20"/>
                <w:szCs w:val="20"/>
                <w:color w:val="auto"/>
              </w:rPr>
            </w:pPr>
            <w:r>
              <w:rPr>
                <w:rFonts w:ascii="Arial" w:cs="Arial" w:eastAsia="Arial" w:hAnsi="Arial"/>
                <w:sz w:val="22"/>
                <w:szCs w:val="22"/>
                <w:color w:val="auto"/>
                <w:w w:val="88"/>
              </w:rPr>
              <w:t>Item 5 to Schedule 13D is amended, in pertinent part, as follows:</w:t>
            </w:r>
          </w:p>
        </w:tc>
      </w:tr>
    </w:tbl>
    <w:p>
      <w:pPr>
        <w:ind w:right="60" w:firstLine="1304"/>
        <w:spacing w:after="0" w:line="243" w:lineRule="auto"/>
        <w:tabs>
          <w:tab w:leader="none" w:pos="159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aggregate number of Securities to which this Schedule 13D relates is 670,935 shares, representing 12.39% of the 5,415,926 shares outstanding as reported by the Issuer in its most recently filed Form 10-Q for the quarterly period ended January 31, 2020. The Reporting Persons beneficially own those Securities as follows:</w:t>
      </w:r>
    </w:p>
    <w:tbl>
      <w:tblPr>
        <w:tblLayout w:type="fixed"/>
        <w:tblInd w:w="0" w:type="dxa"/>
        <w:tblCellMar>
          <w:top w:w="0" w:type="dxa"/>
          <w:left w:w="0" w:type="dxa"/>
          <w:bottom w:w="0" w:type="dxa"/>
          <w:right w:w="0" w:type="dxa"/>
        </w:tblCellMar>
      </w:tblPr>
      <w:tr>
        <w:trPr>
          <w:trHeight w:val="201"/>
        </w:trPr>
        <w:tc>
          <w:tcPr>
            <w:tcW w:w="3240" w:type="dxa"/>
            <w:vAlign w:val="bottom"/>
          </w:tcPr>
          <w:p>
            <w:pPr>
              <w:spacing w:after="0"/>
              <w:rPr>
                <w:sz w:val="17"/>
                <w:szCs w:val="17"/>
                <w:color w:val="auto"/>
              </w:rPr>
            </w:pPr>
          </w:p>
        </w:tc>
        <w:tc>
          <w:tcPr>
            <w:tcW w:w="4420" w:type="dxa"/>
            <w:vAlign w:val="bottom"/>
          </w:tcPr>
          <w:p>
            <w:pPr>
              <w:jc w:val="center"/>
              <w:ind w:left="850"/>
              <w:spacing w:after="0" w:line="201" w:lineRule="exact"/>
              <w:rPr>
                <w:sz w:val="20"/>
                <w:szCs w:val="20"/>
                <w:color w:val="auto"/>
              </w:rPr>
            </w:pPr>
            <w:r>
              <w:rPr>
                <w:rFonts w:ascii="Arial" w:cs="Arial" w:eastAsia="Arial" w:hAnsi="Arial"/>
                <w:sz w:val="18"/>
                <w:szCs w:val="18"/>
                <w:color w:val="auto"/>
                <w:w w:val="88"/>
              </w:rPr>
              <w:t>Shares of</w:t>
            </w:r>
          </w:p>
        </w:tc>
        <w:tc>
          <w:tcPr>
            <w:tcW w:w="35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2"/>
              </w:rPr>
              <w:t>% of Class of</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jc w:val="center"/>
              <w:ind w:left="850"/>
              <w:spacing w:after="0"/>
              <w:rPr>
                <w:sz w:val="20"/>
                <w:szCs w:val="20"/>
                <w:color w:val="auto"/>
              </w:rPr>
            </w:pPr>
            <w:r>
              <w:rPr>
                <w:rFonts w:ascii="Arial" w:cs="Arial" w:eastAsia="Arial" w:hAnsi="Arial"/>
                <w:sz w:val="18"/>
                <w:szCs w:val="18"/>
                <w:color w:val="auto"/>
                <w:w w:val="90"/>
              </w:rPr>
              <w:t>Common Stock</w:t>
            </w: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4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Gabelli Funds</w:t>
            </w:r>
          </w:p>
        </w:tc>
        <w:tc>
          <w:tcPr>
            <w:tcW w:w="4420" w:type="dxa"/>
            <w:vAlign w:val="bottom"/>
          </w:tcPr>
          <w:p>
            <w:pPr>
              <w:jc w:val="center"/>
              <w:ind w:left="850"/>
              <w:spacing w:after="0"/>
              <w:rPr>
                <w:sz w:val="20"/>
                <w:szCs w:val="20"/>
                <w:color w:val="auto"/>
              </w:rPr>
            </w:pPr>
            <w:r>
              <w:rPr>
                <w:rFonts w:ascii="Arial" w:cs="Arial" w:eastAsia="Arial" w:hAnsi="Arial"/>
                <w:sz w:val="18"/>
                <w:szCs w:val="18"/>
                <w:color w:val="auto"/>
                <w:w w:val="87"/>
              </w:rPr>
              <w:t>98,300</w:t>
            </w: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0"/>
              </w:rPr>
              <w:t>1.82%</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GAMCO</w:t>
            </w:r>
          </w:p>
        </w:tc>
        <w:tc>
          <w:tcPr>
            <w:tcW w:w="4420" w:type="dxa"/>
            <w:vAlign w:val="bottom"/>
          </w:tcPr>
          <w:p>
            <w:pPr>
              <w:jc w:val="center"/>
              <w:ind w:left="850"/>
              <w:spacing w:after="0"/>
              <w:rPr>
                <w:sz w:val="20"/>
                <w:szCs w:val="20"/>
                <w:color w:val="auto"/>
              </w:rPr>
            </w:pPr>
            <w:r>
              <w:rPr>
                <w:rFonts w:ascii="Arial" w:cs="Arial" w:eastAsia="Arial" w:hAnsi="Arial"/>
                <w:sz w:val="18"/>
                <w:szCs w:val="18"/>
                <w:color w:val="auto"/>
                <w:w w:val="92"/>
              </w:rPr>
              <w:t>517,135</w:t>
            </w: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0"/>
              </w:rPr>
              <w:t>9.55%</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Teton Advisors</w:t>
            </w:r>
          </w:p>
        </w:tc>
        <w:tc>
          <w:tcPr>
            <w:tcW w:w="4420" w:type="dxa"/>
            <w:vAlign w:val="bottom"/>
          </w:tcPr>
          <w:p>
            <w:pPr>
              <w:jc w:val="center"/>
              <w:ind w:left="850"/>
              <w:spacing w:after="0"/>
              <w:rPr>
                <w:sz w:val="20"/>
                <w:szCs w:val="20"/>
                <w:color w:val="auto"/>
              </w:rPr>
            </w:pPr>
            <w:r>
              <w:rPr>
                <w:rFonts w:ascii="Arial" w:cs="Arial" w:eastAsia="Arial" w:hAnsi="Arial"/>
                <w:sz w:val="18"/>
                <w:szCs w:val="18"/>
                <w:color w:val="auto"/>
                <w:w w:val="87"/>
              </w:rPr>
              <w:t>54,000</w:t>
            </w: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0"/>
              </w:rPr>
              <w:t>1.00%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AC</w:t>
            </w:r>
          </w:p>
        </w:tc>
        <w:tc>
          <w:tcPr>
            <w:tcW w:w="4420" w:type="dxa"/>
            <w:vAlign w:val="bottom"/>
          </w:tcPr>
          <w:p>
            <w:pPr>
              <w:jc w:val="center"/>
              <w:ind w:left="850"/>
              <w:spacing w:after="0"/>
              <w:rPr>
                <w:sz w:val="20"/>
                <w:szCs w:val="20"/>
                <w:color w:val="auto"/>
              </w:rPr>
            </w:pPr>
            <w:r>
              <w:rPr>
                <w:rFonts w:ascii="Arial" w:cs="Arial" w:eastAsia="Arial" w:hAnsi="Arial"/>
                <w:sz w:val="18"/>
                <w:szCs w:val="18"/>
                <w:color w:val="auto"/>
                <w:w w:val="88"/>
              </w:rPr>
              <w:t>1,500</w:t>
            </w: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0"/>
              </w:rPr>
              <w:t>0.03%</w:t>
            </w:r>
          </w:p>
        </w:tc>
      </w:tr>
    </w:tbl>
    <w:p>
      <w:pPr>
        <w:spacing w:after="0" w:line="222" w:lineRule="exact"/>
        <w:rPr>
          <w:sz w:val="20"/>
          <w:szCs w:val="20"/>
          <w:color w:val="auto"/>
        </w:rPr>
      </w:pPr>
    </w:p>
    <w:p>
      <w:pPr>
        <w:ind w:right="100" w:firstLine="1296"/>
        <w:spacing w:after="0" w:line="234" w:lineRule="auto"/>
        <w:rPr>
          <w:sz w:val="20"/>
          <w:szCs w:val="20"/>
          <w:color w:val="auto"/>
        </w:rPr>
      </w:pPr>
      <w:r>
        <w:rPr>
          <w:rFonts w:ascii="Arial" w:cs="Arial" w:eastAsia="Arial" w:hAnsi="Arial"/>
          <w:sz w:val="22"/>
          <w:szCs w:val="22"/>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spacing w:after="0" w:line="3" w:lineRule="exact"/>
        <w:rPr>
          <w:sz w:val="20"/>
          <w:szCs w:val="20"/>
          <w:color w:val="auto"/>
        </w:rPr>
      </w:pPr>
    </w:p>
    <w:p>
      <w:pPr>
        <w:jc w:val="both"/>
        <w:ind w:right="240" w:firstLine="1304"/>
        <w:spacing w:after="0" w:line="266" w:lineRule="auto"/>
        <w:tabs>
          <w:tab w:leader="none" w:pos="1602" w:val="left"/>
        </w:tabs>
        <w:numPr>
          <w:ilvl w:val="0"/>
          <w:numId w:val="48"/>
        </w:numPr>
        <w:rPr>
          <w:rFonts w:ascii="Arial" w:cs="Arial" w:eastAsia="Arial" w:hAnsi="Arial"/>
          <w:sz w:val="19"/>
          <w:szCs w:val="19"/>
          <w:color w:val="auto"/>
        </w:rPr>
      </w:pPr>
      <w:r>
        <w:rPr>
          <w:rFonts w:ascii="Arial" w:cs="Arial" w:eastAsia="Arial" w:hAnsi="Arial"/>
          <w:sz w:val="19"/>
          <w:szCs w:val="19"/>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29,700 of</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5" w:lineRule="exact"/>
        <w:rPr>
          <w:sz w:val="20"/>
          <w:szCs w:val="20"/>
          <w:color w:val="auto"/>
        </w:rPr>
      </w:pPr>
    </w:p>
    <w:p>
      <w:pPr>
        <w:ind w:right="180" w:firstLine="1304"/>
        <w:spacing w:after="0" w:line="230" w:lineRule="auto"/>
        <w:tabs>
          <w:tab w:leader="none" w:pos="15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22"/>
          <w:szCs w:val="22"/>
          <w:color w:val="auto"/>
        </w:rPr>
      </w:pPr>
    </w:p>
    <w:p>
      <w:pPr>
        <w:ind w:left="1600" w:hanging="296"/>
        <w:spacing w:after="0"/>
        <w:tabs>
          <w:tab w:leader="none" w:pos="16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Signature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w:t>
      </w:r>
    </w:p>
    <w:p>
      <w:pPr>
        <w:spacing w:after="0" w:line="231" w:lineRule="auto"/>
        <w:rPr>
          <w:sz w:val="20"/>
          <w:szCs w:val="20"/>
          <w:color w:val="auto"/>
        </w:rPr>
      </w:pPr>
      <w:r>
        <w:rPr>
          <w:rFonts w:ascii="Arial" w:cs="Arial" w:eastAsia="Arial" w:hAnsi="Arial"/>
          <w:sz w:val="22"/>
          <w:szCs w:val="22"/>
          <w:color w:val="auto"/>
        </w:rPr>
        <w:t>statement is true, complete and correct.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Dated: April 8, 2020</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GGCP,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MARIO J. GABELLI</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TETON ADVISORS,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GABELLI FUNDS, LLC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spacing w:after="0" w:line="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David Goldman</w:t>
      </w:r>
    </w:p>
    <w:p>
      <w:pPr>
        <w:jc w:val="center"/>
        <w:ind w:right="160"/>
        <w:spacing w:after="0"/>
        <w:rPr>
          <w:sz w:val="20"/>
          <w:szCs w:val="20"/>
          <w:color w:val="auto"/>
        </w:rPr>
      </w:pPr>
      <w:r>
        <w:rPr>
          <w:rFonts w:ascii="Arial" w:cs="Arial" w:eastAsia="Arial" w:hAnsi="Arial"/>
          <w:sz w:val="18"/>
          <w:szCs w:val="18"/>
          <w:color w:val="auto"/>
        </w:rPr>
        <w:t>General Counsel – Teton Advisors, Inc</w:t>
      </w:r>
      <w:r>
        <w:rPr>
          <w:rFonts w:ascii="Arial" w:cs="Arial" w:eastAsia="Arial" w:hAnsi="Arial"/>
          <w:sz w:val="18"/>
          <w:szCs w:val="18"/>
          <w:b w:val="1"/>
          <w:bCs w:val="1"/>
          <w:color w:val="auto"/>
        </w:rPr>
        <w:t>.</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&amp; Gabelli Funds,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Kevin Handwerker</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Kevin Handwerker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General Counsel &amp; Secretary – GAMCO Investors,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ASSOCIATED CAPITAL GROUP,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GAMCO ASSET MANAGEMENT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R. Jamieson</w:t>
      </w:r>
    </w:p>
    <w:p>
      <w:pPr>
        <w:ind w:left="4160"/>
        <w:spacing w:after="0" w:line="238" w:lineRule="auto"/>
        <w:rPr>
          <w:sz w:val="20"/>
          <w:szCs w:val="20"/>
          <w:color w:val="auto"/>
        </w:rPr>
      </w:pPr>
      <w:r>
        <w:rPr>
          <w:rFonts w:ascii="Arial" w:cs="Arial" w:eastAsia="Arial" w:hAnsi="Arial"/>
          <w:sz w:val="22"/>
          <w:szCs w:val="22"/>
          <w:color w:val="auto"/>
        </w:rPr>
        <w:t>Douglas R. Jamieson</w:t>
      </w:r>
    </w:p>
    <w:p>
      <w:pPr>
        <w:ind w:left="4320"/>
        <w:spacing w:after="0" w:line="230" w:lineRule="auto"/>
        <w:rPr>
          <w:sz w:val="20"/>
          <w:szCs w:val="20"/>
          <w:color w:val="auto"/>
        </w:rPr>
      </w:pPr>
      <w:r>
        <w:rPr>
          <w:rFonts w:ascii="Arial" w:cs="Arial" w:eastAsia="Arial" w:hAnsi="Arial"/>
          <w:sz w:val="22"/>
          <w:szCs w:val="22"/>
          <w:color w:val="auto"/>
        </w:rPr>
        <w:t>President &amp; Chief Executive Officer – Associated Capital</w:t>
      </w:r>
    </w:p>
    <w:p>
      <w:pPr>
        <w:ind w:left="4540"/>
        <w:spacing w:after="0" w:line="231" w:lineRule="auto"/>
        <w:rPr>
          <w:sz w:val="20"/>
          <w:szCs w:val="20"/>
          <w:color w:val="auto"/>
        </w:rPr>
      </w:pPr>
      <w:r>
        <w:rPr>
          <w:rFonts w:ascii="Arial" w:cs="Arial" w:eastAsia="Arial" w:hAnsi="Arial"/>
          <w:sz w:val="22"/>
          <w:szCs w:val="22"/>
          <w:color w:val="auto"/>
        </w:rPr>
        <w:t>Group, Inc.</w:t>
      </w:r>
    </w:p>
    <w:p>
      <w:pPr>
        <w:ind w:left="4220"/>
        <w:spacing w:after="0"/>
        <w:rPr>
          <w:sz w:val="20"/>
          <w:szCs w:val="20"/>
          <w:color w:val="auto"/>
        </w:rPr>
      </w:pPr>
      <w:r>
        <w:rPr>
          <w:rFonts w:ascii="Arial" w:cs="Arial" w:eastAsia="Arial" w:hAnsi="Arial"/>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ind w:left="5320"/>
        <w:spacing w:after="0"/>
        <w:rPr>
          <w:sz w:val="20"/>
          <w:szCs w:val="20"/>
          <w:color w:val="auto"/>
        </w:rPr>
      </w:pPr>
      <w:r>
        <w:rPr>
          <w:rFonts w:ascii="Arial" w:cs="Arial" w:eastAsia="Arial" w:hAnsi="Arial"/>
          <w:sz w:val="22"/>
          <w:szCs w:val="22"/>
          <w:color w:val="auto"/>
        </w:rPr>
        <w:t>Schedule I</w:t>
      </w:r>
    </w:p>
    <w:p>
      <w:pPr>
        <w:ind w:left="2880"/>
        <w:spacing w:after="0" w:line="238" w:lineRule="auto"/>
        <w:rPr>
          <w:sz w:val="20"/>
          <w:szCs w:val="20"/>
          <w:color w:val="auto"/>
        </w:rPr>
      </w:pPr>
      <w:r>
        <w:rPr>
          <w:rFonts w:ascii="Arial" w:cs="Arial" w:eastAsia="Arial" w:hAnsi="Arial"/>
          <w:sz w:val="22"/>
          <w:szCs w:val="22"/>
          <w:color w:val="auto"/>
        </w:rPr>
        <w:t>Information with Respect to Executive</w:t>
      </w:r>
    </w:p>
    <w:p>
      <w:pPr>
        <w:ind w:left="3800"/>
        <w:spacing w:after="0" w:line="230" w:lineRule="auto"/>
        <w:rPr>
          <w:sz w:val="20"/>
          <w:szCs w:val="20"/>
          <w:color w:val="auto"/>
        </w:rPr>
      </w:pPr>
      <w:r>
        <w:rPr>
          <w:rFonts w:ascii="Arial" w:cs="Arial" w:eastAsia="Arial" w:hAnsi="Arial"/>
          <w:sz w:val="22"/>
          <w:szCs w:val="22"/>
          <w:u w:val="single" w:color="auto"/>
          <w:color w:val="auto"/>
        </w:rPr>
        <w:t>Officers and Directors of the Undersigned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Schedule I to Schedule 13D is amended, in pertinent part, as follows:</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771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680"/>
              <w:spacing w:after="0"/>
              <w:rPr>
                <w:sz w:val="20"/>
                <w:szCs w:val="20"/>
                <w:color w:val="auto"/>
              </w:rPr>
            </w:pPr>
            <w:r>
              <w:rPr>
                <w:rFonts w:ascii="Arial" w:cs="Arial" w:eastAsia="Arial" w:hAnsi="Arial"/>
                <w:sz w:val="18"/>
                <w:szCs w:val="18"/>
                <w:color w:val="auto"/>
              </w:rPr>
              <w:t>Edwin L. Artzt</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Procter &amp; Gamble Company</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900 Adams Crossing</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Cincinnati, OH 45202</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E.L. Wiegand Foundation</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165 West Liberty Street</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Reno, NV 89501</w:t>
            </w:r>
          </w:p>
        </w:tc>
      </w:tr>
      <w:tr>
        <w:trPr>
          <w:trHeight w:val="418"/>
        </w:trPr>
        <w:tc>
          <w:tcPr>
            <w:tcW w:w="316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Operating Partner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AE Industrial Partners, LP</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2500 N. Military Trail, Suite 470</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Boca Raton, FL 33431</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18"/>
        </w:trPr>
        <w:tc>
          <w:tcPr>
            <w:tcW w:w="3160" w:type="dxa"/>
            <w:vAlign w:val="bottom"/>
          </w:tcPr>
          <w:p>
            <w:pPr>
              <w:spacing w:after="0"/>
              <w:rPr>
                <w:sz w:val="24"/>
                <w:szCs w:val="24"/>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c/o GAMCO Investors, Inc.</w:t>
            </w:r>
          </w:p>
        </w:tc>
      </w:tr>
      <w:tr>
        <w:trPr>
          <w:trHeight w:val="216"/>
        </w:trPr>
        <w:tc>
          <w:tcPr>
            <w:tcW w:w="316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One Corporate Center</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Rye, NY 10580</w:t>
            </w:r>
          </w:p>
        </w:tc>
      </w:tr>
      <w:tr>
        <w:trPr>
          <w:trHeight w:val="418"/>
        </w:trPr>
        <w:tc>
          <w:tcPr>
            <w:tcW w:w="3160" w:type="dxa"/>
            <w:vAlign w:val="bottom"/>
          </w:tcPr>
          <w:p>
            <w:pPr>
              <w:ind w:left="680"/>
              <w:spacing w:after="0"/>
              <w:rPr>
                <w:sz w:val="20"/>
                <w:szCs w:val="20"/>
                <w:color w:val="auto"/>
              </w:rPr>
            </w:pPr>
            <w:r>
              <w:rPr>
                <w:rFonts w:ascii="Arial" w:cs="Arial" w:eastAsia="Arial" w:hAnsi="Arial"/>
                <w:sz w:val="18"/>
                <w:szCs w:val="18"/>
                <w:color w:val="auto"/>
              </w:rPr>
              <w:t>Eugene R. McGrath</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Consolidated Edison,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4 Irving Place</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New York, NY 10003</w:t>
            </w:r>
          </w:p>
        </w:tc>
      </w:tr>
      <w:tr>
        <w:trPr>
          <w:trHeight w:val="418"/>
        </w:trPr>
        <w:tc>
          <w:tcPr>
            <w:tcW w:w="316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Heartland Media, LLC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1843 West Wesley Road</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Atlanta, GA 30327</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Henry G. Van der Eb</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Agnes Mullady</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Accounting Officer</w:t>
            </w:r>
          </w:p>
        </w:tc>
      </w:tr>
      <w:tr>
        <w:trPr>
          <w:trHeight w:val="850"/>
        </w:trPr>
        <w:tc>
          <w:tcPr>
            <w:tcW w:w="316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Directors: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r>
      <w:tr>
        <w:trPr>
          <w:trHeight w:val="202"/>
        </w:trPr>
        <w:tc>
          <w:tcPr>
            <w:tcW w:w="316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7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16"/>
        </w:trPr>
        <w:tc>
          <w:tcPr>
            <w:tcW w:w="316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 and Chief Investment Officer – Value Portfolios</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President, Chief Operating Officer and Managing Director</w:t>
            </w:r>
          </w:p>
        </w:tc>
      </w:tr>
      <w:tr>
        <w:trPr>
          <w:trHeight w:val="432"/>
        </w:trPr>
        <w:tc>
          <w:tcPr>
            <w:tcW w:w="31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General Counsel, Secretary &amp; Chief Compliance Officer</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Gabelli Funds, LLC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7100" w:type="dxa"/>
            <w:vAlign w:val="bottom"/>
            <w:gridSpan w:val="2"/>
          </w:tcPr>
          <w:p>
            <w:pPr>
              <w:spacing w:after="0"/>
              <w:rPr>
                <w:sz w:val="19"/>
                <w:szCs w:val="19"/>
                <w:color w:val="auto"/>
              </w:rPr>
            </w:pPr>
          </w:p>
        </w:tc>
      </w:tr>
      <w:tr>
        <w:trPr>
          <w:trHeight w:val="230"/>
        </w:trPr>
        <w:tc>
          <w:tcPr>
            <w:tcW w:w="31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740" w:type="dxa"/>
            <w:vAlign w:val="bottom"/>
            <w:tcBorders>
              <w:top w:val="single" w:sz="8" w:color="auto"/>
            </w:tcBorders>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Investment Officer – Value Portfolios</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Executive Vice President and Chief Operating Officer</w:t>
            </w:r>
          </w:p>
        </w:tc>
      </w:tr>
    </w:tbl>
    <w:p>
      <w:pPr>
        <w:sectPr>
          <w:pgSz w:w="11900" w:h="16838" w:orient="portrait"/>
          <w:cols w:equalWidth="0" w:num="1">
            <w:col w:w="10260"/>
          </w:cols>
          <w:pgMar w:left="320" w:top="854" w:right="13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8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8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634"/>
        </w:trPr>
        <w:tc>
          <w:tcPr>
            <w:tcW w:w="3020" w:type="dxa"/>
            <w:vAlign w:val="bottom"/>
          </w:tcPr>
          <w:p>
            <w:pPr>
              <w:spacing w:after="0"/>
              <w:rPr>
                <w:sz w:val="20"/>
                <w:szCs w:val="20"/>
                <w:color w:val="auto"/>
              </w:rPr>
            </w:pPr>
            <w:r>
              <w:rPr>
                <w:rFonts w:ascii="Arial" w:cs="Arial" w:eastAsia="Arial" w:hAnsi="Arial"/>
                <w:sz w:val="18"/>
                <w:szCs w:val="18"/>
                <w:color w:val="auto"/>
              </w:rPr>
              <w:t>Gabelli Foundation, Inc.</w:t>
            </w:r>
          </w:p>
        </w:tc>
        <w:tc>
          <w:tcPr>
            <w:tcW w:w="8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860" w:type="dxa"/>
            <w:vAlign w:val="bottom"/>
            <w:tcBorders>
              <w:bottom w:val="single" w:sz="8" w:color="auto"/>
            </w:tcBorders>
          </w:tcPr>
          <w:p>
            <w:pPr>
              <w:spacing w:after="0"/>
              <w:rPr>
                <w:sz w:val="20"/>
                <w:szCs w:val="20"/>
                <w:color w:val="auto"/>
              </w:rPr>
            </w:pPr>
          </w:p>
        </w:tc>
        <w:tc>
          <w:tcPr>
            <w:tcW w:w="4760" w:type="dxa"/>
            <w:vAlign w:val="bottom"/>
          </w:tcPr>
          <w:p>
            <w:pPr>
              <w:spacing w:after="0"/>
              <w:rPr>
                <w:sz w:val="20"/>
                <w:szCs w:val="20"/>
                <w:color w:val="auto"/>
              </w:rPr>
            </w:pPr>
          </w:p>
        </w:tc>
      </w:tr>
      <w:tr>
        <w:trPr>
          <w:trHeight w:val="230"/>
        </w:trPr>
        <w:tc>
          <w:tcPr>
            <w:tcW w:w="302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02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President</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 w:name="page16"/>
    <w:bookmarkEnd w:id="1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89"/>
        </w:trPr>
        <w:tc>
          <w:tcPr>
            <w:tcW w:w="404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r>
      <w:tr>
        <w:trPr>
          <w:trHeight w:val="432"/>
        </w:trPr>
        <w:tc>
          <w:tcPr>
            <w:tcW w:w="404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04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04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04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9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04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040" w:type="dxa"/>
            <w:vAlign w:val="bottom"/>
          </w:tcPr>
          <w:p>
            <w:pPr>
              <w:ind w:left="640"/>
              <w:spacing w:after="0"/>
              <w:rPr>
                <w:sz w:val="20"/>
                <w:szCs w:val="20"/>
                <w:color w:val="auto"/>
              </w:rPr>
            </w:pPr>
            <w:r>
              <w:rPr>
                <w:rFonts w:ascii="Arial" w:cs="Arial" w:eastAsia="Arial" w:hAnsi="Arial"/>
                <w:sz w:val="18"/>
                <w:szCs w:val="18"/>
                <w:color w:val="auto"/>
              </w:rPr>
              <w:t>Silvio A. Berni</w:t>
            </w: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Chief Financial and Accounting Officer, Vice President Corporate Development and Controller,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04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90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0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16" w:name="page17"/>
    <w:bookmarkEnd w:id="16"/>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18"/>
        </w:trPr>
        <w:tc>
          <w:tcPr>
            <w:tcW w:w="404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4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 – Mittleman Brothers,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4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4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John M. Tesoro, CPA</w:t>
            </w:r>
          </w:p>
        </w:tc>
        <w:tc>
          <w:tcPr>
            <w:tcW w:w="4640" w:type="dxa"/>
            <w:vAlign w:val="bottom"/>
          </w:tcPr>
          <w:p>
            <w:pPr>
              <w:spacing w:after="0"/>
              <w:rPr>
                <w:sz w:val="20"/>
                <w:szCs w:val="20"/>
                <w:color w:val="auto"/>
              </w:rPr>
            </w:pPr>
            <w:r>
              <w:rPr>
                <w:rFonts w:ascii="Arial" w:cs="Arial" w:eastAsia="Arial" w:hAnsi="Arial"/>
                <w:sz w:val="18"/>
                <w:szCs w:val="18"/>
                <w:color w:val="auto"/>
              </w:rPr>
              <w:t>Retired Partner – KPMG LLP</w:t>
            </w:r>
          </w:p>
        </w:tc>
      </w:tr>
      <w:tr>
        <w:trPr>
          <w:trHeight w:val="648"/>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4640" w:type="dxa"/>
            <w:vAlign w:val="bottom"/>
          </w:tcPr>
          <w:p>
            <w:pPr>
              <w:spacing w:after="0"/>
              <w:rPr>
                <w:sz w:val="24"/>
                <w:szCs w:val="24"/>
                <w:color w:val="auto"/>
              </w:rPr>
            </w:pP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Deanna B. Marotz</w:t>
            </w:r>
          </w:p>
        </w:tc>
        <w:tc>
          <w:tcPr>
            <w:tcW w:w="464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62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Broadridge Financial Solutions</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Kenneth D. Masiello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5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Gabelli &amp; Company Investment Advisers, Inc.</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Directors: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Controller</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r>
        <w:trPr>
          <w:trHeight w:val="43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Office of the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Vincent Amabile</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0400"/>
          </w:cols>
          <w:pgMar w:left="320" w:top="1070" w:right="1179" w:bottom="0" w:gutter="0" w:footer="0" w:header="0"/>
        </w:sectPr>
      </w:pPr>
    </w:p>
    <w:bookmarkStart w:id="18" w:name="page19"/>
    <w:bookmarkEnd w:id="18"/>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37"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SCHEDULE II</w:t>
      </w:r>
    </w:p>
    <w:p>
      <w:pPr>
        <w:ind w:left="1520"/>
        <w:spacing w:after="0" w:line="238" w:lineRule="auto"/>
        <w:rPr>
          <w:sz w:val="20"/>
          <w:szCs w:val="20"/>
          <w:color w:val="auto"/>
        </w:rPr>
      </w:pPr>
      <w:r>
        <w:rPr>
          <w:rFonts w:ascii="Arial" w:cs="Arial" w:eastAsia="Arial" w:hAnsi="Arial"/>
          <w:sz w:val="22"/>
          <w:szCs w:val="22"/>
          <w:color w:val="auto"/>
        </w:rPr>
        <w:t>INFORMATION WITH RESPECT TO</w:t>
      </w:r>
    </w:p>
    <w:p>
      <w:pPr>
        <w:ind w:left="920" w:right="2859" w:hanging="3"/>
        <w:spacing w:after="0" w:line="241" w:lineRule="auto"/>
        <w:rPr>
          <w:sz w:val="20"/>
          <w:szCs w:val="20"/>
          <w:color w:val="auto"/>
        </w:rPr>
      </w:pPr>
      <w:r>
        <w:rPr>
          <w:rFonts w:ascii="Arial" w:cs="Arial" w:eastAsia="Arial" w:hAnsi="Arial"/>
          <w:sz w:val="21"/>
          <w:szCs w:val="21"/>
          <w:color w:val="auto"/>
        </w:rPr>
        <w:t>TRANSACTIONS EFFECTED DURING THE PAST SIXTY DAYS OR SINCE THE MOST RECENT FILING ON SCHEDULE 13D (1)</w:t>
      </w:r>
    </w:p>
    <w:tbl>
      <w:tblPr>
        <w:tblLayout w:type="fixed"/>
        <w:tblInd w:w="60" w:type="dxa"/>
        <w:tblCellMar>
          <w:top w:w="0" w:type="dxa"/>
          <w:left w:w="0" w:type="dxa"/>
          <w:bottom w:w="0" w:type="dxa"/>
          <w:right w:w="0" w:type="dxa"/>
        </w:tblCellMar>
      </w:tblPr>
      <w:tr>
        <w:trPr>
          <w:trHeight w:val="226"/>
        </w:trPr>
        <w:tc>
          <w:tcPr>
            <w:tcW w:w="4400" w:type="dxa"/>
            <w:vAlign w:val="bottom"/>
            <w:gridSpan w:val="3"/>
          </w:tcPr>
          <w:p>
            <w:pPr>
              <w:ind w:left="1840"/>
              <w:spacing w:after="0" w:line="226" w:lineRule="exact"/>
              <w:rPr>
                <w:sz w:val="20"/>
                <w:szCs w:val="20"/>
                <w:color w:val="auto"/>
              </w:rPr>
            </w:pPr>
            <w:r>
              <w:rPr>
                <w:rFonts w:ascii="Arial" w:cs="Arial" w:eastAsia="Arial" w:hAnsi="Arial"/>
                <w:sz w:val="22"/>
                <w:szCs w:val="22"/>
                <w:color w:val="auto"/>
              </w:rPr>
              <w:t>SHARES PURCHASED</w:t>
            </w:r>
          </w:p>
        </w:tc>
        <w:tc>
          <w:tcPr>
            <w:tcW w:w="1160" w:type="dxa"/>
            <w:vAlign w:val="bottom"/>
          </w:tcPr>
          <w:p>
            <w:pPr>
              <w:ind w:left="40"/>
              <w:spacing w:after="0" w:line="226" w:lineRule="exact"/>
              <w:rPr>
                <w:sz w:val="20"/>
                <w:szCs w:val="20"/>
                <w:color w:val="auto"/>
              </w:rPr>
            </w:pPr>
            <w:r>
              <w:rPr>
                <w:rFonts w:ascii="Arial" w:cs="Arial" w:eastAsia="Arial" w:hAnsi="Arial"/>
                <w:sz w:val="22"/>
                <w:szCs w:val="22"/>
                <w:color w:val="auto"/>
              </w:rPr>
              <w:t>AVERAGE</w:t>
            </w:r>
          </w:p>
        </w:tc>
      </w:tr>
      <w:tr>
        <w:trPr>
          <w:trHeight w:val="274"/>
        </w:trPr>
        <w:tc>
          <w:tcPr>
            <w:tcW w:w="2140" w:type="dxa"/>
            <w:vAlign w:val="bottom"/>
          </w:tcPr>
          <w:p>
            <w:pPr>
              <w:ind w:left="1240"/>
              <w:spacing w:after="0"/>
              <w:rPr>
                <w:sz w:val="20"/>
                <w:szCs w:val="20"/>
                <w:color w:val="auto"/>
              </w:rPr>
            </w:pPr>
            <w:r>
              <w:rPr>
                <w:rFonts w:ascii="Arial" w:cs="Arial" w:eastAsia="Arial" w:hAnsi="Arial"/>
                <w:sz w:val="22"/>
                <w:szCs w:val="22"/>
                <w:color w:val="auto"/>
              </w:rPr>
              <w:t>DATE</w:t>
            </w:r>
          </w:p>
        </w:tc>
        <w:tc>
          <w:tcPr>
            <w:tcW w:w="1260" w:type="dxa"/>
            <w:vAlign w:val="bottom"/>
          </w:tcPr>
          <w:p>
            <w:pPr>
              <w:ind w:left="300"/>
              <w:spacing w:after="0"/>
              <w:rPr>
                <w:sz w:val="20"/>
                <w:szCs w:val="20"/>
                <w:color w:val="auto"/>
              </w:rPr>
            </w:pPr>
            <w:r>
              <w:rPr>
                <w:rFonts w:ascii="Arial" w:cs="Arial" w:eastAsia="Arial" w:hAnsi="Arial"/>
                <w:sz w:val="22"/>
                <w:szCs w:val="22"/>
                <w:color w:val="auto"/>
              </w:rPr>
              <w:t>SOLD(-)</w:t>
            </w:r>
          </w:p>
        </w:tc>
        <w:tc>
          <w:tcPr>
            <w:tcW w:w="2160" w:type="dxa"/>
            <w:vAlign w:val="bottom"/>
            <w:gridSpan w:val="2"/>
          </w:tcPr>
          <w:p>
            <w:pPr>
              <w:ind w:left="520"/>
              <w:spacing w:after="0"/>
              <w:rPr>
                <w:sz w:val="20"/>
                <w:szCs w:val="20"/>
                <w:color w:val="auto"/>
              </w:rPr>
            </w:pPr>
            <w:r>
              <w:rPr>
                <w:rFonts w:ascii="Arial" w:cs="Arial" w:eastAsia="Arial" w:hAnsi="Arial"/>
                <w:sz w:val="22"/>
                <w:szCs w:val="22"/>
                <w:color w:val="auto"/>
              </w:rPr>
              <w:t>PRICE(2)</w:t>
            </w:r>
          </w:p>
        </w:tc>
      </w:tr>
      <w:tr>
        <w:trPr>
          <w:trHeight w:val="486"/>
        </w:trPr>
        <w:tc>
          <w:tcPr>
            <w:tcW w:w="5560" w:type="dxa"/>
            <w:vAlign w:val="bottom"/>
            <w:gridSpan w:val="4"/>
          </w:tcPr>
          <w:p>
            <w:pPr>
              <w:spacing w:after="0"/>
              <w:rPr>
                <w:sz w:val="20"/>
                <w:szCs w:val="20"/>
                <w:color w:val="auto"/>
              </w:rPr>
            </w:pPr>
            <w:r>
              <w:rPr>
                <w:rFonts w:ascii="Arial" w:cs="Arial" w:eastAsia="Arial" w:hAnsi="Arial"/>
                <w:sz w:val="22"/>
                <w:szCs w:val="22"/>
                <w:color w:val="auto"/>
                <w:w w:val="94"/>
              </w:rPr>
              <w:t>COMMON STOCK-OIL DRI CORPORATION OF AMERICA</w:t>
            </w:r>
          </w:p>
        </w:tc>
      </w:tr>
      <w:tr>
        <w:trPr>
          <w:trHeight w:val="698"/>
        </w:trPr>
        <w:tc>
          <w:tcPr>
            <w:tcW w:w="4400" w:type="dxa"/>
            <w:vAlign w:val="bottom"/>
            <w:gridSpan w:val="3"/>
          </w:tcPr>
          <w:p>
            <w:pPr>
              <w:ind w:left="480"/>
              <w:spacing w:after="0"/>
              <w:rPr>
                <w:sz w:val="20"/>
                <w:szCs w:val="20"/>
                <w:color w:val="auto"/>
              </w:rPr>
            </w:pPr>
            <w:r>
              <w:rPr>
                <w:rFonts w:ascii="Arial" w:cs="Arial" w:eastAsia="Arial" w:hAnsi="Arial"/>
                <w:sz w:val="22"/>
                <w:szCs w:val="22"/>
                <w:color w:val="auto"/>
              </w:rPr>
              <w:t>GAMCO ASSET MANAGEMENT INC.</w:t>
            </w:r>
          </w:p>
        </w:tc>
        <w:tc>
          <w:tcPr>
            <w:tcW w:w="1160" w:type="dxa"/>
            <w:vAlign w:val="bottom"/>
          </w:tcPr>
          <w:p>
            <w:pPr>
              <w:spacing w:after="0"/>
              <w:rPr>
                <w:sz w:val="24"/>
                <w:szCs w:val="24"/>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3/30/20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32.5633</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32.3728</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3/24/20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31.7000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3/24/20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441-</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32.0255</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3/23/20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359-</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31.3532</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3/20/20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166-</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30.8263</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3/19/20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234-</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31.4946</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3/19/20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90"/>
              </w:rPr>
              <w:t>30.7000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200-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29.9488</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3/03/20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30.8500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2/19/20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265-</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36.5774</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2/13/20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294-</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35.8000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2/11/20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160" w:type="dxa"/>
            <w:vAlign w:val="bottom"/>
          </w:tcPr>
          <w:p>
            <w:pPr>
              <w:spacing w:after="0"/>
              <w:rPr>
                <w:sz w:val="21"/>
                <w:szCs w:val="21"/>
                <w:color w:val="auto"/>
              </w:rPr>
            </w:pPr>
          </w:p>
        </w:tc>
      </w:tr>
      <w:tr>
        <w:trPr>
          <w:trHeight w:val="243"/>
        </w:trPr>
        <w:tc>
          <w:tcPr>
            <w:tcW w:w="340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TETON ADVISORS, INC</w:t>
            </w: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32.7785</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32.8850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4/03/20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32.1020</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4/02/20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32.4979</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32.2239</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3/31/20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32.8796</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3/30/20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32.5924</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32.3923</w:t>
            </w:r>
          </w:p>
        </w:tc>
        <w:tc>
          <w:tcPr>
            <w:tcW w:w="116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3/25/20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32.6283</w:t>
            </w:r>
          </w:p>
        </w:tc>
        <w:tc>
          <w:tcPr>
            <w:tcW w:w="1160" w:type="dxa"/>
            <w:vAlign w:val="bottom"/>
          </w:tcPr>
          <w:p>
            <w:pPr>
              <w:spacing w:after="0"/>
              <w:rPr>
                <w:sz w:val="21"/>
                <w:szCs w:val="21"/>
                <w:color w:val="auto"/>
              </w:rPr>
            </w:pPr>
          </w:p>
        </w:tc>
      </w:tr>
      <w:tr>
        <w:trPr>
          <w:trHeight w:val="243"/>
        </w:trPr>
        <w:tc>
          <w:tcPr>
            <w:tcW w:w="340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GABELLI FUNDS, LLC.</w:t>
            </w: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560" w:type="dxa"/>
            <w:vAlign w:val="bottom"/>
            <w:gridSpan w:val="4"/>
          </w:tcPr>
          <w:p>
            <w:pPr>
              <w:ind w:left="760"/>
              <w:spacing w:after="0" w:line="243" w:lineRule="exact"/>
              <w:rPr>
                <w:sz w:val="20"/>
                <w:szCs w:val="20"/>
                <w:color w:val="auto"/>
              </w:rPr>
            </w:pPr>
            <w:r>
              <w:rPr>
                <w:rFonts w:ascii="Arial" w:cs="Arial" w:eastAsia="Arial" w:hAnsi="Arial"/>
                <w:sz w:val="22"/>
                <w:szCs w:val="22"/>
                <w:color w:val="auto"/>
              </w:rPr>
              <w:t>GABELLI SMALL CAP GROWTH FUND</w:t>
            </w:r>
          </w:p>
        </w:tc>
      </w:tr>
      <w:tr>
        <w:trPr>
          <w:trHeight w:val="274"/>
        </w:trPr>
        <w:tc>
          <w:tcPr>
            <w:tcW w:w="2140" w:type="dxa"/>
            <w:vAlign w:val="bottom"/>
          </w:tcPr>
          <w:p>
            <w:pPr>
              <w:ind w:left="1200"/>
              <w:spacing w:after="0"/>
              <w:rPr>
                <w:sz w:val="20"/>
                <w:szCs w:val="20"/>
                <w:color w:val="auto"/>
              </w:rPr>
            </w:pPr>
            <w:r>
              <w:rPr>
                <w:rFonts w:ascii="Arial" w:cs="Arial" w:eastAsia="Arial" w:hAnsi="Arial"/>
                <w:sz w:val="22"/>
                <w:szCs w:val="22"/>
                <w:color w:val="auto"/>
              </w:rPr>
              <w:t>4/07/20</w:t>
            </w:r>
          </w:p>
        </w:tc>
        <w:tc>
          <w:tcPr>
            <w:tcW w:w="1260" w:type="dxa"/>
            <w:vAlign w:val="bottom"/>
          </w:tcPr>
          <w:p>
            <w:pPr>
              <w:ind w:left="360"/>
              <w:spacing w:after="0"/>
              <w:rPr>
                <w:sz w:val="20"/>
                <w:szCs w:val="20"/>
                <w:color w:val="auto"/>
              </w:rPr>
            </w:pPr>
            <w:r>
              <w:rPr>
                <w:rFonts w:ascii="Arial" w:cs="Arial" w:eastAsia="Arial" w:hAnsi="Arial"/>
                <w:sz w:val="22"/>
                <w:szCs w:val="22"/>
                <w:color w:val="auto"/>
              </w:rPr>
              <w:t>2,000-</w:t>
            </w:r>
          </w:p>
        </w:tc>
        <w:tc>
          <w:tcPr>
            <w:tcW w:w="1000" w:type="dxa"/>
            <w:vAlign w:val="bottom"/>
          </w:tcPr>
          <w:p>
            <w:pPr>
              <w:jc w:val="right"/>
              <w:spacing w:after="0"/>
              <w:rPr>
                <w:sz w:val="20"/>
                <w:szCs w:val="20"/>
                <w:color w:val="auto"/>
              </w:rPr>
            </w:pPr>
            <w:r>
              <w:rPr>
                <w:rFonts w:ascii="Arial" w:cs="Arial" w:eastAsia="Arial" w:hAnsi="Arial"/>
                <w:sz w:val="22"/>
                <w:szCs w:val="22"/>
                <w:color w:val="auto"/>
              </w:rPr>
              <w:t>32.7956</w:t>
            </w:r>
          </w:p>
        </w:tc>
        <w:tc>
          <w:tcPr>
            <w:tcW w:w="1160" w:type="dxa"/>
            <w:vAlign w:val="bottom"/>
          </w:tcPr>
          <w:p>
            <w:pPr>
              <w:spacing w:after="0"/>
              <w:rPr>
                <w:sz w:val="23"/>
                <w:szCs w:val="23"/>
                <w:color w:val="auto"/>
              </w:rPr>
            </w:pPr>
          </w:p>
        </w:tc>
      </w:tr>
    </w:tbl>
    <w:p>
      <w:pPr>
        <w:spacing w:after="0" w:line="212" w:lineRule="exact"/>
        <w:rPr>
          <w:sz w:val="20"/>
          <w:szCs w:val="20"/>
          <w:color w:val="auto"/>
        </w:rPr>
      </w:pPr>
    </w:p>
    <w:p>
      <w:pPr>
        <w:ind w:left="220" w:right="2499" w:hanging="212"/>
        <w:spacing w:after="0" w:line="250" w:lineRule="auto"/>
        <w:tabs>
          <w:tab w:leader="none" w:pos="3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UNLESS OTHERWISE INDICATED, ALL TRANSACTIONS WERE EFFECTED ON THE NYSE.</w:t>
      </w:r>
    </w:p>
    <w:p>
      <w:pPr>
        <w:spacing w:after="0" w:line="201" w:lineRule="exact"/>
        <w:rPr>
          <w:rFonts w:ascii="Arial" w:cs="Arial" w:eastAsia="Arial" w:hAnsi="Arial"/>
          <w:sz w:val="22"/>
          <w:szCs w:val="22"/>
          <w:color w:val="auto"/>
        </w:rPr>
      </w:pPr>
    </w:p>
    <w:p>
      <w:pPr>
        <w:ind w:left="320" w:hanging="312"/>
        <w:spacing w:after="0"/>
        <w:tabs>
          <w:tab w:leader="none" w:pos="3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PRICE EXCLUDES COMMISSION.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RESULTS IN CHANGE OF DISPOSITIVE POWER AND BENEFICIAL OWNERSHIP.</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bullet"/>
      <w:start w:val="1"/>
    </w:lvl>
  </w:abstractNum>
  <w:abstractNum w:abstractNumId="1">
    <w:nsid w:val="189A769B"/>
    <w:multiLevelType w:val="hybridMultilevel"/>
    <w:lvl w:ilvl="0">
      <w:lvlJc w:val="left"/>
      <w:lvlText w:val="3"/>
      <w:numFmt w:val="bullet"/>
      <w:start w:val="1"/>
    </w:lvl>
  </w:abstractNum>
  <w:abstractNum w:abstractNumId="2">
    <w:nsid w:val="54E49EB4"/>
    <w:multiLevelType w:val="hybridMultilevel"/>
    <w:lvl w:ilvl="0">
      <w:lvlJc w:val="left"/>
      <w:lvlText w:val="4"/>
      <w:numFmt w:val="bullet"/>
      <w:start w:val="1"/>
    </w:lvl>
  </w:abstractNum>
  <w:abstractNum w:abstractNumId="3">
    <w:nsid w:val="71F32454"/>
    <w:multiLevelType w:val="hybridMultilevel"/>
    <w:lvl w:ilvl="0">
      <w:lvlJc w:val="left"/>
      <w:lvlText w:val="5"/>
      <w:numFmt w:val="bullet"/>
      <w:start w:val="1"/>
    </w:lvl>
  </w:abstractNum>
  <w:abstractNum w:abstractNumId="4">
    <w:nsid w:val="2CA88611"/>
    <w:multiLevelType w:val="hybridMultilevel"/>
    <w:lvl w:ilvl="0">
      <w:lvlJc w:val="left"/>
      <w:lvlText w:val="6"/>
      <w:numFmt w:val="bullet"/>
      <w:start w:val="1"/>
    </w:lvl>
  </w:abstractNum>
  <w:abstractNum w:abstractNumId="5">
    <w:nsid w:val="836C40E"/>
    <w:multiLevelType w:val="hybridMultilevel"/>
    <w:lvl w:ilvl="0">
      <w:lvlJc w:val="left"/>
      <w:lvlText w:val="%1"/>
      <w:numFmt w:val="decimal"/>
      <w:start w:val="11"/>
    </w:lvl>
  </w:abstractNum>
  <w:abstractNum w:abstractNumId="6">
    <w:nsid w:val="2901D82"/>
    <w:multiLevelType w:val="hybridMultilevel"/>
    <w:lvl w:ilvl="0">
      <w:lvlJc w:val="left"/>
      <w:lvlText w:val="%1"/>
      <w:numFmt w:val="decimal"/>
      <w:start w:val="13"/>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3"/>
      <w:numFmt w:val="bullet"/>
      <w:start w:val="1"/>
    </w:lvl>
  </w:abstractNum>
  <w:abstractNum w:abstractNumId="9">
    <w:nsid w:val="1E7FF521"/>
    <w:multiLevelType w:val="hybridMultilevel"/>
    <w:lvl w:ilvl="0">
      <w:lvlJc w:val="left"/>
      <w:lvlText w:val="4"/>
      <w:numFmt w:val="bullet"/>
      <w:start w:val="1"/>
    </w:lvl>
  </w:abstractNum>
  <w:abstractNum w:abstractNumId="10">
    <w:nsid w:val="7C3DBD3D"/>
    <w:multiLevelType w:val="hybridMultilevel"/>
    <w:lvl w:ilvl="0">
      <w:lvlJc w:val="left"/>
      <w:lvlText w:val="5"/>
      <w:numFmt w:val="bullet"/>
      <w:start w:val="1"/>
    </w:lvl>
  </w:abstractNum>
  <w:abstractNum w:abstractNumId="11">
    <w:nsid w:val="737B8DDC"/>
    <w:multiLevelType w:val="hybridMultilevel"/>
    <w:lvl w:ilvl="0">
      <w:lvlJc w:val="left"/>
      <w:lvlText w:val="6"/>
      <w:numFmt w:val="bullet"/>
      <w:start w:val="1"/>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3"/>
    </w:lvl>
  </w:abstractNum>
  <w:abstractNum w:abstractNumId="14">
    <w:nsid w:val="4516DDE9"/>
    <w:multiLevelType w:val="hybridMultilevel"/>
    <w:lvl w:ilvl="0">
      <w:lvlJc w:val="left"/>
      <w:lvlText w:val="1"/>
      <w:numFmt w:val="bullet"/>
      <w:start w:val="1"/>
    </w:lvl>
  </w:abstractNum>
  <w:abstractNum w:abstractNumId="15">
    <w:nsid w:val="3006C83E"/>
    <w:multiLevelType w:val="hybridMultilevel"/>
    <w:lvl w:ilvl="0">
      <w:lvlJc w:val="left"/>
      <w:lvlText w:val="3"/>
      <w:numFmt w:val="bullet"/>
      <w:start w:val="1"/>
    </w:lvl>
  </w:abstractNum>
  <w:abstractNum w:abstractNumId="16">
    <w:nsid w:val="614FD4A1"/>
    <w:multiLevelType w:val="hybridMultilevel"/>
    <w:lvl w:ilvl="0">
      <w:lvlJc w:val="left"/>
      <w:lvlText w:val="4"/>
      <w:numFmt w:val="bullet"/>
      <w:start w:val="1"/>
    </w:lvl>
  </w:abstractNum>
  <w:abstractNum w:abstractNumId="17">
    <w:nsid w:val="419AC241"/>
    <w:multiLevelType w:val="hybridMultilevel"/>
    <w:lvl w:ilvl="0">
      <w:lvlJc w:val="left"/>
      <w:lvlText w:val="5"/>
      <w:numFmt w:val="bullet"/>
      <w:start w:val="1"/>
    </w:lvl>
  </w:abstractNum>
  <w:abstractNum w:abstractNumId="18">
    <w:nsid w:val="5577F8E1"/>
    <w:multiLevelType w:val="hybridMultilevel"/>
    <w:lvl w:ilvl="0">
      <w:lvlJc w:val="left"/>
      <w:lvlText w:val="6"/>
      <w:numFmt w:val="bullet"/>
      <w:start w:val="1"/>
    </w:lvl>
  </w:abstractNum>
  <w:abstractNum w:abstractNumId="19">
    <w:nsid w:val="440BADFC"/>
    <w:multiLevelType w:val="hybridMultilevel"/>
    <w:lvl w:ilvl="0">
      <w:lvlJc w:val="left"/>
      <w:lvlText w:val="%1"/>
      <w:numFmt w:val="decimal"/>
      <w:start w:val="11"/>
    </w:lvl>
  </w:abstractNum>
  <w:abstractNum w:abstractNumId="20">
    <w:nsid w:val="5072367"/>
    <w:multiLevelType w:val="hybridMultilevel"/>
    <w:lvl w:ilvl="0">
      <w:lvlJc w:val="left"/>
      <w:lvlText w:val="1"/>
      <w:numFmt w:val="bullet"/>
      <w:start w:val="1"/>
    </w:lvl>
  </w:abstractNum>
  <w:abstractNum w:abstractNumId="21">
    <w:nsid w:val="3804823E"/>
    <w:multiLevelType w:val="hybridMultilevel"/>
    <w:lvl w:ilvl="0">
      <w:lvlJc w:val="left"/>
      <w:lvlText w:val="3"/>
      <w:numFmt w:val="bullet"/>
      <w:start w:val="1"/>
    </w:lvl>
  </w:abstractNum>
  <w:abstractNum w:abstractNumId="22">
    <w:nsid w:val="77465F01"/>
    <w:multiLevelType w:val="hybridMultilevel"/>
    <w:lvl w:ilvl="0">
      <w:lvlJc w:val="left"/>
      <w:lvlText w:val="4"/>
      <w:numFmt w:val="bullet"/>
      <w:start w:val="1"/>
    </w:lvl>
  </w:abstractNum>
  <w:abstractNum w:abstractNumId="23">
    <w:nsid w:val="7724C67E"/>
    <w:multiLevelType w:val="hybridMultilevel"/>
    <w:lvl w:ilvl="0">
      <w:lvlJc w:val="left"/>
      <w:lvlText w:val="5"/>
      <w:numFmt w:val="bullet"/>
      <w:start w:val="1"/>
    </w:lvl>
  </w:abstractNum>
  <w:abstractNum w:abstractNumId="24">
    <w:nsid w:val="5C482A97"/>
    <w:multiLevelType w:val="hybridMultilevel"/>
    <w:lvl w:ilvl="0">
      <w:lvlJc w:val="left"/>
      <w:lvlText w:val="6"/>
      <w:numFmt w:val="bullet"/>
      <w:start w:val="1"/>
    </w:lvl>
  </w:abstractNum>
  <w:abstractNum w:abstractNumId="25">
    <w:nsid w:val="2463B9EA"/>
    <w:multiLevelType w:val="hybridMultilevel"/>
    <w:lvl w:ilvl="0">
      <w:lvlJc w:val="left"/>
      <w:lvlText w:val="%1"/>
      <w:numFmt w:val="decimal"/>
      <w:start w:val="11"/>
    </w:lvl>
  </w:abstractNum>
  <w:abstractNum w:abstractNumId="26">
    <w:nsid w:val="5E884ADC"/>
    <w:multiLevelType w:val="hybridMultilevel"/>
    <w:lvl w:ilvl="0">
      <w:lvlJc w:val="left"/>
      <w:lvlText w:val="1"/>
      <w:numFmt w:val="bullet"/>
      <w:start w:val="1"/>
    </w:lvl>
  </w:abstractNum>
  <w:abstractNum w:abstractNumId="27">
    <w:nsid w:val="51EAD36B"/>
    <w:multiLevelType w:val="hybridMultilevel"/>
    <w:lvl w:ilvl="0">
      <w:lvlJc w:val="left"/>
      <w:lvlText w:val="3"/>
      <w:numFmt w:val="bullet"/>
      <w:start w:val="1"/>
    </w:lvl>
  </w:abstractNum>
  <w:abstractNum w:abstractNumId="28">
    <w:nsid w:val="2D517796"/>
    <w:multiLevelType w:val="hybridMultilevel"/>
    <w:lvl w:ilvl="0">
      <w:lvlJc w:val="left"/>
      <w:lvlText w:val="4"/>
      <w:numFmt w:val="bullet"/>
      <w:start w:val="1"/>
    </w:lvl>
  </w:abstractNum>
  <w:abstractNum w:abstractNumId="29">
    <w:nsid w:val="580BD78F"/>
    <w:multiLevelType w:val="hybridMultilevel"/>
    <w:lvl w:ilvl="0">
      <w:lvlJc w:val="left"/>
      <w:lvlText w:val="5"/>
      <w:numFmt w:val="bullet"/>
      <w:start w:val="1"/>
    </w:lvl>
  </w:abstractNum>
  <w:abstractNum w:abstractNumId="30">
    <w:nsid w:val="153EA438"/>
    <w:multiLevelType w:val="hybridMultilevel"/>
    <w:lvl w:ilvl="0">
      <w:lvlJc w:val="left"/>
      <w:lvlText w:val="6"/>
      <w:numFmt w:val="bullet"/>
      <w:start w:val="1"/>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bullet"/>
      <w:start w:val="1"/>
    </w:lvl>
  </w:abstractNum>
  <w:abstractNum w:abstractNumId="33">
    <w:nsid w:val="6A2342EC"/>
    <w:multiLevelType w:val="hybridMultilevel"/>
    <w:lvl w:ilvl="0">
      <w:lvlJc w:val="left"/>
      <w:lvlText w:val="3"/>
      <w:numFmt w:val="bullet"/>
      <w:start w:val="1"/>
    </w:lvl>
  </w:abstractNum>
  <w:abstractNum w:abstractNumId="34">
    <w:nsid w:val="2A487CB0"/>
    <w:multiLevelType w:val="hybridMultilevel"/>
    <w:lvl w:ilvl="0">
      <w:lvlJc w:val="left"/>
      <w:lvlText w:val="4"/>
      <w:numFmt w:val="bullet"/>
      <w:start w:val="1"/>
    </w:lvl>
  </w:abstractNum>
  <w:abstractNum w:abstractNumId="35">
    <w:nsid w:val="1D4ED43B"/>
    <w:multiLevelType w:val="hybridMultilevel"/>
    <w:lvl w:ilvl="0">
      <w:lvlJc w:val="left"/>
      <w:lvlText w:val="5"/>
      <w:numFmt w:val="bullet"/>
      <w:start w:val="1"/>
    </w:lvl>
  </w:abstractNum>
  <w:abstractNum w:abstractNumId="36">
    <w:nsid w:val="725A06FB"/>
    <w:multiLevelType w:val="hybridMultilevel"/>
    <w:lvl w:ilvl="0">
      <w:lvlJc w:val="left"/>
      <w:lvlText w:val="6"/>
      <w:numFmt w:val="bullet"/>
      <w:start w:val="1"/>
    </w:lvl>
  </w:abstractNum>
  <w:abstractNum w:abstractNumId="37">
    <w:nsid w:val="2CD89A32"/>
    <w:multiLevelType w:val="hybridMultilevel"/>
    <w:lvl w:ilvl="0">
      <w:lvlJc w:val="left"/>
      <w:lvlText w:val="%1"/>
      <w:numFmt w:val="decimal"/>
      <w:start w:val="11"/>
    </w:lvl>
  </w:abstractNum>
  <w:abstractNum w:abstractNumId="38">
    <w:nsid w:val="57E4CCAF"/>
    <w:multiLevelType w:val="hybridMultilevel"/>
    <w:lvl w:ilvl="0">
      <w:lvlJc w:val="left"/>
      <w:lvlText w:val="1"/>
      <w:numFmt w:val="bullet"/>
      <w:start w:val="1"/>
    </w:lvl>
  </w:abstractNum>
  <w:abstractNum w:abstractNumId="39">
    <w:nsid w:val="7A6D8D3C"/>
    <w:multiLevelType w:val="hybridMultilevel"/>
    <w:lvl w:ilvl="0">
      <w:lvlJc w:val="left"/>
      <w:lvlText w:val="3"/>
      <w:numFmt w:val="bullet"/>
      <w:start w:val="1"/>
    </w:lvl>
  </w:abstractNum>
  <w:abstractNum w:abstractNumId="40">
    <w:nsid w:val="4B588F54"/>
    <w:multiLevelType w:val="hybridMultilevel"/>
    <w:lvl w:ilvl="0">
      <w:lvlJc w:val="left"/>
      <w:lvlText w:val="4"/>
      <w:numFmt w:val="bullet"/>
      <w:start w:val="1"/>
    </w:lvl>
  </w:abstractNum>
  <w:abstractNum w:abstractNumId="41">
    <w:nsid w:val="542289EC"/>
    <w:multiLevelType w:val="hybridMultilevel"/>
    <w:lvl w:ilvl="0">
      <w:lvlJc w:val="left"/>
      <w:lvlText w:val="5"/>
      <w:numFmt w:val="bullet"/>
      <w:start w:val="1"/>
    </w:lvl>
  </w:abstractNum>
  <w:abstractNum w:abstractNumId="42">
    <w:nsid w:val="6DE91B18"/>
    <w:multiLevelType w:val="hybridMultilevel"/>
    <w:lvl w:ilvl="0">
      <w:lvlJc w:val="left"/>
      <w:lvlText w:val="6"/>
      <w:numFmt w:val="bullet"/>
      <w:start w:val="1"/>
    </w:lvl>
  </w:abstractNum>
  <w:abstractNum w:abstractNumId="43">
    <w:nsid w:val="38437FDB"/>
    <w:multiLevelType w:val="hybridMultilevel"/>
    <w:lvl w:ilvl="0">
      <w:lvlJc w:val="left"/>
      <w:lvlText w:val="%1"/>
      <w:numFmt w:val="decimal"/>
      <w:start w:val="11"/>
    </w:lvl>
  </w:abstractNum>
  <w:abstractNum w:abstractNumId="44">
    <w:nsid w:val="7644A45C"/>
    <w:multiLevelType w:val="hybridMultilevel"/>
    <w:lvl w:ilvl="0">
      <w:lvlJc w:val="left"/>
      <w:lvlText w:val="&amp;"/>
      <w:numFmt w:val="bullet"/>
      <w:start w:val="1"/>
    </w:lvl>
  </w:abstractNum>
  <w:abstractNum w:abstractNumId="45">
    <w:nsid w:val="32FFF902"/>
    <w:multiLevelType w:val="hybridMultilevel"/>
    <w:lvl w:ilvl="0">
      <w:lvlJc w:val="left"/>
      <w:lvlText w:val="(%1)"/>
      <w:numFmt w:val="lowerLetter"/>
      <w:start w:val="4"/>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2"/>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lowerLetter"/>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2020-04-08T13:14:34Z</dcterms:created>
  <dcterms:modified xsi:type="dcterms:W3CDTF">2020-04-08T13:14:34Z</dcterms:modified>
</cp:coreProperties>
</file>