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pPr>
      <w:r>
        <w:rPr>
          <w:rFonts w:ascii="Times New Roman;sans-serif" w:hAnsi="Times New Roman;sans-serif"/>
          <w:b/>
          <w:color w:val="000000"/>
          <w:sz w:val="20"/>
        </w:rPr>
        <w:t>Pursuant to Section 13 or 15(d) of the Securities Exchange Act of 1934</w:t>
      </w:r>
      <w:r>
        <w:rPr>
          <w:color w:val="000000"/>
        </w:rPr>
        <w:t> </w:t>
      </w:r>
    </w:p>
    <w:tbl>
      <w:tblPr>
        <w:tblW w:w="5084" w:type="dxa"/>
        <w:jc w:val="left"/>
        <w:tblInd w:w="0" w:type="dxa"/>
        <w:tblLayout w:type="fixed"/>
        <w:tblCellMar>
          <w:top w:w="28" w:type="dxa"/>
          <w:left w:w="28" w:type="dxa"/>
          <w:bottom w:w="28" w:type="dxa"/>
          <w:right w:w="28" w:type="dxa"/>
        </w:tblCellMar>
      </w:tblPr>
      <w:tblGrid>
        <w:gridCol w:w="1411"/>
        <w:gridCol w:w="1239"/>
        <w:gridCol w:w="1249"/>
        <w:gridCol w:w="347"/>
        <w:gridCol w:w="347"/>
        <w:gridCol w:w="491"/>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42"/>
        <w:gridCol w:w="738"/>
        <w:gridCol w:w="738"/>
        <w:gridCol w:w="738"/>
        <w:gridCol w:w="738"/>
        <w:gridCol w:w="772"/>
        <w:gridCol w:w="109"/>
        <w:gridCol w:w="109"/>
        <w:gridCol w:w="109"/>
        <w:gridCol w:w="718"/>
        <w:gridCol w:w="718"/>
        <w:gridCol w:w="725"/>
        <w:gridCol w:w="109"/>
        <w:gridCol w:w="109"/>
        <w:gridCol w:w="109"/>
        <w:gridCol w:w="822"/>
        <w:gridCol w:w="822"/>
        <w:gridCol w:w="118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001-12622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36-2048898</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60611-4213</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Chicago,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telephone number, including area code: (312) 321-1515 </w:t>
            </w:r>
          </w:p>
        </w:tc>
      </w:tr>
    </w:tbl>
    <w:p>
      <w:pPr>
        <w:pStyle w:val="TextBody"/>
        <w:bidi w:val="0"/>
        <w:spacing w:before="0" w:after="0"/>
        <w:jc w:val="center"/>
        <w:rPr/>
      </w:pPr>
      <w:r>
        <w:rPr/>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608"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1278"/>
        <w:gridCol w:w="1278"/>
        <w:gridCol w:w="1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2.01</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Completion of Acquisition of Disposition of Assets.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April 16, 2024, Oil-Dri Corporation of America, a Delaware corporation (the “Company”), entered into a Stock Purchase Agreement (the “Purchase Agreement”) with Ultra Pet, LLC, a Delaware limited liability company (“Seller”), Ultra Pet Company, Inc., a Delaware corporation (“Ultra Pet”), and certain equityholders of Seller set forth on the signature page thereto (“Seller’s Equityholders”), pursuant to which the Company agreed to purchase all of the issued and outstanding shares of capital stock of Ultra Pet (the “Shares”) from Seller (the “Transaction”).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2024, the Company completed the Transaction and acquired the Shares. At the closing of the Transaction (the “Closing”), the Company paid Seller an aggregate cash consideration of approximately $46 million, subject to certain adjustments set forth in the Purchase Agreement (as adjusted, the “Purchase Price”). A portion of the Purchase Price (approximately $3.3 million) was deposited in a specified escrow account for the purposes of satisfying any post-Closing indemnification claims made pursuant to the Purchase Agreement and certain post-Closing adjustments pursuant to the Purchase Price.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Purchase Agreement does not purport to be complete and is qualified in its entirety by reference to the Purchase Agreement, a copy of which was filed as Exhibit 2.1 to the Current Report on Form 8</w:t>
        <w:noBreakHyphen/>
        <w:t>K filed by the Company on April 16, 2024 and is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Agreement has been provided solely to inform investors of its terms. The representations, warranties and covenants contained in the Purchase Agreement were made only for the purposes of such agreement and as of specific dates and were made solely for the benefit of the parties to the Purchase Agreement and may be intended not as statements of fact, but rather as a way of allocating risk to one of the parties if those statements prove to be inaccurate. In addition, such representations, warranties and covenants may have been qualified by disclosures not reflected in the text of the Purchase Agreement and may apply standards of materiality in a way that is different from what may be viewed as material by stockholders of, or other investors in, us. The Company’s stockholders and other investors are not third-party beneficiaries under the Purchase Agreement and should not rely on the representations, warranties and covenants or any descriptions thereof as characterizations of the actual state of facts or conditions of the Company, Seller, Seller’s Equityholders, or Ultra Pet or any of their subsidiaries or affiliates.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2623"/>
        <w:gridCol w:w="2623"/>
        <w:gridCol w:w="3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2.03</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Creation of a Direct Financial Obligation or an Obligation under an Off-Balance Sheet Arrangement of a Registrant.</w:t>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Purchase Price was financed through a $10 million advance under the Company’s existing credit facility, as amended, with BMO Bank N.A., and through the issuance of $10 million in aggregate principal amount of 6.47% Series D Senior Notes due April 30, 2033 pursuant to the shelf facility provisions of the Company’s existing Amended and Restated Note Purchase and Private Shelf Agreement, as amended, with PGIM, Inc. (“Prudential”) and certain existing noteholders affiliated with Prudential.</w:t>
      </w:r>
    </w:p>
    <w:p>
      <w:pPr>
        <w:pStyle w:val="TextBody"/>
        <w:bidi w:val="0"/>
        <w:spacing w:before="0" w:after="0"/>
        <w:jc w:val="both"/>
        <w:rPr/>
      </w:pPr>
      <w:r>
        <w:rPr/>
      </w:r>
    </w:p>
    <w:tbl>
      <w:tblPr>
        <w:tblW w:w="3597"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688"/>
        <w:gridCol w:w="688"/>
        <w:gridCol w:w="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2024, the Company issued a press release (the “Press Release”) announcing (i) the Closing described in Item 2.01 above and (ii) the expected timing of the Company’s third quarter of fiscal 2024 earnings release and discussion.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Current Report on Form 8-K may contain forward-looking statements, within the meaning of the safe harbor provisions of the U.S. Private Securities Litigation Reform Act of 1995, that are based on the Company’s current expectations, estimates, forecasts and projections about the Company’s future performance, business, beliefs and management’s assumptions. In addition, the Company, or others on the Company’s behalf, may make forward-looking statements in other press releases or written statements, or in the Company’s communications and discussions with investors and analysts in the normal course of business through meetings, webcasts, phone calls and conference calls. Forward-looking statements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identified by words such as “expect,” “outlook,” “forecast,” “would,” “could,” “should,” “project,” “intend,” “plan,” “continue,” “believe,” “seek,” “estimate,” “anticipate,” “may,” “assume,” “potential,” “strive,” and similar references to future periods.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statements are subject to certain risks, uncertainties and assumptions that could cause actual results to differ materially, including, but not limited to, those described in Item 1A, “Risk Factors” of the Company’s Quarterly Report on Form 10-Q for the quarter ended January 31, 2024 and the Company’s most recent Annual Report on Form 10-K and from time to time in the Company’s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the Company does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both"/>
        <w:rPr/>
      </w:pPr>
      <w:r>
        <w:rPr/>
      </w:r>
    </w:p>
    <w:tbl>
      <w:tblPr>
        <w:tblW w:w="4318"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59"/>
        <w:gridCol w:w="2630"/>
        <w:gridCol w:w="372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br/>
              <w:t> </w:t>
              <w:br/>
              <w:t>Description of Exhibits</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Stock Purchase Agreement, dated April 16, 2024, by and among the Oil-Dri Corporation of America, Ultra Pet, LLC, Ultra Pet Company, Inc., and certain equityholders of Ultra Pet, LLC set forth on the signature page thereto</w:t>
              </w:r>
            </w:hyperlink>
            <w:hyperlink r:id="rId3">
              <w:r>
                <w:rPr>
                  <w:rStyle w:val="InternetLink"/>
                  <w:rFonts w:ascii="Times New Roman;sans-serif" w:hAnsi="Times New Roman;sans-serif"/>
                  <w:b w:val="false"/>
                  <w:color w:val="000080"/>
                  <w:sz w:val="20"/>
                  <w:u w:val="single"/>
                </w:rPr>
                <w:t xml:space="preserve"> </w:t>
              </w:r>
            </w:hyperlink>
            <w:hyperlink r:id="rId4">
              <w:r>
                <w:rPr>
                  <w:rStyle w:val="InternetLink"/>
                  <w:rFonts w:ascii="Times New Roman;sans-serif" w:hAnsi="Times New Roman;sans-serif"/>
                  <w:b w:val="false"/>
                  <w:color w:val="000080"/>
                  <w:sz w:val="20"/>
                  <w:u w:val="single"/>
                </w:rPr>
                <w:t>(incorporated by reference to Exhibit 2.1 to Oil-Dri Corporation of America’s Current Report on Form 8-K filed on April 16, 2024)</w:t>
              </w:r>
            </w:hyperlink>
            <w:hyperlink r:id="rId5">
              <w:r>
                <w:rPr>
                  <w:rStyle w:val="InternetLink"/>
                  <w:rFonts w:ascii="Times New Roman;sans-serif" w:hAnsi="Times New Roman;sans-serif"/>
                  <w:b w:val="false"/>
                  <w:color w:val="000080"/>
                  <w:sz w:val="20"/>
                  <w:u w:val="single"/>
                </w:rPr>
                <w:t>.</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final.htm">
              <w:r>
                <w:rPr>
                  <w:rStyle w:val="InternetLink"/>
                  <w:rFonts w:ascii="Times New Roman;sans-serif" w:hAnsi="Times New Roman;sans-serif"/>
                  <w:b w:val="false"/>
                  <w:color w:val="0000FF"/>
                  <w:sz w:val="20"/>
                  <w:u w:val="single"/>
                </w:rPr>
                <w:t>Press Release of the Company, dated May 1, 2024.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iXBRL document).</w:t>
            </w:r>
          </w:p>
        </w:tc>
      </w:tr>
    </w:tbl>
    <w:p>
      <w:pPr>
        <w:pStyle w:val="TextBody"/>
        <w:bidi w:val="0"/>
        <w:spacing w:lineRule="auto" w:line="288" w:before="0" w:after="0"/>
        <w:jc w:val="left"/>
        <w:rPr/>
      </w:pPr>
      <w:r>
        <w:rPr>
          <w:color w:val="000000"/>
        </w:rPr>
        <w:t> </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16"/>
        </w:rPr>
        <w:t>The schedules and similar attachments to this exhibit have been omitted pursuant to Item 601(a)(5) of Regulation S-K. The Company agrees to provide a copy of the omitted schedules and similar attachments on a supplemental basis to the Commission or its staff, if requested.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4266" w:type="dxa"/>
        <w:jc w:val="left"/>
        <w:tblInd w:w="0" w:type="dxa"/>
        <w:tblLayout w:type="fixed"/>
        <w:tblCellMar>
          <w:top w:w="28" w:type="dxa"/>
          <w:left w:w="28" w:type="dxa"/>
          <w:bottom w:w="28" w:type="dxa"/>
          <w:right w:w="28" w:type="dxa"/>
        </w:tblCellMar>
      </w:tblPr>
      <w:tblGrid>
        <w:gridCol w:w="124"/>
        <w:gridCol w:w="109"/>
        <w:gridCol w:w="109"/>
        <w:gridCol w:w="574"/>
        <w:gridCol w:w="574"/>
        <w:gridCol w:w="574"/>
        <w:gridCol w:w="609"/>
        <w:gridCol w:w="609"/>
        <w:gridCol w:w="6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G. Scheland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G. Scheland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pressrelease-final.htm"/>
      <w:bookmarkStart w:id="1" w:name="kspressreleasefinal"/>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410 N. Michigan Ave. Chicago, Illinois 60611, U.S.A News Announcement For Immediate Release Oil-Dri Completes Strategic Acquisition of Ultra Pet, Strengthening its Position in the Cat Litter Industry CHICAGO—(May 1, 2024)—Oil-Dri Corporation of America (NYSE: ODC) (“Oil-Dri”), a leading manufacturer of sorbent minerals including clay-based cat litter, announces the closing of its previously announced $46 million acquisition of Ultra Pet Company, Inc. (“Ultra Pet”), a prominent supplier of silica gel-based crystal cat litter. The transaction was financed through a combination of cash-on-hand and Oil-Dri’s existing credit facilities. To ensure the successful integration of Ultra Pet into Oil-Dri’s business, key leaders from both companies will leverage their expertise and resources to implement a unified strategy to expand the company’s presence in the rapidly growing crystal cat litter segment. The combined team will also focus on optimizing operations and blending cultures, with an emphasis on ethics and values. Daniel Jaffee, Oil-Dri’s President and Chief Executive Officer, stated, “We are thrilled to welcome Ultra Pet to the Oil-Dri family. The completion of this acquisition is a testament to the hard work and dedication of our teams, and it opens up a wealth of opportunities for growth and product innovation. As we become a key player in the crystal cat litter segment, our dedication to delivering superior quality products and services will continue to distinguish us as an industry leader. Furthermore, the cultures of both companies are well-aligned, as we share similar core values and a commitment to excellence. Together, we are poised to build on the success that Ultra Pet has achieved in growing their crystals cat litter business by expanding our combined customer base with this broader range of product offerings.” Richard Murbach, Ultra Pet’s Chief Executive Officer, added, “The Ultra Pet team is excited to become a part of Oil-Dri. The closing of this acquisition marks a pivotal moment towards the expansion of our crystal cat litter business. We look forward to combining our strengths and leveraging relationships and resources to enhance our product offerings and more effectively meet the needs of customers and consumers.” Oil-Dri expects to release earnings for its third quarter of fiscal 2024 after the close of the U.S. stock market on Thursday, June 6, 2024 and to host an earnings discussion, where it will provide additional details regarding the acquisition, via live webcast on Friday, June 7, 2024 at 10:00 am Central Time. Participation details will be posted on the Events page of Oil-Dri’s website approximately one week prior to the call. About Oil-Dri Corporation of America Oil-Dri Corporation of America, founded in 1941, is a leading manufacturer and supplier of specialty sorbent products for the pet care, animal health and nutrition, fluids purification, agricultural ingredients, sports field, industrial and automotive markets. Oil-Dri’s largest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principal product is cat litter. Within the United States, Oil-Dri is the leading manufacturer of lightweight cat litter in units and the largest producer of private label coarse litter in both units and dollars. The company’s cat litter brands include Cat’s Pride and Jonny Cat.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Oil-Dri, visit oildri.com. About Ultra Pet Company, Inc. Ultra Pet Company, Inc. was established in 2003 and was formed to acquire Harvest Ventures, Inc. (founded in 1996) and Cedar Fresh Products, Inc. (established in 2003). The company’s product portfolio includes brands such as Ultra Pearls, Litter Pearls, Neon Litter, EcoKitty, and ZenKitty as well as many private label offerings. Ultra Pet sells to consumers both domestically and internationally through e-commerce and brick and mortar retail stores. To learn more about Ultra Pet, visit ultrapet.com. Forward-Looking Statements Certain statements in this press release may contain forward-looking statements, within the meaning of the safe harbor provisions of the U.S. Private Securities Litigation Reform Act of 1995, that are based on Oil-Dri’s current expectations, estimates, forecasts and projections about Oil-Dri’s future performance, business, beliefs and management’s assumptions. In addition, Oil- Dri, or others on Oil-Dri’s behalf, may make forward-looking statements in other press releases or written statements, or in Oil-Dri’s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 Such statements are subject to certain risks, uncertainties and assumptions that could cause actual results to differ materially, including, but not limited to, those described in Item 1A, “Risk Factors” of Oil-Dri’s Quarterly Report on Form 10-Q for the quarter ended January 31, 2024 and Oil-Dri’s most recent Annual Report on Form 10-K and from time to time in Oil-Dri’s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 “Oil-Dri”, “Cat’s Pride”, and “Jonny Cat” are registered trademarks of Oil-Dri Corporation of America. “Ultra Pearls”, “Litter Pearls”, “Neon Litter”, “EcoKitty”, and “ZenKitty” are registered trademarks of Ultra Pet Company, Inc. and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 Leslie A. Garber Director of Investor Relations Oil-Dri Corporation of America InvestorRelations@oildri.com (312) 321-1515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046/000007404624000029/spa.htm" TargetMode="External"/><Relationship Id="rId3" Type="http://schemas.openxmlformats.org/officeDocument/2006/relationships/hyperlink" Target="https://www.sec.gov/Archives/edgar/data/74046/000007404624000029/spa.htm" TargetMode="External"/><Relationship Id="rId4" Type="http://schemas.openxmlformats.org/officeDocument/2006/relationships/hyperlink" Target="https://www.sec.gov/Archives/edgar/data/74046/000007404624000029/spa.htm" TargetMode="External"/><Relationship Id="rId5" Type="http://schemas.openxmlformats.org/officeDocument/2006/relationships/hyperlink" Target="https://www.sec.gov/Archives/edgar/data/74046/000007404624000029/spa.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2473</Words>
  <Characters>13905</Characters>
  <CharactersWithSpaces>16363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pressrelease-final</dc:title>
</cp:coreProperties>
</file>