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v162564_8k.htm"/>
      <w:bookmarkStart w:id="1" w:name="ksv162564_8k"/>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5205"/>
      </w:tblGrid>
      <w:tr>
        <w:trPr/>
        <w:tc>
          <w:tcPr>
            <w:tcW w:w="500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5205" w:type="dxa"/>
            <w:tcBorders>
              <w:bottom w:val="single" w:sz="12" w:space="0" w:color="000000"/>
            </w:tcBorders>
            <w:shd w:fill="auto" w:val="clear"/>
            <w:tcMar>
              <w:bottom w:w="28" w:type="dxa"/>
            </w:tcMar>
          </w:tcPr>
          <w:p>
            <w:pPr>
              <w:pStyle w:val="TableContents"/>
              <w:spacing w:before="0" w:after="0"/>
              <w:ind w:left="0" w:right="0" w:hanging="0"/>
              <w:jc w:val="left"/>
              <w:rPr/>
            </w:pPr>
            <w:r>
              <w:rPr/>
              <w:t xml:space="preserve">   </w:t>
            </w:r>
            <w:r>
              <w:rPr>
                <w:rFonts w:ascii="Times New Roman" w:hAnsi="Times New Roman"/>
                <w:b/>
                <w:sz w:val="20"/>
              </w:rPr>
              <w:t>October 9, 2009</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w:t>
            </w:r>
          </w:p>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95"/>
        <w:gridCol w:w="5510"/>
      </w:tblGrid>
      <w:tr>
        <w:trPr/>
        <w:tc>
          <w:tcPr>
            <w:tcW w:w="46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5510" w:type="dxa"/>
            <w:tcBorders>
              <w:bottom w:val="single" w:sz="12" w:space="0" w:color="000000"/>
            </w:tcBorders>
            <w:shd w:fill="auto" w:val="clear"/>
            <w:tcMar>
              <w:bottom w:w="28" w:type="dxa"/>
            </w:tcMar>
          </w:tcPr>
          <w:p>
            <w:pPr>
              <w:pStyle w:val="TableContents"/>
              <w:spacing w:before="0" w:after="0"/>
              <w:ind w:left="0" w:right="0" w:hanging="0"/>
              <w:jc w:val="left"/>
              <w:rPr/>
            </w:pPr>
            <w:r>
              <w:rPr/>
              <w:t xml:space="preserve">     </w:t>
            </w: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13e-4(c) under the Exchange Act (17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2.02</w:t>
      </w:r>
      <w:r>
        <w:rPr>
          <w:rFonts w:ascii="Times New Roman" w:hAnsi="Times New Roman"/>
          <w:b/>
          <w:sz w:val="20"/>
        </w:rPr>
        <w:t>      Results of Operations and Financial Condition.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 w:name="TAB1"/>
      <w:bookmarkEnd w:id="2"/>
      <w:r>
        <w:rPr>
          <w:rFonts w:ascii="Times New Roman" w:hAnsi="Times New Roman"/>
          <w:sz w:val="20"/>
        </w:rPr>
        <w:t>On October 9, 2009, Oil-Dri Corporation of America (the “Registrant”) issued a press release announcing its results of operations for its fourth quarter and fiscal year ended July 31, 2009.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tcPr>
          <w:p>
            <w:pPr>
              <w:pStyle w:val="TableContents"/>
              <w:spacing w:before="0" w:after="283"/>
              <w:jc w:val="left"/>
              <w:rPr/>
            </w:pPr>
            <w:r>
              <w:rPr/>
              <w:t> </w:t>
            </w:r>
          </w:p>
        </w:tc>
        <w:tc>
          <w:tcPr>
            <w:tcW w:w="898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of the Registrant dated October 9, 2009</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
      <w:bookmarkStart w:id="4" w:name="PGBRK"/>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 w:name="FTR"/>
      <w:bookmarkStart w:id="6" w:name="FTR"/>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 w:name="GLFTR"/>
      <w:bookmarkEnd w:id="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 w:name="PN"/>
      <w:bookmarkEnd w:id="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HDR"/>
      <w:bookmarkStart w:id="10" w:name="HD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 w:name="GLHDR"/>
      <w:bookmarkEnd w:id="1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62"/>
        <w:gridCol w:w="509"/>
        <w:gridCol w:w="4082"/>
        <w:gridCol w:w="2552"/>
      </w:tblGrid>
      <w:tr>
        <w:trPr/>
        <w:tc>
          <w:tcPr>
            <w:tcW w:w="3062" w:type="dxa"/>
            <w:tcBorders/>
            <w:shd w:fill="auto" w:val="clear"/>
          </w:tcPr>
          <w:p>
            <w:pPr>
              <w:pStyle w:val="TableContents"/>
              <w:spacing w:before="0" w:after="283"/>
              <w:rPr/>
            </w:pPr>
            <w:r>
              <w:rPr/>
              <w:t xml:space="preserve">  </w:t>
            </w:r>
          </w:p>
        </w:tc>
        <w:tc>
          <w:tcPr>
            <w:tcW w:w="4591"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c>
          <w:tcPr>
            <w:tcW w:w="2552" w:type="dxa"/>
            <w:tcBorders/>
            <w:shd w:fill="auto" w:val="clear"/>
          </w:tcPr>
          <w:p>
            <w:pPr>
              <w:pStyle w:val="TableContents"/>
              <w:spacing w:before="0" w:after="283"/>
              <w:rPr/>
            </w:pPr>
            <w:r>
              <w:rPr/>
              <w:t xml:space="preserve">  </w:t>
            </w:r>
          </w:p>
        </w:tc>
      </w:tr>
      <w:tr>
        <w:trPr/>
        <w:tc>
          <w:tcPr>
            <w:tcW w:w="306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2" w:type="dxa"/>
            <w:tcBorders/>
            <w:shd w:fill="auto" w:val="clear"/>
          </w:tcPr>
          <w:p>
            <w:pPr>
              <w:pStyle w:val="TableContents"/>
              <w:spacing w:before="0" w:after="283"/>
              <w:rPr/>
            </w:pPr>
            <w:r>
              <w:rPr/>
              <w:t xml:space="preserve">  </w:t>
            </w:r>
          </w:p>
        </w:tc>
        <w:tc>
          <w:tcPr>
            <w:tcW w:w="2552" w:type="dxa"/>
            <w:tcBorders/>
            <w:shd w:fill="auto" w:val="clear"/>
          </w:tcPr>
          <w:p>
            <w:pPr>
              <w:pStyle w:val="TableContents"/>
              <w:spacing w:before="0" w:after="283"/>
              <w:rPr/>
            </w:pPr>
            <w:r>
              <w:rPr/>
              <w:t xml:space="preserve">  </w:t>
            </w:r>
          </w:p>
        </w:tc>
      </w:tr>
      <w:tr>
        <w:trPr/>
        <w:tc>
          <w:tcPr>
            <w:tcW w:w="306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08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Charles P. Brissman</w:t>
            </w:r>
          </w:p>
        </w:tc>
        <w:tc>
          <w:tcPr>
            <w:tcW w:w="2552" w:type="dxa"/>
            <w:tcBorders/>
            <w:shd w:fill="auto" w:val="clear"/>
          </w:tcPr>
          <w:p>
            <w:pPr>
              <w:pStyle w:val="TableContents"/>
              <w:spacing w:before="0" w:after="283"/>
              <w:rPr/>
            </w:pPr>
            <w:r>
              <w:rPr/>
              <w:t xml:space="preserve">  </w:t>
            </w:r>
          </w:p>
        </w:tc>
      </w:tr>
      <w:tr>
        <w:trPr/>
        <w:tc>
          <w:tcPr>
            <w:tcW w:w="306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Charles P. Brissman</w:t>
            </w:r>
          </w:p>
        </w:tc>
        <w:tc>
          <w:tcPr>
            <w:tcW w:w="2552" w:type="dxa"/>
            <w:tcBorders/>
            <w:shd w:fill="auto" w:val="clear"/>
          </w:tcPr>
          <w:p>
            <w:pPr>
              <w:pStyle w:val="TableContents"/>
              <w:spacing w:before="0" w:after="283"/>
              <w:rPr/>
            </w:pPr>
            <w:r>
              <w:rPr/>
              <w:t xml:space="preserve">  </w:t>
            </w:r>
          </w:p>
        </w:tc>
      </w:tr>
      <w:tr>
        <w:trPr/>
        <w:tc>
          <w:tcPr>
            <w:tcW w:w="306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c>
          <w:tcPr>
            <w:tcW w:w="2552"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October 9,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1"/>
      <w:bookmarkStart w:id="13" w:name="PGBRK1"/>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FTR1"/>
      <w:bookmarkStart w:id="15" w:name="FTR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6" w:name="GLFTR1"/>
      <w:bookmarkEnd w:id="1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 w:name="PN1"/>
      <w:bookmarkEnd w:id="1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1"/>
      <w:bookmarkStart w:id="19" w:name="HD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0" w:name="GLHDR1"/>
      <w:bookmarkEnd w:id="2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tcPr>
          <w:p>
            <w:pPr>
              <w:pStyle w:val="TableContents"/>
              <w:spacing w:before="0" w:after="283"/>
              <w:jc w:val="left"/>
              <w:rPr/>
            </w:pPr>
            <w:r>
              <w:rPr/>
              <w:t> </w:t>
            </w:r>
          </w:p>
        </w:tc>
        <w:tc>
          <w:tcPr>
            <w:tcW w:w="898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of the Registrant dated October 9, 2009</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 w:name="PGBRK2"/>
      <w:bookmarkStart w:id="22" w:name="PGBRK2"/>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FTR2"/>
      <w:bookmarkStart w:id="24" w:name="FTR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5" w:name="GLFTR2"/>
      <w:bookmarkEnd w:id="2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 w:name="PN2"/>
      <w:bookmarkEnd w:id="2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2"/>
      <w:bookmarkStart w:id="28" w:name="HD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9" w:name="GLHDR2"/>
      <w:bookmarkEnd w:id="2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800" w:right="0" w:hanging="0"/>
        <w:jc w:val="right"/>
        <w:rPr>
          <w:rFonts w:ascii="Times New Roman" w:hAnsi="Times New Roman"/>
          <w:sz w:val="20"/>
        </w:rPr>
      </w:pPr>
      <w:bookmarkStart w:id="30" w:name="v162564_ex99-1.htm"/>
      <w:bookmarkStart w:id="31" w:name="ksv162564_ex991"/>
      <w:bookmarkEnd w:id="30"/>
      <w:bookmarkEnd w:id="31"/>
      <w:r>
        <w:rPr>
          <w:rFonts w:ascii="Times New Roman" w:hAnsi="Times New Roman"/>
          <w:sz w:val="20"/>
        </w:rPr>
        <w:t>Exhibit 99.1</w:t>
      </w:r>
    </w:p>
    <w:p>
      <w:pPr>
        <w:pStyle w:val="TextBody"/>
        <w:spacing w:before="0" w:after="0"/>
        <w:ind w:left="1800" w:right="0" w:hanging="0"/>
        <w:jc w:val="right"/>
        <w:rPr/>
      </w:pPr>
      <w:r>
        <w:rPr/>
        <w:t> </w:t>
      </w:r>
    </w:p>
    <w:tbl>
      <w:tblPr>
        <w:tblW w:w="5000" w:type="pct"/>
        <w:jc w:val="left"/>
        <w:tblInd w:w="0" w:type="dxa"/>
        <w:tblCellMar>
          <w:top w:w="0" w:type="dxa"/>
          <w:left w:w="0" w:type="dxa"/>
          <w:bottom w:w="28" w:type="dxa"/>
          <w:right w:w="0" w:type="dxa"/>
        </w:tblCellMar>
      </w:tblPr>
      <w:tblGrid>
        <w:gridCol w:w="5511"/>
        <w:gridCol w:w="4694"/>
      </w:tblGrid>
      <w:tr>
        <w:trPr/>
        <w:tc>
          <w:tcPr>
            <w:tcW w:w="5511" w:type="dxa"/>
            <w:tcBorders>
              <w:bottom w:val="single" w:sz="12" w:space="0" w:color="000000"/>
            </w:tcBorders>
            <w:shd w:fill="auto" w:val="clear"/>
            <w:vAlign w:val="center"/>
          </w:tcPr>
          <w:p>
            <w:pPr>
              <w:pStyle w:val="TableContents"/>
              <w:spacing w:before="0" w:after="0"/>
              <w:ind w:left="0" w:right="0" w:hanging="0"/>
              <w:jc w:val="left"/>
              <w:rPr/>
            </w:pPr>
            <w:r>
              <w:rPr/>
              <w:drawing>
                <wp:inline distT="0" distB="0" distL="0" distR="0">
                  <wp:extent cx="9429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390525"/>
                          </a:xfrm>
                          <a:prstGeom prst="rect">
                            <a:avLst/>
                          </a:prstGeom>
                        </pic:spPr>
                      </pic:pic>
                    </a:graphicData>
                  </a:graphic>
                </wp:inline>
              </w:drawing>
            </w:r>
          </w:p>
        </w:tc>
        <w:tc>
          <w:tcPr>
            <w:tcW w:w="4694" w:type="dxa"/>
            <w:tcBorders>
              <w:bottom w:val="single" w:sz="12" w:space="0" w:color="000000"/>
            </w:tcBorders>
            <w:shd w:fill="auto" w:val="clear"/>
          </w:tcPr>
          <w:p>
            <w:pPr>
              <w:pStyle w:val="TableContents"/>
              <w:spacing w:before="0" w:after="0"/>
              <w:ind w:left="0" w:right="0" w:hanging="0"/>
              <w:jc w:val="right"/>
              <w:rPr>
                <w:rFonts w:ascii="times new roman" w:hAnsi="times new roman"/>
                <w:b/>
                <w:sz w:val="48"/>
              </w:rPr>
            </w:pPr>
            <w:r>
              <w:rPr>
                <w:rFonts w:ascii="times new roman" w:hAnsi="times new roman"/>
                <w:b/>
                <w:sz w:val="48"/>
              </w:rPr>
              <w:t>News Release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755"/>
        <w:gridCol w:w="917"/>
        <w:gridCol w:w="1533"/>
      </w:tblGrid>
      <w:tr>
        <w:trPr/>
        <w:tc>
          <w:tcPr>
            <w:tcW w:w="775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 xml:space="preserve">Release:      </w:t>
            </w:r>
            <w:r>
              <w:rPr>
                <w:rFonts w:ascii="times new roman" w:hAnsi="times new roman"/>
                <w:sz w:val="20"/>
              </w:rPr>
              <w:t>Immediate</w:t>
            </w:r>
          </w:p>
        </w:tc>
        <w:tc>
          <w:tcPr>
            <w:tcW w:w="91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w:t>
            </w:r>
          </w:p>
        </w:tc>
        <w:tc>
          <w:tcPr>
            <w:tcW w:w="15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tc>
      </w:tr>
      <w:tr>
        <w:trPr/>
        <w:tc>
          <w:tcPr>
            <w:tcW w:w="7755" w:type="dxa"/>
            <w:tcBorders/>
            <w:shd w:fill="auto" w:val="clear"/>
          </w:tcPr>
          <w:p>
            <w:pPr>
              <w:pStyle w:val="TableContents"/>
              <w:spacing w:before="0" w:after="283"/>
              <w:rPr/>
            </w:pPr>
            <w:r>
              <w:rPr/>
              <w:t xml:space="preserve">  </w:t>
            </w:r>
          </w:p>
        </w:tc>
        <w:tc>
          <w:tcPr>
            <w:tcW w:w="917" w:type="dxa"/>
            <w:tcBorders/>
            <w:shd w:fill="auto" w:val="clear"/>
          </w:tcPr>
          <w:p>
            <w:pPr>
              <w:pStyle w:val="TableContents"/>
              <w:spacing w:before="0" w:after="283"/>
              <w:rPr/>
            </w:pPr>
            <w:r>
              <w:rPr/>
              <w:t xml:space="preserve">  </w:t>
            </w:r>
          </w:p>
        </w:tc>
        <w:tc>
          <w:tcPr>
            <w:tcW w:w="15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Oil-Dri Announces Fourth Quarter and Fiscal Year 2009 Results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CHICAGO – (October 9, 2009) – Oil-Dri Corporation of America (NYSE: ODC) today announced increased net income and net sales for the fiscal year ended July 31, 2009.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reported net sales for the fiscal year of $236,245,000, a 2% increase compared with net sales of $232,359,000 for the previous fiscal year.  Net income for the fiscal year was $9,586,000, or $1.32 per diluted share, a 6% increase compared with net income of $9,039,000, or $1.25 per diluted share, for fiscal 2008.</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Net sales for the fourth quarter were $55,934,000, a 6% decrease compared with net sales of $59,505,000 in the same quarter one year ago.  The Company reported net income for the quarter of $2,552,000, or $0.35 per diluted share, a 3% increase compared with net income of $2,453,000, or $0.34 per diluted share, in the same quarter one year ago.</w:t>
      </w:r>
    </w:p>
    <w:p>
      <w:pPr>
        <w:pStyle w:val="TextBody"/>
        <w:spacing w:before="0" w:after="0"/>
        <w:ind w:left="0" w:right="0" w:hanging="0"/>
        <w:rPr/>
      </w:pPr>
      <w:r>
        <w:rPr/>
      </w:r>
    </w:p>
    <w:p>
      <w:pPr>
        <w:pStyle w:val="TextBody"/>
        <w:spacing w:before="0" w:after="0"/>
        <w:ind w:left="0" w:right="0" w:hanging="0"/>
        <w:jc w:val="left"/>
        <w:rPr>
          <w:rFonts w:ascii="Times New Roman" w:hAnsi="Times New Roman"/>
          <w:b/>
          <w:smallCaps/>
          <w:sz w:val="20"/>
        </w:rPr>
      </w:pPr>
      <w:r>
        <w:rPr>
          <w:rFonts w:ascii="Times New Roman" w:hAnsi="Times New Roman"/>
          <w:b/>
          <w:smallCaps/>
          <w:sz w:val="20"/>
        </w:rPr>
        <w:t>Fourth Quarter and Fiscal Year Review</w:t>
      </w:r>
    </w:p>
    <w:p>
      <w:pPr>
        <w:pStyle w:val="TextBody"/>
        <w:spacing w:before="0" w:after="0"/>
        <w:ind w:left="0" w:right="0" w:hanging="0"/>
        <w:jc w:val="left"/>
        <w:rPr>
          <w:rFonts w:ascii="Times New Roman" w:hAnsi="Times New Roman"/>
          <w:sz w:val="20"/>
        </w:rPr>
      </w:pPr>
      <w:r>
        <w:rPr>
          <w:rFonts w:ascii="Times New Roman" w:hAnsi="Times New Roman"/>
          <w:sz w:val="20"/>
        </w:rPr>
        <w:t>President and Chief Executive Officer Daniel S. Jaffee said, “While our net sales declined in the fourth quarter, we are encouraged by our year-end results and our concerted efforts to control expenses and sell higher margin products.  Our balance sheet remains strong, allowing us to reduce debt and pay dividends while investing heavily in capital projects.</w:t>
      </w:r>
    </w:p>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Overall our business remains healthy as indicated by the following key metrics.  We continue to make steady progress in light of the challenging economy and are pleased to have increased the dividend for the sixth consecutive year and invested in new products while supporting sales of existing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3"/>
      <w:bookmarkStart w:id="33" w:name="PGBRK3"/>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3"/>
      <w:bookmarkStart w:id="35" w:name="FTR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6" w:name="GLFTR3"/>
      <w:bookmarkEnd w:id="3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 w:name="PN3"/>
      <w:bookmarkEnd w:id="3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3"/>
      <w:bookmarkStart w:id="39" w:name="HDR3"/>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0" w:name="GLHDR3"/>
      <w:bookmarkEnd w:id="4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534"/>
        <w:gridCol w:w="87"/>
        <w:gridCol w:w="139"/>
        <w:gridCol w:w="1116"/>
        <w:gridCol w:w="187"/>
        <w:gridCol w:w="87"/>
        <w:gridCol w:w="139"/>
        <w:gridCol w:w="1116"/>
        <w:gridCol w:w="187"/>
        <w:gridCol w:w="86"/>
        <w:gridCol w:w="139"/>
        <w:gridCol w:w="1116"/>
        <w:gridCol w:w="187"/>
        <w:gridCol w:w="87"/>
        <w:gridCol w:w="139"/>
        <w:gridCol w:w="1116"/>
        <w:gridCol w:w="187"/>
        <w:gridCol w:w="86"/>
        <w:gridCol w:w="139"/>
        <w:gridCol w:w="1116"/>
        <w:gridCol w:w="215"/>
      </w:tblGrid>
      <w:tr>
        <w:trPr/>
        <w:tc>
          <w:tcPr>
            <w:tcW w:w="253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Key Metrics</w:t>
            </w:r>
          </w:p>
        </w:tc>
        <w:tc>
          <w:tcPr>
            <w:tcW w:w="87" w:type="dxa"/>
            <w:tcBorders/>
            <w:shd w:fill="auto" w:val="clear"/>
            <w:tcMar>
              <w:bottom w:w="0" w:type="dxa"/>
            </w:tcMar>
            <w:vAlign w:val="bottom"/>
          </w:tcPr>
          <w:p>
            <w:pPr>
              <w:pStyle w:val="TableContents"/>
              <w:spacing w:before="0" w:after="283"/>
              <w:rPr/>
            </w:pPr>
            <w:r>
              <w:rPr/>
              <w:t> </w:t>
            </w:r>
          </w:p>
        </w:tc>
        <w:tc>
          <w:tcPr>
            <w:tcW w:w="139" w:type="dxa"/>
            <w:tcBorders>
              <w:bottom w:val="single" w:sz="12" w:space="0" w:color="000000"/>
            </w:tcBorders>
            <w:shd w:fill="auto" w:val="clear"/>
            <w:vAlign w:val="bottom"/>
          </w:tcPr>
          <w:p>
            <w:pPr>
              <w:pStyle w:val="TableContents"/>
              <w:spacing w:before="0" w:after="283"/>
              <w:jc w:val="left"/>
              <w:rPr/>
            </w:pPr>
            <w:r>
              <w:rPr/>
              <w:t> </w:t>
            </w:r>
          </w:p>
        </w:tc>
        <w:tc>
          <w:tcPr>
            <w:tcW w:w="1116" w:type="dxa"/>
            <w:tcBorders>
              <w:bottom w:val="single" w:sz="12" w:space="0" w:color="000000"/>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F’09</w:t>
            </w:r>
          </w:p>
        </w:tc>
        <w:tc>
          <w:tcPr>
            <w:tcW w:w="187"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139" w:type="dxa"/>
            <w:tcBorders>
              <w:bottom w:val="single" w:sz="12" w:space="0" w:color="000000"/>
            </w:tcBorders>
            <w:shd w:fill="auto" w:val="clear"/>
            <w:vAlign w:val="bottom"/>
          </w:tcPr>
          <w:p>
            <w:pPr>
              <w:pStyle w:val="TableContents"/>
              <w:spacing w:before="0" w:after="283"/>
              <w:jc w:val="left"/>
              <w:rPr/>
            </w:pPr>
            <w:r>
              <w:rPr/>
              <w:t> </w:t>
            </w:r>
          </w:p>
        </w:tc>
        <w:tc>
          <w:tcPr>
            <w:tcW w:w="1116" w:type="dxa"/>
            <w:tcBorders>
              <w:bottom w:val="single" w:sz="12" w:space="0" w:color="000000"/>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F’08</w:t>
            </w:r>
          </w:p>
        </w:tc>
        <w:tc>
          <w:tcPr>
            <w:tcW w:w="187"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39" w:type="dxa"/>
            <w:tcBorders>
              <w:bottom w:val="single" w:sz="12" w:space="0" w:color="000000"/>
            </w:tcBorders>
            <w:shd w:fill="auto" w:val="clear"/>
            <w:vAlign w:val="bottom"/>
          </w:tcPr>
          <w:p>
            <w:pPr>
              <w:pStyle w:val="TableContents"/>
              <w:spacing w:before="0" w:after="283"/>
              <w:jc w:val="left"/>
              <w:rPr/>
            </w:pPr>
            <w:r>
              <w:rPr/>
              <w:t> </w:t>
            </w:r>
          </w:p>
        </w:tc>
        <w:tc>
          <w:tcPr>
            <w:tcW w:w="1116" w:type="dxa"/>
            <w:tcBorders>
              <w:bottom w:val="single" w:sz="12" w:space="0" w:color="000000"/>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F’07</w:t>
            </w:r>
          </w:p>
        </w:tc>
        <w:tc>
          <w:tcPr>
            <w:tcW w:w="187"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139" w:type="dxa"/>
            <w:tcBorders>
              <w:bottom w:val="single" w:sz="12" w:space="0" w:color="000000"/>
            </w:tcBorders>
            <w:shd w:fill="auto" w:val="clear"/>
            <w:vAlign w:val="bottom"/>
          </w:tcPr>
          <w:p>
            <w:pPr>
              <w:pStyle w:val="TableContents"/>
              <w:spacing w:before="0" w:after="283"/>
              <w:jc w:val="left"/>
              <w:rPr/>
            </w:pPr>
            <w:r>
              <w:rPr/>
              <w:t> </w:t>
            </w:r>
          </w:p>
        </w:tc>
        <w:tc>
          <w:tcPr>
            <w:tcW w:w="1116" w:type="dxa"/>
            <w:tcBorders>
              <w:bottom w:val="single" w:sz="12" w:space="0" w:color="000000"/>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F’06</w:t>
            </w:r>
          </w:p>
        </w:tc>
        <w:tc>
          <w:tcPr>
            <w:tcW w:w="187"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39" w:type="dxa"/>
            <w:tcBorders>
              <w:bottom w:val="single" w:sz="12" w:space="0" w:color="000000"/>
            </w:tcBorders>
            <w:shd w:fill="auto" w:val="clear"/>
            <w:vAlign w:val="bottom"/>
          </w:tcPr>
          <w:p>
            <w:pPr>
              <w:pStyle w:val="TableContents"/>
              <w:spacing w:before="0" w:after="283"/>
              <w:jc w:val="left"/>
              <w:rPr/>
            </w:pPr>
            <w:r>
              <w:rPr/>
              <w:t> </w:t>
            </w:r>
          </w:p>
        </w:tc>
        <w:tc>
          <w:tcPr>
            <w:tcW w:w="1116" w:type="dxa"/>
            <w:tcBorders>
              <w:bottom w:val="single" w:sz="12" w:space="0" w:color="000000"/>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F’05</w:t>
            </w:r>
          </w:p>
        </w:tc>
        <w:tc>
          <w:tcPr>
            <w:tcW w:w="215" w:type="dxa"/>
            <w:tcBorders/>
            <w:shd w:fill="auto" w:val="clear"/>
            <w:tcMar>
              <w:bottom w:w="0" w:type="dxa"/>
            </w:tcMar>
            <w:vAlign w:val="bottom"/>
          </w:tcPr>
          <w:p>
            <w:pPr>
              <w:pStyle w:val="TableContents"/>
              <w:spacing w:before="0" w:after="283"/>
              <w:jc w:val="left"/>
              <w:rPr/>
            </w:pPr>
            <w:r>
              <w:rPr/>
              <w:t> </w:t>
            </w:r>
          </w:p>
        </w:tc>
      </w:tr>
      <w:tr>
        <w:trPr/>
        <w:tc>
          <w:tcPr>
            <w:tcW w:w="2534" w:type="dxa"/>
            <w:tcBorders/>
            <w:shd w:fill="CCFFCC"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cash equivalents &amp; investments</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19,837,000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27,764,000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30,027,000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25,855,000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19,435,000</w:t>
            </w:r>
          </w:p>
        </w:tc>
        <w:tc>
          <w:tcPr>
            <w:tcW w:w="215" w:type="dxa"/>
            <w:tcBorders/>
            <w:shd w:fill="CCFFCC" w:val="clear"/>
            <w:tcMar>
              <w:bottom w:w="0" w:type="dxa"/>
            </w:tcMar>
            <w:vAlign w:val="bottom"/>
          </w:tcPr>
          <w:p>
            <w:pPr>
              <w:pStyle w:val="TableContents"/>
              <w:spacing w:before="0" w:after="283"/>
              <w:jc w:val="left"/>
              <w:rPr/>
            </w:pPr>
            <w:r>
              <w:rPr/>
              <w:t> </w:t>
            </w:r>
          </w:p>
        </w:tc>
      </w:tr>
      <w:tr>
        <w:trPr/>
        <w:tc>
          <w:tcPr>
            <w:tcW w:w="25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minus cash and equivalents (debt net of cash)</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1,663,000</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(684,000</w:t>
            </w:r>
          </w:p>
        </w:tc>
        <w:tc>
          <w:tcPr>
            <w:tcW w:w="18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1,133,000</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9,385,000</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3,885,000</w:t>
            </w:r>
          </w:p>
        </w:tc>
        <w:tc>
          <w:tcPr>
            <w:tcW w:w="215" w:type="dxa"/>
            <w:tcBorders/>
            <w:shd w:fill="FFFFFF" w:val="clear"/>
            <w:tcMar>
              <w:bottom w:w="0" w:type="dxa"/>
            </w:tcMar>
            <w:vAlign w:val="bottom"/>
          </w:tcPr>
          <w:p>
            <w:pPr>
              <w:pStyle w:val="TableContents"/>
              <w:spacing w:before="0" w:after="283"/>
              <w:jc w:val="left"/>
              <w:rPr/>
            </w:pPr>
            <w:r>
              <w:rPr/>
              <w:t> </w:t>
            </w:r>
          </w:p>
        </w:tc>
      </w:tr>
      <w:tr>
        <w:trPr/>
        <w:tc>
          <w:tcPr>
            <w:tcW w:w="2534" w:type="dxa"/>
            <w:tcBorders/>
            <w:shd w:fill="CCFFCC"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Return on average stockholders’ equity</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pPr>
            <w:r>
              <w:rPr/>
              <w:t> </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87"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pPr>
            <w:r>
              <w:rPr/>
              <w:t> </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87"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pPr>
            <w:r>
              <w:rPr/>
              <w:t> </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7"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pPr>
            <w:r>
              <w:rPr/>
              <w:t> </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87"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pPr>
            <w:r>
              <w:rPr/>
              <w:t> </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15"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per diluted share</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215" w:type="dxa"/>
            <w:tcBorders/>
            <w:shd w:fill="FFFFFF" w:val="clear"/>
            <w:tcMar>
              <w:bottom w:w="0" w:type="dxa"/>
            </w:tcMar>
            <w:vAlign w:val="bottom"/>
          </w:tcPr>
          <w:p>
            <w:pPr>
              <w:pStyle w:val="TableContents"/>
              <w:spacing w:before="0" w:after="283"/>
              <w:jc w:val="left"/>
              <w:rPr/>
            </w:pPr>
            <w:r>
              <w:rPr/>
              <w:t> </w:t>
            </w:r>
          </w:p>
        </w:tc>
      </w:tr>
      <w:tr>
        <w:trPr/>
        <w:tc>
          <w:tcPr>
            <w:tcW w:w="2534" w:type="dxa"/>
            <w:tcBorders/>
            <w:shd w:fill="CCFFCC"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expenses</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2,099,000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2,154,000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1,809,000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2,429,000</w:t>
            </w:r>
          </w:p>
        </w:tc>
        <w:tc>
          <w:tcPr>
            <w:tcW w:w="215" w:type="dxa"/>
            <w:tcBorders/>
            <w:shd w:fill="CCFFCC" w:val="clear"/>
            <w:tcMar>
              <w:bottom w:w="0" w:type="dxa"/>
            </w:tcMar>
            <w:vAlign w:val="bottom"/>
          </w:tcPr>
          <w:p>
            <w:pPr>
              <w:pStyle w:val="TableContents"/>
              <w:spacing w:before="0" w:after="283"/>
              <w:jc w:val="left"/>
              <w:rPr/>
            </w:pPr>
            <w:r>
              <w:rPr/>
              <w:t> </w:t>
            </w:r>
          </w:p>
        </w:tc>
      </w:tr>
      <w:tr>
        <w:trPr/>
        <w:tc>
          <w:tcPr>
            <w:tcW w:w="25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expenditures</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15,253,000</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7,302,000</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7,757,000</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10,827,000</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7,311,000</w:t>
            </w:r>
          </w:p>
        </w:tc>
        <w:tc>
          <w:tcPr>
            <w:tcW w:w="215" w:type="dxa"/>
            <w:tcBorders/>
            <w:shd w:fill="FFFFFF" w:val="clear"/>
            <w:tcMar>
              <w:bottom w:w="0" w:type="dxa"/>
            </w:tcMar>
            <w:vAlign w:val="bottom"/>
          </w:tcPr>
          <w:p>
            <w:pPr>
              <w:pStyle w:val="TableContents"/>
              <w:spacing w:before="0" w:after="283"/>
              <w:jc w:val="left"/>
              <w:rPr/>
            </w:pPr>
            <w:r>
              <w:rPr/>
              <w:t> </w:t>
            </w:r>
          </w:p>
        </w:tc>
      </w:tr>
      <w:tr>
        <w:trPr/>
        <w:tc>
          <w:tcPr>
            <w:tcW w:w="2534" w:type="dxa"/>
            <w:tcBorders/>
            <w:shd w:fill="CCFFCC"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Dividends paid</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3,684,000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3,377,000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3,038,000</w:t>
            </w:r>
          </w:p>
        </w:tc>
        <w:tc>
          <w:tcPr>
            <w:tcW w:w="187" w:type="dxa"/>
            <w:tcBorders/>
            <w:shd w:fill="CCFFCC" w:val="clear"/>
            <w:tcMar>
              <w:bottom w:w="0" w:type="dxa"/>
            </w:tcMar>
            <w:vAlign w:val="bottom"/>
          </w:tcPr>
          <w:p>
            <w:pPr>
              <w:pStyle w:val="TableContents"/>
              <w:spacing w:before="0" w:after="283"/>
              <w:jc w:val="left"/>
              <w:rPr/>
            </w:pPr>
            <w:r>
              <w:rPr/>
              <w:t> </w:t>
            </w:r>
          </w:p>
        </w:tc>
        <w:tc>
          <w:tcPr>
            <w:tcW w:w="87"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2,403,000</w:t>
            </w:r>
          </w:p>
        </w:tc>
        <w:tc>
          <w:tcPr>
            <w:tcW w:w="187" w:type="dxa"/>
            <w:tcBorders/>
            <w:shd w:fill="CCFFCC" w:val="clear"/>
            <w:tcMar>
              <w:bottom w:w="0" w:type="dxa"/>
            </w:tcMar>
            <w:vAlign w:val="bottom"/>
          </w:tcPr>
          <w:p>
            <w:pPr>
              <w:pStyle w:val="TableContents"/>
              <w:spacing w:before="0" w:after="283"/>
              <w:jc w:val="left"/>
              <w:rPr/>
            </w:pPr>
            <w:r>
              <w:rPr/>
              <w:t> </w:t>
            </w:r>
          </w:p>
        </w:tc>
        <w:tc>
          <w:tcPr>
            <w:tcW w:w="86" w:type="dxa"/>
            <w:tcBorders/>
            <w:shd w:fill="CCFFCC" w:val="clear"/>
            <w:tcMar>
              <w:bottom w:w="0" w:type="dxa"/>
            </w:tcMar>
            <w:vAlign w:val="bottom"/>
          </w:tcPr>
          <w:p>
            <w:pPr>
              <w:pStyle w:val="TableContents"/>
              <w:spacing w:before="0" w:after="283"/>
              <w:rPr/>
            </w:pPr>
            <w:r>
              <w:rPr/>
              <w:t> </w:t>
            </w:r>
          </w:p>
        </w:tc>
        <w:tc>
          <w:tcPr>
            <w:tcW w:w="139" w:type="dxa"/>
            <w:tcBorders/>
            <w:shd w:fill="CCFFCC"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FFCC"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2,206,000</w:t>
            </w:r>
          </w:p>
        </w:tc>
        <w:tc>
          <w:tcPr>
            <w:tcW w:w="215" w:type="dxa"/>
            <w:tcBorders/>
            <w:shd w:fill="CCFFCC" w:val="clear"/>
            <w:tcMar>
              <w:bottom w:w="0" w:type="dxa"/>
            </w:tcMar>
            <w:vAlign w:val="bottom"/>
          </w:tcPr>
          <w:p>
            <w:pPr>
              <w:pStyle w:val="TableContents"/>
              <w:spacing w:before="0" w:after="283"/>
              <w:jc w:val="left"/>
              <w:rPr/>
            </w:pPr>
            <w:r>
              <w:rPr/>
              <w:t> </w:t>
            </w:r>
          </w:p>
        </w:tc>
      </w:tr>
      <w:tr>
        <w:trPr/>
        <w:tc>
          <w:tcPr>
            <w:tcW w:w="25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Dividends paid per Common Stock share</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0.48</w:t>
            </w:r>
          </w:p>
        </w:tc>
        <w:tc>
          <w:tcPr>
            <w:tcW w:w="187"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187"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3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21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sz w:val="20"/>
        </w:rPr>
        <w:t>*Net income per diluted share reflects the five-for-four stock split effected on September 8, 2006.</w:t>
      </w:r>
    </w:p>
    <w:p>
      <w:pPr>
        <w:pStyle w:val="TextBody"/>
        <w:spacing w:before="0" w:after="0"/>
        <w:ind w:left="0" w:right="0" w:hanging="0"/>
        <w:rPr/>
      </w:pPr>
      <w:r>
        <w:rPr/>
      </w:r>
    </w:p>
    <w:p>
      <w:pPr>
        <w:pStyle w:val="TextBody"/>
        <w:spacing w:before="0" w:after="0"/>
        <w:ind w:left="0" w:right="0" w:hanging="0"/>
        <w:jc w:val="left"/>
        <w:rPr>
          <w:rFonts w:ascii="Times New Roman" w:hAnsi="Times New Roman"/>
          <w:b/>
          <w:smallCaps/>
          <w:sz w:val="20"/>
        </w:rPr>
      </w:pPr>
      <w:r>
        <w:rPr>
          <w:rFonts w:ascii="Times New Roman" w:hAnsi="Times New Roman"/>
          <w:b/>
          <w:smallCaps/>
          <w:sz w:val="20"/>
        </w:rPr>
        <w:t>Business Review</w:t>
      </w:r>
    </w:p>
    <w:p>
      <w:pPr>
        <w:pStyle w:val="TextBody"/>
        <w:spacing w:before="0" w:after="0"/>
        <w:ind w:left="0" w:right="0" w:hanging="0"/>
        <w:jc w:val="left"/>
        <w:rPr>
          <w:rFonts w:ascii="Times New Roman" w:hAnsi="Times New Roman"/>
          <w:sz w:val="20"/>
        </w:rPr>
      </w:pPr>
      <w:r>
        <w:rPr>
          <w:rFonts w:ascii="Times New Roman" w:hAnsi="Times New Roman"/>
          <w:sz w:val="20"/>
        </w:rPr>
        <w:t>Net sales for the Company’s Business to Business Products Group were $76,049,000 and group income was $14,948,000 for the fiscal year.  Net sales for the quarter were $17,208,000 and group income was $2,957,000.  Net sales and unit volume were down for Pro’s Choice, Flo-Fre, Pure-Flo and ConditionAde products for the fiscal year and fourth quarter.  Net sales were up for Agsorb, Ultra-Clear products in the fiscal year and quarter.  The new Calibrin products also contributed to the Group’s results for the fiscal year and quarter.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Net sales for the Company’s Retail and Wholesale Products Group were $160,196,000 and group income was $17,007,000 for the fiscal year.  Net sales for the quarter were $38,726,000 and group income was $5,099,000.  Net sales were up for Cat’s Pride branded and private label cat litters for the fiscal year.  The worldwide economic slowdown led to decreased net sales of industrial and automotive products in the United States and net sales and unit volume declines in Canada and the United Kingdom.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4"/>
      <w:bookmarkStart w:id="42" w:name="PGBRK4"/>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4"/>
      <w:bookmarkStart w:id="44" w:name="FTR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5" w:name="GLFTR4"/>
      <w:bookmarkEnd w:id="4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 w:name="PN4"/>
      <w:bookmarkEnd w:id="4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4"/>
      <w:bookmarkStart w:id="48" w:name="HDR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9" w:name="GLHDR4"/>
      <w:bookmarkEnd w:id="4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mallCaps/>
          <w:sz w:val="20"/>
        </w:rPr>
      </w:pPr>
      <w:r>
        <w:rPr>
          <w:rFonts w:ascii="Times New Roman" w:hAnsi="Times New Roman"/>
          <w:b/>
          <w:smallCaps/>
          <w:sz w:val="20"/>
        </w:rPr>
        <w:t>Financial Review</w:t>
      </w:r>
    </w:p>
    <w:p>
      <w:pPr>
        <w:pStyle w:val="TextBody"/>
        <w:spacing w:before="0" w:after="0"/>
        <w:ind w:left="0" w:right="0" w:hanging="0"/>
        <w:jc w:val="left"/>
        <w:rPr>
          <w:rFonts w:ascii="Times New Roman" w:hAnsi="Times New Roman"/>
          <w:sz w:val="20"/>
        </w:rPr>
      </w:pPr>
      <w:r>
        <w:rPr>
          <w:rFonts w:ascii="Times New Roman" w:hAnsi="Times New Roman"/>
          <w:sz w:val="20"/>
        </w:rPr>
        <w:t>On June 9, 2009, Oil-Dri’s Board of Directors declared quarterly cash dividends of $0.15 per share of outstanding Common Stock and $0.1125 per share of outstanding Class B Stock.  The dividends were payable September 4, 2009 to stockholders of record at the close of business on August 21, 2009.  At the July 31, 2009 stock closing price of $15.75 per share and assuming cash dividends continue at the same rate, the annual yield on the Company’s Common Stock is 3.8%.</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paid cash dividends continuously since 1974 and has increased dividends annually for the past six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Cash, cash equivalents and short-term investments at July 31, 2009, totaled $19,837,000.  Capital expenditures for the fiscal year totaled $15,253,000, which was $7,847,000 more than the fiscal year’s depreciation and amortization of $7,406,000.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Other noncurrent liabilities increased significantly during the year.  The increase was the result of a higher actuarially calculated benefit obligation and lower plan asset values for the Company’s defined benefit pension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Capital expenditures in the fiscal year were significantly greater than in previous fiscal years due to construction of a new plant in Ripley, Mississippi at which the Company will manufacture its new Verge engineered granules.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effective tax rate was 28% of the pre-tax income in fiscal 2009 versus 26% in fiscal 2008.  The effective tax rate was higher in fiscal 2009 due to higher income, a lower deduction for mining depletion due to reduced tonnage and an unfavorable tax impact from foreign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 w:name="PGBRK5"/>
      <w:bookmarkStart w:id="51" w:name="PGBRK5"/>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5"/>
      <w:bookmarkStart w:id="53" w:name="FTR5"/>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4" w:name="GLFTR5"/>
      <w:bookmarkEnd w:id="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 w:name="PN5"/>
      <w:bookmarkEnd w:id="5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5"/>
      <w:bookmarkStart w:id="57" w:name="HDR5"/>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8" w:name="GLHDR5"/>
      <w:bookmarkEnd w:id="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mallCaps/>
          <w:sz w:val="20"/>
        </w:rPr>
      </w:pPr>
      <w:r>
        <w:rPr>
          <w:rFonts w:ascii="Times New Roman" w:hAnsi="Times New Roman"/>
          <w:b/>
          <w:smallCaps/>
          <w:sz w:val="20"/>
        </w:rPr>
        <w:t>Looking Forward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Jaffee continued, “In June 2009 we announced that Wal-Mart would dramatically reduce the number of stores carrying our branded cat litter products.  The new store counts went into effect in August 2009 and have resulted in the loss of a material amount of branded cat litter sales and related profitability with this account.  We have received strong support from our other retail partners who see this as an opportunity to promote Cat’s Pride and grow their cat litter sales.  Only time will tell what the net effect of these changes will be on our top and bottom lines.</w:t>
      </w:r>
    </w:p>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We are encouraged by the growing opportunities for our newly launched products, Calibrin-A and Calibrin-Z enterosorbents.  Considering the regulatory challenges for product registration and the worldwide economic slowdown, we are very pleased with the initial acceptance of these products in the marketplace.</w:t>
      </w:r>
    </w:p>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We also are pleased with the prospect of sales of our Verge engineered granules.  These new higher margin products may help offset some of the Wal-Mart unit volume and net sales declines we expect to see in the current fiscal year.  We also hope to benefit from lower fuel costs as we begin new natural gas contracts in the first quarter.”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The Company will offer a live webcast of the fourth quarter earnings teleconference on Tuesday, October 13, 2009 from 10:00 a.m. to 10:30 a.m., Chicago Time.  To listen to the call via the web, please visit </w:t>
      </w:r>
      <w:r>
        <w:rPr>
          <w:rFonts w:ascii="Times New Roman" w:hAnsi="Times New Roman"/>
          <w:sz w:val="20"/>
          <w:u w:val="single"/>
        </w:rPr>
        <w:t>www.streetevents.com</w:t>
      </w:r>
      <w:r>
        <w:rPr>
          <w:rFonts w:ascii="Times New Roman" w:hAnsi="Times New Roman"/>
          <w:sz w:val="20"/>
        </w:rPr>
        <w:t xml:space="preserve"> or </w:t>
      </w:r>
      <w:r>
        <w:rPr>
          <w:rFonts w:ascii="Times New Roman" w:hAnsi="Times New Roman"/>
          <w:sz w:val="20"/>
          <w:u w:val="single"/>
        </w:rPr>
        <w:t>www.oildri.com</w:t>
      </w:r>
      <w:r>
        <w:rPr>
          <w:rFonts w:ascii="Times New Roman" w:hAnsi="Times New Roman"/>
          <w:sz w:val="20"/>
        </w:rPr>
        <w:t>.  An archived recording of the call and written transcripts of all teleconferences are posted on the Oil-Dri website.</w:t>
      </w:r>
    </w:p>
    <w:p>
      <w:pPr>
        <w:pStyle w:val="TextBody"/>
        <w:spacing w:before="0" w:after="0"/>
        <w:rPr/>
      </w:pPr>
      <w:r>
        <w:rPr/>
        <w:t> </w:t>
      </w:r>
    </w:p>
    <w:p>
      <w:pPr>
        <w:pStyle w:val="HorizontalLine"/>
        <w:pBdr>
          <w:bottom w:val="single" w:sz="18" w:space="0" w:color="808080"/>
        </w:pBdr>
        <w:rPr/>
      </w:pPr>
      <w:r>
        <w:rPr/>
      </w:r>
    </w:p>
    <w:p>
      <w:pPr>
        <w:pStyle w:val="TextBody"/>
        <w:spacing w:before="0" w:after="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Agsorb, Calibrin, Cat’s Pride, ConditionAde, Flo-Fre, Pure-Flo, and Ultra-Clear are all registered trademarks of Oil-Dri Corporation of America.  Pro’s Choice and Verge are trademarks of Oil-Dri Corporation of America.</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Certain statements in this press release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 w:name="PGBRK6"/>
      <w:bookmarkStart w:id="60" w:name="PGBRK6"/>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FTR6"/>
      <w:bookmarkStart w:id="62" w:name="FTR6"/>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3" w:name="GLFTR6"/>
      <w:bookmarkEnd w:id="6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4" w:name="PN6"/>
      <w:bookmarkEnd w:id="6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HDR6"/>
      <w:bookmarkStart w:id="66" w:name="HDR6"/>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7" w:name="GLHDR6"/>
      <w:bookmarkEnd w:id="6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OIL -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Income</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4217"/>
        <w:gridCol w:w="107"/>
        <w:gridCol w:w="150"/>
        <w:gridCol w:w="1038"/>
        <w:gridCol w:w="120"/>
        <w:gridCol w:w="107"/>
        <w:gridCol w:w="132"/>
        <w:gridCol w:w="1142"/>
        <w:gridCol w:w="190"/>
        <w:gridCol w:w="107"/>
        <w:gridCol w:w="150"/>
        <w:gridCol w:w="1038"/>
        <w:gridCol w:w="120"/>
        <w:gridCol w:w="107"/>
        <w:gridCol w:w="131"/>
        <w:gridCol w:w="1142"/>
        <w:gridCol w:w="207"/>
      </w:tblGrid>
      <w:tr>
        <w:trPr/>
        <w:tc>
          <w:tcPr>
            <w:tcW w:w="421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567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Fourth Quarter Ended July 31,</w:t>
            </w:r>
          </w:p>
        </w:tc>
        <w:tc>
          <w:tcPr>
            <w:tcW w:w="207" w:type="dxa"/>
            <w:tcBorders/>
            <w:shd w:fill="auto" w:val="clear"/>
            <w:vAlign w:val="bottom"/>
          </w:tcPr>
          <w:p>
            <w:pPr>
              <w:pStyle w:val="TableContents"/>
              <w:spacing w:before="0" w:after="283"/>
              <w:jc w:val="left"/>
              <w:rPr/>
            </w:pPr>
            <w:r>
              <w:rPr/>
              <w:t> </w:t>
            </w:r>
          </w:p>
        </w:tc>
      </w:tr>
      <w:tr>
        <w:trPr/>
        <w:tc>
          <w:tcPr>
            <w:tcW w:w="421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07" w:type="dxa"/>
            <w:tcBorders/>
            <w:shd w:fill="auto"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55,934</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59,505</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(44,059</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78.8</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(48,270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81.1</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11,875</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11,235</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(8,090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(7,993</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3,785</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3,242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3,634</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3,153</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7"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2"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7"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2,552</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2,453</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0.37</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5,177</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5,114</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7,252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7,237</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4127"/>
        <w:gridCol w:w="105"/>
        <w:gridCol w:w="149"/>
        <w:gridCol w:w="1098"/>
        <w:gridCol w:w="119"/>
        <w:gridCol w:w="105"/>
        <w:gridCol w:w="131"/>
        <w:gridCol w:w="1132"/>
        <w:gridCol w:w="189"/>
        <w:gridCol w:w="105"/>
        <w:gridCol w:w="149"/>
        <w:gridCol w:w="1098"/>
        <w:gridCol w:w="119"/>
        <w:gridCol w:w="105"/>
        <w:gridCol w:w="131"/>
        <w:gridCol w:w="1132"/>
        <w:gridCol w:w="211"/>
      </w:tblGrid>
      <w:tr>
        <w:trPr/>
        <w:tc>
          <w:tcPr>
            <w:tcW w:w="4127"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5762"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Twelve Months Ended July 31,</w:t>
            </w:r>
          </w:p>
        </w:tc>
        <w:tc>
          <w:tcPr>
            <w:tcW w:w="211" w:type="dxa"/>
            <w:tcBorders/>
            <w:shd w:fill="auto" w:val="clear"/>
            <w:vAlign w:val="bottom"/>
          </w:tcPr>
          <w:p>
            <w:pPr>
              <w:pStyle w:val="TableContents"/>
              <w:spacing w:before="0" w:after="283"/>
              <w:jc w:val="left"/>
              <w:rPr/>
            </w:pPr>
            <w:r>
              <w:rPr/>
              <w:t> </w:t>
            </w:r>
          </w:p>
        </w:tc>
      </w:tr>
      <w:tr>
        <w:trPr/>
        <w:tc>
          <w:tcPr>
            <w:tcW w:w="4127"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8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11" w:type="dxa"/>
            <w:tcBorders/>
            <w:shd w:fill="auto" w:val="clear"/>
            <w:vAlign w:val="bottom"/>
          </w:tcPr>
          <w:p>
            <w:pPr>
              <w:pStyle w:val="TableContents"/>
              <w:spacing w:before="0" w:after="283"/>
              <w:jc w:val="left"/>
              <w:rPr/>
            </w:pPr>
            <w:r>
              <w:rPr/>
              <w:t> </w:t>
            </w:r>
          </w:p>
        </w:tc>
      </w:tr>
      <w:tr>
        <w:trPr/>
        <w:tc>
          <w:tcPr>
            <w:tcW w:w="412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236,245</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8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232,359</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1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(186,861</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(186,289</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49,384</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8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46,070</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21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(34,801</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(33,340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14,583</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12,730</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(1,910</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8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(2,189</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21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636</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1,634</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13,309</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12,175</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5" w:type="dxa"/>
            <w:tcBorders/>
            <w:shd w:fill="CCFFCC" w:val="clear"/>
            <w:vAlign w:val="bottom"/>
          </w:tcPr>
          <w:p>
            <w:pPr>
              <w:pStyle w:val="TableContents"/>
              <w:spacing w:before="0" w:after="283"/>
              <w:jc w:val="right"/>
              <w:rPr/>
            </w:pPr>
            <w:r>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(3,723</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3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8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(3,136</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FFCC" w:val="clear"/>
            <w:vAlign w:val="bottom"/>
          </w:tcPr>
          <w:p>
            <w:pPr>
              <w:pStyle w:val="TableContents"/>
              <w:spacing w:before="0" w:after="283"/>
              <w:jc w:val="right"/>
              <w:rPr/>
            </w:pPr>
            <w:r>
              <w:rPr/>
              <w:t> </w:t>
            </w:r>
          </w:p>
        </w:tc>
        <w:tc>
          <w:tcPr>
            <w:tcW w:w="13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1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5"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9,586</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8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9,039</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27"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412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412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412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5,146</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5,068</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412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1,874</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18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pPr>
            <w:r>
              <w:rPr/>
              <w:t> </w:t>
            </w:r>
          </w:p>
        </w:tc>
        <w:tc>
          <w:tcPr>
            <w:tcW w:w="149" w:type="dxa"/>
            <w:tcBorders/>
            <w:shd w:fill="CCFFCC" w:val="clear"/>
            <w:vAlign w:val="bottom"/>
          </w:tcPr>
          <w:p>
            <w:pPr>
              <w:pStyle w:val="TableContents"/>
              <w:spacing w:before="0" w:after="283"/>
              <w:jc w:val="left"/>
              <w:rPr/>
            </w:pPr>
            <w:r>
              <w:rPr/>
              <w:t> </w:t>
            </w:r>
          </w:p>
        </w:tc>
        <w:tc>
          <w:tcPr>
            <w:tcW w:w="10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1,854</w:t>
            </w:r>
          </w:p>
        </w:tc>
        <w:tc>
          <w:tcPr>
            <w:tcW w:w="119"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32"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412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7,242</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7,215</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8" w:name="PGBRK7"/>
      <w:bookmarkStart w:id="69" w:name="PGBRK7"/>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0" w:name="FTR7"/>
      <w:bookmarkStart w:id="71" w:name="FTR7"/>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72" w:name="GLFTR7"/>
      <w:bookmarkEnd w:id="7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 w:name="PN7"/>
      <w:bookmarkEnd w:id="7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4" w:name="HDR7"/>
      <w:bookmarkStart w:id="75" w:name="HDR7"/>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76" w:name="GLHDR7"/>
      <w:bookmarkEnd w:id="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OIL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5640"/>
        <w:gridCol w:w="1844"/>
        <w:gridCol w:w="107"/>
        <w:gridCol w:w="125"/>
        <w:gridCol w:w="1015"/>
        <w:gridCol w:w="107"/>
        <w:gridCol w:w="107"/>
        <w:gridCol w:w="125"/>
        <w:gridCol w:w="1015"/>
        <w:gridCol w:w="120"/>
      </w:tblGrid>
      <w:tr>
        <w:trPr/>
        <w:tc>
          <w:tcPr>
            <w:tcW w:w="5640" w:type="dxa"/>
            <w:tcBorders/>
            <w:shd w:fill="auto" w:val="clear"/>
            <w:vAlign w:val="bottom"/>
          </w:tcPr>
          <w:p>
            <w:pPr>
              <w:pStyle w:val="TableContents"/>
              <w:spacing w:before="0" w:after="283"/>
              <w:rPr/>
            </w:pPr>
            <w:r>
              <w:rPr/>
              <w:t xml:space="preserve">  </w:t>
            </w:r>
          </w:p>
        </w:tc>
        <w:tc>
          <w:tcPr>
            <w:tcW w:w="184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49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July 31,</w:t>
            </w:r>
          </w:p>
        </w:tc>
        <w:tc>
          <w:tcPr>
            <w:tcW w:w="120" w:type="dxa"/>
            <w:tcBorders/>
            <w:shd w:fill="auto" w:val="clear"/>
            <w:vAlign w:val="bottom"/>
          </w:tcPr>
          <w:p>
            <w:pPr>
              <w:pStyle w:val="TableContents"/>
              <w:spacing w:before="0" w:after="283"/>
              <w:jc w:val="left"/>
              <w:rPr/>
            </w:pPr>
            <w:r>
              <w:rPr/>
              <w:t> </w:t>
            </w:r>
          </w:p>
        </w:tc>
      </w:tr>
      <w:tr>
        <w:trPr/>
        <w:tc>
          <w:tcPr>
            <w:tcW w:w="5640" w:type="dxa"/>
            <w:tcBorders/>
            <w:shd w:fill="auto" w:val="clear"/>
            <w:vAlign w:val="bottom"/>
          </w:tcPr>
          <w:p>
            <w:pPr>
              <w:pStyle w:val="TableContents"/>
              <w:spacing w:before="0" w:after="283"/>
              <w:rPr/>
            </w:pPr>
            <w:r>
              <w:rPr/>
              <w:t xml:space="preserve">  </w:t>
            </w:r>
          </w:p>
        </w:tc>
        <w:tc>
          <w:tcPr>
            <w:tcW w:w="184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jc w:val="left"/>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0" w:type="dxa"/>
            <w:tcBorders/>
            <w:shd w:fill="auto" w:val="clear"/>
            <w:vAlign w:val="bottom"/>
          </w:tcPr>
          <w:p>
            <w:pPr>
              <w:pStyle w:val="TableContents"/>
              <w:spacing w:before="0" w:after="283"/>
              <w:jc w:val="left"/>
              <w:rPr/>
            </w:pPr>
            <w:r>
              <w:rPr/>
              <w:t> </w:t>
            </w:r>
          </w:p>
        </w:tc>
      </w:tr>
      <w:tr>
        <w:trPr/>
        <w:tc>
          <w:tcPr>
            <w:tcW w:w="5640" w:type="dxa"/>
            <w:tcBorders/>
            <w:shd w:fill="auto" w:val="clear"/>
            <w:vAlign w:val="bottom"/>
          </w:tcPr>
          <w:p>
            <w:pPr>
              <w:pStyle w:val="TableContents"/>
              <w:spacing w:before="0" w:after="283"/>
              <w:rPr/>
            </w:pPr>
            <w:r>
              <w:rPr/>
              <w:t xml:space="preserve">  </w:t>
            </w:r>
          </w:p>
        </w:tc>
        <w:tc>
          <w:tcPr>
            <w:tcW w:w="184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140" w:type="dxa"/>
            <w:gridSpan w:val="2"/>
            <w:tcBorders/>
            <w:shd w:fill="CCFFCC" w:val="clear"/>
            <w:vAlign w:val="bottom"/>
          </w:tcPr>
          <w:p>
            <w:pPr>
              <w:pStyle w:val="TableContents"/>
              <w:spacing w:before="0" w:after="283"/>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140" w:type="dxa"/>
            <w:gridSpan w:val="2"/>
            <w:tcBorders/>
            <w:shd w:fill="CCFFCC" w:val="clear"/>
            <w:vAlign w:val="bottom"/>
          </w:tcPr>
          <w:p>
            <w:pPr>
              <w:pStyle w:val="TableContents"/>
              <w:spacing w:before="0" w:after="283"/>
              <w:rPr/>
            </w:pPr>
            <w:r>
              <w:rPr/>
              <w:t> </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Cash and Cash Equivalents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Investment in Treasury Securities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20,916</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Accounts Receivable, net</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31,383</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Inventories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17,795</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17,744</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Prepaid Expenses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7,085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5,760</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540" w:right="0" w:hanging="0"/>
              <w:jc w:val="left"/>
              <w:rPr>
                <w:rFonts w:ascii="times new roman" w:hAnsi="times new roman"/>
                <w:b/>
                <w:sz w:val="20"/>
              </w:rPr>
            </w:pPr>
            <w:r>
              <w:rPr>
                <w:rFonts w:ascii="times new roman" w:hAnsi="times new roman"/>
                <w:b/>
                <w:sz w:val="20"/>
              </w:rPr>
              <w:t>Total Current Assets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73,717</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82,651</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Plant and Equipment</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59,485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51,440</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Assets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16,059</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14,897</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149,261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148,988</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283"/>
              <w:rPr/>
            </w:pPr>
            <w:r>
              <w:rPr/>
              <w:t xml:space="preserve">  </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Current Maturities of Notes Payable</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5,580</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Accounts Payable</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5,304</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7,491</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Dividends Payable</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994</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919</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Accrued Expenses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16,111</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540" w:right="0" w:hanging="0"/>
              <w:jc w:val="left"/>
              <w:rPr>
                <w:rFonts w:ascii="times new roman" w:hAnsi="times new roman"/>
                <w:b/>
                <w:sz w:val="20"/>
              </w:rPr>
            </w:pPr>
            <w:r>
              <w:rPr>
                <w:rFonts w:ascii="times new roman" w:hAnsi="times new roman"/>
                <w:b/>
                <w:sz w:val="20"/>
              </w:rPr>
              <w:t>Total Current Liabilities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23,768</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30,101</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Liabilities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Notes Payable</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18,300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21,500</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Other Noncurrent Liabilities</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17,630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9,761</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540" w:right="0" w:hanging="0"/>
              <w:jc w:val="left"/>
              <w:rPr>
                <w:rFonts w:ascii="times new roman" w:hAnsi="times new roman"/>
                <w:b/>
                <w:sz w:val="20"/>
              </w:rPr>
            </w:pPr>
            <w:r>
              <w:rPr>
                <w:rFonts w:ascii="times new roman" w:hAnsi="times new roman"/>
                <w:b/>
                <w:sz w:val="20"/>
              </w:rPr>
              <w:t>Total Long-Term Liabilities</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35,930</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31,261</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89,563</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87,626</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149,261</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148,988</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283"/>
              <w:rPr/>
            </w:pPr>
            <w:r>
              <w:rPr/>
              <w:t xml:space="preserve">  </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Book Value Per Share Outstanding</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12.76</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12.66</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283"/>
              <w:rPr/>
            </w:pPr>
            <w:r>
              <w:rPr/>
              <w:t xml:space="preserve">  </w:t>
            </w:r>
          </w:p>
        </w:tc>
        <w:tc>
          <w:tcPr>
            <w:tcW w:w="18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Acquisitions of</w:t>
            </w:r>
          </w:p>
        </w:tc>
        <w:tc>
          <w:tcPr>
            <w:tcW w:w="1844"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01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Property, Plant and Equipment</w:t>
            </w:r>
          </w:p>
        </w:tc>
        <w:tc>
          <w:tcPr>
            <w:tcW w:w="1844"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Fourth Quarter</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2,571</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2,950</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283"/>
              <w:rPr/>
            </w:pPr>
            <w:r>
              <w:rPr/>
              <w:t xml:space="preserve">  </w:t>
            </w:r>
          </w:p>
        </w:tc>
        <w:tc>
          <w:tcPr>
            <w:tcW w:w="184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to Date</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15,253</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7,302</w:t>
            </w:r>
          </w:p>
        </w:tc>
        <w:tc>
          <w:tcPr>
            <w:tcW w:w="120" w:type="dxa"/>
            <w:tcBorders/>
            <w:shd w:fill="FFFFFF" w:val="clear"/>
            <w:vAlign w:val="bottom"/>
          </w:tcPr>
          <w:p>
            <w:pPr>
              <w:pStyle w:val="TableContents"/>
              <w:spacing w:before="0" w:after="283"/>
              <w:jc w:val="left"/>
              <w:rPr/>
            </w:pPr>
            <w:r>
              <w:rPr/>
              <w:t> </w:t>
            </w:r>
          </w:p>
        </w:tc>
      </w:tr>
      <w:tr>
        <w:trPr/>
        <w:tc>
          <w:tcPr>
            <w:tcW w:w="5640"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Depreciation and Amortization Charges</w:t>
            </w:r>
          </w:p>
        </w:tc>
        <w:tc>
          <w:tcPr>
            <w:tcW w:w="1844"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Fourth Quarter</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1,979</w:t>
            </w:r>
          </w:p>
        </w:tc>
        <w:tc>
          <w:tcPr>
            <w:tcW w:w="107"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lef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1,859</w:t>
            </w:r>
          </w:p>
        </w:tc>
        <w:tc>
          <w:tcPr>
            <w:tcW w:w="120" w:type="dxa"/>
            <w:tcBorders/>
            <w:shd w:fill="CCFFCC" w:val="clear"/>
            <w:vAlign w:val="bottom"/>
          </w:tcPr>
          <w:p>
            <w:pPr>
              <w:pStyle w:val="TableContents"/>
              <w:spacing w:before="0" w:after="283"/>
              <w:jc w:val="left"/>
              <w:rPr/>
            </w:pPr>
            <w:r>
              <w:rPr/>
              <w:t> </w:t>
            </w:r>
          </w:p>
        </w:tc>
      </w:tr>
      <w:tr>
        <w:trPr/>
        <w:tc>
          <w:tcPr>
            <w:tcW w:w="5640" w:type="dxa"/>
            <w:tcBorders/>
            <w:shd w:fill="FFFFFF" w:val="clear"/>
            <w:vAlign w:val="bottom"/>
          </w:tcPr>
          <w:p>
            <w:pPr>
              <w:pStyle w:val="TableContents"/>
              <w:spacing w:before="0" w:after="283"/>
              <w:rPr/>
            </w:pPr>
            <w:r>
              <w:rPr/>
              <w:t xml:space="preserve">  </w:t>
            </w:r>
          </w:p>
        </w:tc>
        <w:tc>
          <w:tcPr>
            <w:tcW w:w="184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to Date</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7,455</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 w:name="PGBRK8"/>
      <w:bookmarkStart w:id="78" w:name="PGBRK8"/>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FTR8"/>
      <w:bookmarkStart w:id="80" w:name="FTR8"/>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81" w:name="GLFTR8"/>
      <w:bookmarkEnd w:id="8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 w:name="PN8"/>
      <w:bookmarkEnd w:id="8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HDR8"/>
      <w:bookmarkStart w:id="84" w:name="HDR8"/>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85" w:name="GLHDR8"/>
      <w:bookmarkEnd w:id="8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OIL - DRI CORPORATION OF AMERICA</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left"/>
        <w:rPr>
          <w:rFonts w:ascii="Times New Roman" w:hAnsi="Times New Roman"/>
          <w:sz w:val="20"/>
        </w:rPr>
      </w:pPr>
      <w:r>
        <w:rPr>
          <w:rFonts w:ascii="Times New Roman" w:hAnsi="Times New Roman"/>
          <w:sz w:val="20"/>
        </w:rPr>
        <w:t>(in thousands)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697"/>
        <w:gridCol w:w="114"/>
        <w:gridCol w:w="190"/>
        <w:gridCol w:w="1295"/>
        <w:gridCol w:w="150"/>
        <w:gridCol w:w="132"/>
        <w:gridCol w:w="190"/>
        <w:gridCol w:w="1298"/>
        <w:gridCol w:w="139"/>
      </w:tblGrid>
      <w:tr>
        <w:trPr/>
        <w:tc>
          <w:tcPr>
            <w:tcW w:w="6697"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325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Twelve Months Ended</w:t>
            </w:r>
          </w:p>
        </w:tc>
        <w:tc>
          <w:tcPr>
            <w:tcW w:w="139" w:type="dxa"/>
            <w:tcBorders/>
            <w:shd w:fill="auto" w:val="clear"/>
            <w:vAlign w:val="bottom"/>
          </w:tcPr>
          <w:p>
            <w:pPr>
              <w:pStyle w:val="TableContents"/>
              <w:spacing w:before="0" w:after="283"/>
              <w:jc w:val="left"/>
              <w:rPr/>
            </w:pPr>
            <w:r>
              <w:rPr/>
              <w:t> </w:t>
            </w:r>
          </w:p>
        </w:tc>
      </w:tr>
      <w:tr>
        <w:trPr/>
        <w:tc>
          <w:tcPr>
            <w:tcW w:w="6697"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325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tc>
        <w:tc>
          <w:tcPr>
            <w:tcW w:w="139" w:type="dxa"/>
            <w:tcBorders/>
            <w:shd w:fill="auto"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14" w:type="dxa"/>
            <w:tcBorders/>
            <w:shd w:fill="FFFFFF" w:val="clear"/>
            <w:vAlign w:val="bottom"/>
          </w:tcPr>
          <w:p>
            <w:pPr>
              <w:pStyle w:val="TableContents"/>
              <w:spacing w:before="0" w:after="283"/>
              <w:rPr/>
            </w:pPr>
            <w:r>
              <w:rPr/>
              <w:t> </w:t>
            </w:r>
          </w:p>
        </w:tc>
        <w:tc>
          <w:tcPr>
            <w:tcW w:w="1485"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rPr/>
            </w:pPr>
            <w:r>
              <w:rPr/>
              <w:t> </w:t>
            </w:r>
          </w:p>
        </w:tc>
        <w:tc>
          <w:tcPr>
            <w:tcW w:w="1488"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w:t>
            </w:r>
          </w:p>
        </w:tc>
        <w:tc>
          <w:tcPr>
            <w:tcW w:w="1485" w:type="dxa"/>
            <w:gridSpan w:val="2"/>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rPr/>
            </w:pPr>
            <w:r>
              <w:rPr/>
              <w:t> </w:t>
            </w:r>
          </w:p>
        </w:tc>
        <w:tc>
          <w:tcPr>
            <w:tcW w:w="1488" w:type="dxa"/>
            <w:gridSpan w:val="2"/>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4"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9,586</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9,039</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Adjustments to reconcile net income to net cash</w:t>
            </w:r>
            <w:r>
              <w:rPr>
                <w:rFonts w:ascii="times new roman" w:hAnsi="times new roman"/>
                <w:sz w:val="20"/>
              </w:rPr>
              <w:t xml:space="preserve"> </w:t>
            </w:r>
            <w:r>
              <w:rPr>
                <w:rFonts w:ascii="times new roman" w:hAnsi="times new roman"/>
                <w:b/>
                <w:sz w:val="20"/>
              </w:rPr>
              <w:t>provided by operating activities:</w:t>
            </w:r>
          </w:p>
        </w:tc>
        <w:tc>
          <w:tcPr>
            <w:tcW w:w="114"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Depreciation and Amortization</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7,406</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7,455</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(Increase) in Accounts Receivable</w:t>
            </w:r>
          </w:p>
        </w:tc>
        <w:tc>
          <w:tcPr>
            <w:tcW w:w="114"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2,354</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(3,538</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(Increase) in Inventories</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(2,507</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Increase in Accounts Payable</w:t>
            </w:r>
          </w:p>
        </w:tc>
        <w:tc>
          <w:tcPr>
            <w:tcW w:w="114"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(1,773</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1,438</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 Accrued Expenses</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(1,841</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4"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Adjustments</w:t>
            </w:r>
          </w:p>
        </w:tc>
        <w:tc>
          <w:tcPr>
            <w:tcW w:w="114"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6,228</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2,302</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Provided by Operating Activities</w:t>
            </w:r>
          </w:p>
        </w:tc>
        <w:tc>
          <w:tcPr>
            <w:tcW w:w="114"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15,814</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11,341</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14"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Capital Expenditures</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(15,253</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(7,302</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Dispositions (Purchases) of Investment Securities</w:t>
            </w:r>
          </w:p>
        </w:tc>
        <w:tc>
          <w:tcPr>
            <w:tcW w:w="114"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13,037</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(2,331</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4"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(1,257</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Investing Activities</w:t>
            </w:r>
          </w:p>
        </w:tc>
        <w:tc>
          <w:tcPr>
            <w:tcW w:w="114"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(2,189</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(10,890</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69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14"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Principal payments on Long-Term Debt</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(5,580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Dividends Paid</w:t>
            </w:r>
          </w:p>
        </w:tc>
        <w:tc>
          <w:tcPr>
            <w:tcW w:w="114"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(3,684</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(3,377</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Purchase of Treasury Stock</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4"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838</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Financing Activities</w:t>
            </w:r>
          </w:p>
        </w:tc>
        <w:tc>
          <w:tcPr>
            <w:tcW w:w="114"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(9,082</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righ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(5,666</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283"/>
              <w:rPr/>
            </w:pPr>
            <w:r>
              <w:rPr/>
              <w:t xml:space="preserve">  </w:t>
            </w:r>
          </w:p>
        </w:tc>
        <w:tc>
          <w:tcPr>
            <w:tcW w:w="114"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Effect of exchange rate changes on cash and cash equivalents</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448</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283"/>
              <w:rPr/>
            </w:pPr>
            <w:r>
              <w:rPr/>
              <w:t xml:space="preserve">  </w:t>
            </w:r>
          </w:p>
        </w:tc>
        <w:tc>
          <w:tcPr>
            <w:tcW w:w="114"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5"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rPr/>
            </w:pPr>
            <w:r>
              <w:rPr/>
              <w:t> </w:t>
            </w:r>
          </w:p>
        </w:tc>
        <w:tc>
          <w:tcPr>
            <w:tcW w:w="190" w:type="dxa"/>
            <w:tcBorders/>
            <w:shd w:fill="CCFFCC" w:val="clear"/>
            <w:vAlign w:val="bottom"/>
          </w:tcPr>
          <w:p>
            <w:pPr>
              <w:pStyle w:val="TableContents"/>
              <w:spacing w:before="0" w:after="283"/>
              <w:jc w:val="left"/>
              <w:rPr/>
            </w:pPr>
            <w:r>
              <w:rPr/>
              <w:t> </w:t>
            </w:r>
          </w:p>
        </w:tc>
        <w:tc>
          <w:tcPr>
            <w:tcW w:w="1298"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(Decrease) in Cash and Cash Equivalents</w:t>
            </w:r>
          </w:p>
        </w:tc>
        <w:tc>
          <w:tcPr>
            <w:tcW w:w="114"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4,991</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(5,285</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14"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50" w:type="dxa"/>
            <w:tcBorders/>
            <w:shd w:fill="CCFFCC" w:val="clear"/>
            <w:vAlign w:val="bottom"/>
          </w:tcPr>
          <w:p>
            <w:pPr>
              <w:pStyle w:val="TableContents"/>
              <w:spacing w:before="0" w:after="283"/>
              <w:jc w:val="left"/>
              <w:rPr/>
            </w:pPr>
            <w:r>
              <w:rPr/>
              <w:t> </w:t>
            </w:r>
          </w:p>
        </w:tc>
        <w:tc>
          <w:tcPr>
            <w:tcW w:w="132" w:type="dxa"/>
            <w:tcBorders/>
            <w:shd w:fill="CCFFCC" w:val="clear"/>
            <w:vAlign w:val="bottom"/>
          </w:tcPr>
          <w:p>
            <w:pPr>
              <w:pStyle w:val="TableContents"/>
              <w:spacing w:before="0" w:after="283"/>
              <w:jc w:val="right"/>
              <w:rPr/>
            </w:pPr>
            <w:r>
              <w:rPr/>
              <w:t> </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12,133</w:t>
            </w:r>
          </w:p>
        </w:tc>
        <w:tc>
          <w:tcPr>
            <w:tcW w:w="139" w:type="dxa"/>
            <w:tcBorders/>
            <w:shd w:fill="CCFFCC" w:val="clear"/>
            <w:vAlign w:val="bottom"/>
          </w:tcPr>
          <w:p>
            <w:pPr>
              <w:pStyle w:val="TableContents"/>
              <w:spacing w:before="0" w:after="283"/>
              <w:jc w:val="left"/>
              <w:rPr/>
            </w:pPr>
            <w:r>
              <w:rPr/>
              <w:t> </w:t>
            </w:r>
          </w:p>
        </w:tc>
      </w:tr>
      <w:tr>
        <w:trPr/>
        <w:tc>
          <w:tcPr>
            <w:tcW w:w="669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July 31</w:t>
            </w:r>
          </w:p>
        </w:tc>
        <w:tc>
          <w:tcPr>
            <w:tcW w:w="114" w:type="dxa"/>
            <w:tcBorders/>
            <w:shd w:fill="FFFFFF" w:val="clear"/>
            <w:vAlign w:val="bottom"/>
          </w:tcPr>
          <w:p>
            <w:pPr>
              <w:pStyle w:val="TableContents"/>
              <w:spacing w:before="0" w:after="283"/>
              <w:jc w:val="right"/>
              <w:rPr/>
            </w:pPr>
            <w:r>
              <w:rPr/>
              <w:t> </w:t>
            </w:r>
          </w:p>
        </w:tc>
        <w:tc>
          <w:tcPr>
            <w:tcW w:w="19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50"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right"/>
              <w:rPr/>
            </w:pPr>
            <w:r>
              <w:rPr/>
              <w:t> </w:t>
            </w:r>
          </w:p>
        </w:tc>
        <w:tc>
          <w:tcPr>
            <w:tcW w:w="19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3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 w:name="PGBRK9"/>
      <w:bookmarkStart w:id="87" w:name="PGBRK9"/>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9"/>
      <w:bookmarkStart w:id="89" w:name="FTR9"/>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0" w:name="GLFTR9"/>
      <w:bookmarkEnd w:id="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1" w:name="PN9"/>
      <w:bookmarkEnd w:id="9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HDR9"/>
      <w:bookmarkStart w:id="93" w:name="HDR9"/>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94" w:name="GLHDR9"/>
      <w:bookmarkEnd w:id="94"/>
      <w:r>
        <w:rPr>
          <w:color w:val="000000"/>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2586</Words>
  <CharactersWithSpaces>16906</CharactersWithSpaces>
  <Paragraphs>1774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