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580"/>
              <w:spacing w:after="0"/>
              <w:rPr>
                <w:sz w:val="20"/>
                <w:szCs w:val="20"/>
                <w:color w:val="auto"/>
              </w:rPr>
            </w:pPr>
            <w:r>
              <w:rPr>
                <w:rFonts w:ascii="Arial" w:cs="Arial" w:eastAsia="Arial" w:hAnsi="Arial"/>
                <w:sz w:val="18"/>
                <w:szCs w:val="18"/>
                <w:color w:val="auto"/>
                <w:w w:val="88"/>
              </w:rPr>
              <w:t>June 7, 2019</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688" w:right="239" w:bottom="1440" w:gutter="0" w:footer="0" w:header="0"/>
        </w:sectPr>
      </w:pPr>
    </w:p>
    <w:p>
      <w:pPr>
        <w:spacing w:after="0" w:line="171" w:lineRule="exact"/>
        <w:rPr>
          <w:sz w:val="24"/>
          <w:szCs w:val="24"/>
          <w:color w:val="auto"/>
        </w:rPr>
      </w:pPr>
    </w:p>
    <w:p>
      <w:pPr>
        <w:ind w:left="7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3920" w:space="720"/>
            <w:col w:w="1360" w:space="560"/>
            <w:col w:w="4860"/>
          </w:cols>
          <w:pgMar w:left="240" w:top="688"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920" w:space="720"/>
            <w:col w:w="1200" w:space="720"/>
            <w:col w:w="4860"/>
          </w:cols>
          <w:pgMar w:left="240" w:top="688" w:right="239" w:bottom="1440" w:gutter="0" w:footer="0" w:header="0"/>
          <w:type w:val="continuous"/>
        </w:sectPr>
      </w:pPr>
    </w:p>
    <w:p>
      <w:pPr>
        <w:spacing w:after="0" w:line="6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720" w:hanging="45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720" w:hanging="45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720" w:hanging="45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720" w:hanging="45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7, 2019, Oil-Dri Corporation of America (the “Registrant”) issued a press release announcing its results of operations for its third quarter ended April 30, 2019.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04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Press Release of the Registrant dated June 7, 2019</w:t>
            </w:r>
          </w:p>
        </w:tc>
        <w:tc>
          <w:tcPr>
            <w:tcW w:w="60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2019</w:t>
      </w:r>
    </w:p>
    <w:p>
      <w:pPr>
        <w:sectPr>
          <w:pgSz w:w="11900" w:h="16838" w:orient="portrait"/>
          <w:cols w:equalWidth="0" w:num="1">
            <w:col w:w="10880"/>
          </w:cols>
          <w:pgMar w:left="240" w:top="580" w:right="7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294640</wp:posOffset>
            </wp:positionV>
            <wp:extent cx="1475105"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360"/>
        <w:spacing w:after="0"/>
        <w:rPr>
          <w:sz w:val="20"/>
          <w:szCs w:val="20"/>
          <w:color w:val="auto"/>
        </w:rPr>
      </w:pPr>
      <w:r>
        <w:rPr>
          <w:rFonts w:ascii="Arial" w:cs="Arial" w:eastAsia="Arial" w:hAnsi="Arial"/>
          <w:sz w:val="19"/>
          <w:szCs w:val="19"/>
          <w:color w:val="auto"/>
        </w:rPr>
        <w:t>Exhibit 99.1</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Oil-Dri Announces Third Quarter and First Nine-Months of Fiscal 2019 Results</w:t>
      </w:r>
    </w:p>
    <w:p>
      <w:pPr>
        <w:spacing w:after="0" w:line="242"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CHICAGO-(June 7, 2019)-Oil-Dri Corporation of America (NYSE: ODC), producer and marketer of sorbent mineral products, today announced results for its third quarter and first nine-months of fiscal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06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Third Quarter</w:t>
            </w: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tcPr>
          <w:p>
            <w:pPr>
              <w:jc w:val="right"/>
              <w:ind w:right="592"/>
              <w:spacing w:after="0"/>
              <w:rPr>
                <w:sz w:val="20"/>
                <w:szCs w:val="20"/>
                <w:color w:val="auto"/>
              </w:rPr>
            </w:pPr>
            <w:r>
              <w:rPr>
                <w:rFonts w:ascii="Arial" w:cs="Arial" w:eastAsia="Arial" w:hAnsi="Arial"/>
                <w:sz w:val="18"/>
                <w:szCs w:val="18"/>
                <w:b w:val="1"/>
                <w:bCs w:val="1"/>
                <w:color w:val="auto"/>
                <w:w w:val="93"/>
              </w:rPr>
              <w:t>Year to Date</w:t>
            </w:r>
          </w:p>
        </w:tc>
        <w:tc>
          <w:tcPr>
            <w:tcW w:w="960" w:type="dxa"/>
            <w:vAlign w:val="bottom"/>
          </w:tcPr>
          <w:p>
            <w:pPr>
              <w:spacing w:after="0"/>
              <w:rPr>
                <w:sz w:val="20"/>
                <w:szCs w:val="20"/>
                <w:color w:val="auto"/>
              </w:rPr>
            </w:pPr>
          </w:p>
        </w:tc>
      </w:tr>
      <w:tr>
        <w:trPr>
          <w:trHeight w:val="285"/>
        </w:trPr>
        <w:tc>
          <w:tcPr>
            <w:tcW w:w="3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jc w:val="right"/>
              <w:ind w:right="552"/>
              <w:spacing w:after="0"/>
              <w:rPr>
                <w:sz w:val="20"/>
                <w:szCs w:val="20"/>
                <w:color w:val="auto"/>
              </w:rPr>
            </w:pPr>
            <w:r>
              <w:rPr>
                <w:rFonts w:ascii="Arial" w:cs="Arial" w:eastAsia="Arial" w:hAnsi="Arial"/>
                <w:sz w:val="14"/>
                <w:szCs w:val="14"/>
                <w:i w:val="1"/>
                <w:iCs w:val="1"/>
                <w:color w:val="auto"/>
                <w:w w:val="97"/>
              </w:rPr>
              <w:t>Ended April 30</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jc w:val="right"/>
              <w:ind w:right="632"/>
              <w:spacing w:after="0"/>
              <w:rPr>
                <w:sz w:val="20"/>
                <w:szCs w:val="20"/>
                <w:color w:val="auto"/>
              </w:rPr>
            </w:pPr>
            <w:r>
              <w:rPr>
                <w:rFonts w:ascii="Arial" w:cs="Arial" w:eastAsia="Arial" w:hAnsi="Arial"/>
                <w:sz w:val="14"/>
                <w:szCs w:val="14"/>
                <w:i w:val="1"/>
                <w:iCs w:val="1"/>
                <w:color w:val="auto"/>
              </w:rPr>
              <w:t>Ended April 30</w:t>
            </w:r>
          </w:p>
        </w:tc>
        <w:tc>
          <w:tcPr>
            <w:tcW w:w="960" w:type="dxa"/>
            <w:vAlign w:val="bottom"/>
          </w:tcPr>
          <w:p>
            <w:pPr>
              <w:spacing w:after="0"/>
              <w:rPr>
                <w:sz w:val="24"/>
                <w:szCs w:val="24"/>
                <w:color w:val="auto"/>
              </w:rPr>
            </w:pPr>
          </w:p>
        </w:tc>
      </w:tr>
      <w:tr>
        <w:trPr>
          <w:trHeight w:val="336"/>
        </w:trPr>
        <w:tc>
          <w:tcPr>
            <w:tcW w:w="32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7"/>
        </w:trPr>
        <w:tc>
          <w:tcPr>
            <w:tcW w:w="3220" w:type="dxa"/>
            <w:vAlign w:val="bottom"/>
            <w:tcBorders>
              <w:right w:val="single" w:sz="8" w:color="auto"/>
            </w:tcBorders>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F19</w:t>
            </w:r>
          </w:p>
        </w:tc>
        <w:tc>
          <w:tcPr>
            <w:tcW w:w="1560" w:type="dxa"/>
            <w:vAlign w:val="bottom"/>
          </w:tcPr>
          <w:p>
            <w:pPr>
              <w:jc w:val="right"/>
              <w:ind w:right="612"/>
              <w:spacing w:after="0"/>
              <w:rPr>
                <w:sz w:val="20"/>
                <w:szCs w:val="20"/>
                <w:color w:val="auto"/>
              </w:rPr>
            </w:pPr>
            <w:r>
              <w:rPr>
                <w:rFonts w:ascii="Arial" w:cs="Arial" w:eastAsia="Arial" w:hAnsi="Arial"/>
                <w:sz w:val="18"/>
                <w:szCs w:val="18"/>
                <w:b w:val="1"/>
                <w:bCs w:val="1"/>
                <w:color w:val="auto"/>
              </w:rPr>
              <w:t>F18</w:t>
            </w:r>
          </w:p>
        </w:tc>
        <w:tc>
          <w:tcPr>
            <w:tcW w:w="9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1580" w:type="dxa"/>
            <w:vAlign w:val="bottom"/>
          </w:tcPr>
          <w:p>
            <w:pPr>
              <w:jc w:val="right"/>
              <w:ind w:right="550"/>
              <w:spacing w:after="0"/>
              <w:rPr>
                <w:sz w:val="20"/>
                <w:szCs w:val="20"/>
                <w:color w:val="auto"/>
              </w:rPr>
            </w:pPr>
            <w:r>
              <w:rPr>
                <w:rFonts w:ascii="Arial" w:cs="Arial" w:eastAsia="Arial" w:hAnsi="Arial"/>
                <w:sz w:val="18"/>
                <w:szCs w:val="18"/>
                <w:b w:val="1"/>
                <w:bCs w:val="1"/>
                <w:color w:val="auto"/>
              </w:rPr>
              <w:t>F19</w:t>
            </w:r>
          </w:p>
        </w:tc>
        <w:tc>
          <w:tcPr>
            <w:tcW w:w="1680" w:type="dxa"/>
            <w:vAlign w:val="bottom"/>
          </w:tcPr>
          <w:p>
            <w:pPr>
              <w:jc w:val="right"/>
              <w:ind w:right="652"/>
              <w:spacing w:after="0"/>
              <w:rPr>
                <w:sz w:val="20"/>
                <w:szCs w:val="20"/>
                <w:color w:val="auto"/>
              </w:rPr>
            </w:pPr>
            <w:r>
              <w:rPr>
                <w:rFonts w:ascii="Arial" w:cs="Arial" w:eastAsia="Arial" w:hAnsi="Arial"/>
                <w:sz w:val="18"/>
                <w:szCs w:val="18"/>
                <w:b w:val="1"/>
                <w:bCs w:val="1"/>
                <w:color w:val="auto"/>
              </w:rPr>
              <w:t>F18</w:t>
            </w:r>
          </w:p>
        </w:tc>
        <w:tc>
          <w:tcPr>
            <w:tcW w:w="9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r>
      <w:tr>
        <w:trPr>
          <w:trHeight w:val="27"/>
        </w:trPr>
        <w:tc>
          <w:tcPr>
            <w:tcW w:w="3220" w:type="dxa"/>
            <w:vAlign w:val="bottom"/>
            <w:tcBorders>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Consolidated Results</w:t>
            </w:r>
          </w:p>
        </w:tc>
        <w:tc>
          <w:tcPr>
            <w:tcW w:w="150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580" w:type="dxa"/>
            <w:vAlign w:val="bottom"/>
            <w:tcBorders>
              <w:bottom w:val="single" w:sz="8" w:color="auto"/>
            </w:tcBorders>
            <w:shd w:val="clear" w:color="auto" w:fill="000000"/>
          </w:tcPr>
          <w:p>
            <w:pPr>
              <w:spacing w:after="0"/>
              <w:rPr>
                <w:sz w:val="21"/>
                <w:szCs w:val="21"/>
                <w:color w:val="auto"/>
              </w:rPr>
            </w:pPr>
          </w:p>
        </w:tc>
        <w:tc>
          <w:tcPr>
            <w:tcW w:w="168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500" w:type="dxa"/>
            <w:vAlign w:val="bottom"/>
          </w:tcPr>
          <w:p>
            <w:pPr>
              <w:jc w:val="right"/>
              <w:spacing w:after="0"/>
              <w:rPr>
                <w:sz w:val="20"/>
                <w:szCs w:val="20"/>
                <w:color w:val="auto"/>
              </w:rPr>
            </w:pPr>
            <w:r>
              <w:rPr>
                <w:rFonts w:ascii="Arial" w:cs="Arial" w:eastAsia="Arial" w:hAnsi="Arial"/>
                <w:sz w:val="18"/>
                <w:szCs w:val="18"/>
                <w:color w:val="auto"/>
              </w:rPr>
              <w:t>$70,885,000</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$64,847,000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9%</w:t>
            </w:r>
          </w:p>
        </w:tc>
        <w:tc>
          <w:tcPr>
            <w:tcW w:w="1580" w:type="dxa"/>
            <w:vAlign w:val="bottom"/>
          </w:tcPr>
          <w:p>
            <w:pPr>
              <w:jc w:val="right"/>
              <w:spacing w:after="0"/>
              <w:rPr>
                <w:sz w:val="20"/>
                <w:szCs w:val="20"/>
                <w:color w:val="auto"/>
              </w:rPr>
            </w:pPr>
            <w:r>
              <w:rPr>
                <w:rFonts w:ascii="Arial" w:cs="Arial" w:eastAsia="Arial" w:hAnsi="Arial"/>
                <w:sz w:val="18"/>
                <w:szCs w:val="18"/>
                <w:color w:val="auto"/>
              </w:rPr>
              <w:t>$206,908,000</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$200,387,000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3%</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Income Attributable to Oil-Dri</w:t>
            </w:r>
          </w:p>
        </w:tc>
        <w:tc>
          <w:tcPr>
            <w:tcW w:w="1500" w:type="dxa"/>
            <w:vAlign w:val="bottom"/>
          </w:tcPr>
          <w:p>
            <w:pPr>
              <w:jc w:val="right"/>
              <w:spacing w:after="0"/>
              <w:rPr>
                <w:sz w:val="20"/>
                <w:szCs w:val="20"/>
                <w:color w:val="auto"/>
              </w:rPr>
            </w:pPr>
            <w:r>
              <w:rPr>
                <w:rFonts w:ascii="Arial" w:cs="Arial" w:eastAsia="Arial" w:hAnsi="Arial"/>
                <w:sz w:val="18"/>
                <w:szCs w:val="18"/>
                <w:color w:val="auto"/>
              </w:rPr>
              <w:t>$5,619,000</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$3,585,000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57%</w:t>
            </w:r>
          </w:p>
        </w:tc>
        <w:tc>
          <w:tcPr>
            <w:tcW w:w="1580" w:type="dxa"/>
            <w:vAlign w:val="bottom"/>
          </w:tcPr>
          <w:p>
            <w:pPr>
              <w:jc w:val="right"/>
              <w:spacing w:after="0"/>
              <w:rPr>
                <w:sz w:val="20"/>
                <w:szCs w:val="20"/>
                <w:color w:val="auto"/>
              </w:rPr>
            </w:pPr>
            <w:r>
              <w:rPr>
                <w:rFonts w:ascii="Arial" w:cs="Arial" w:eastAsia="Arial" w:hAnsi="Arial"/>
                <w:sz w:val="18"/>
                <w:szCs w:val="18"/>
                <w:color w:val="auto"/>
              </w:rPr>
              <w:t>$8,812,000</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$5,539,000</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59%</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Earnings per Diluted Share</w:t>
            </w:r>
          </w:p>
        </w:tc>
        <w:tc>
          <w:tcPr>
            <w:tcW w:w="1500" w:type="dxa"/>
            <w:vAlign w:val="bottom"/>
          </w:tcPr>
          <w:p>
            <w:pPr>
              <w:jc w:val="right"/>
              <w:spacing w:after="0"/>
              <w:rPr>
                <w:sz w:val="20"/>
                <w:szCs w:val="20"/>
                <w:color w:val="auto"/>
              </w:rPr>
            </w:pPr>
            <w:r>
              <w:rPr>
                <w:rFonts w:ascii="Arial" w:cs="Arial" w:eastAsia="Arial" w:hAnsi="Arial"/>
                <w:sz w:val="18"/>
                <w:szCs w:val="18"/>
                <w:color w:val="auto"/>
              </w:rPr>
              <w:t>$0.74</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$0.48</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54%</w:t>
            </w:r>
          </w:p>
        </w:tc>
        <w:tc>
          <w:tcPr>
            <w:tcW w:w="1580" w:type="dxa"/>
            <w:vAlign w:val="bottom"/>
          </w:tcPr>
          <w:p>
            <w:pPr>
              <w:jc w:val="right"/>
              <w:spacing w:after="0"/>
              <w:rPr>
                <w:sz w:val="20"/>
                <w:szCs w:val="20"/>
                <w:color w:val="auto"/>
              </w:rPr>
            </w:pPr>
            <w:r>
              <w:rPr>
                <w:rFonts w:ascii="Arial" w:cs="Arial" w:eastAsia="Arial" w:hAnsi="Arial"/>
                <w:sz w:val="18"/>
                <w:szCs w:val="18"/>
                <w:color w:val="auto"/>
              </w:rPr>
              <w:t>$1.17</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$0.75</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56%</w:t>
            </w:r>
          </w:p>
        </w:tc>
      </w:tr>
      <w:tr>
        <w:trPr>
          <w:trHeight w:val="27"/>
        </w:trPr>
        <w:tc>
          <w:tcPr>
            <w:tcW w:w="3220" w:type="dxa"/>
            <w:vAlign w:val="bottom"/>
            <w:tcBorders>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Business to Business</w:t>
            </w:r>
          </w:p>
        </w:tc>
        <w:tc>
          <w:tcPr>
            <w:tcW w:w="150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580" w:type="dxa"/>
            <w:vAlign w:val="bottom"/>
            <w:tcBorders>
              <w:bottom w:val="single" w:sz="8" w:color="auto"/>
            </w:tcBorders>
            <w:shd w:val="clear" w:color="auto" w:fill="000000"/>
          </w:tcPr>
          <w:p>
            <w:pPr>
              <w:spacing w:after="0"/>
              <w:rPr>
                <w:sz w:val="21"/>
                <w:szCs w:val="21"/>
                <w:color w:val="auto"/>
              </w:rPr>
            </w:pPr>
          </w:p>
        </w:tc>
        <w:tc>
          <w:tcPr>
            <w:tcW w:w="168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500" w:type="dxa"/>
            <w:vAlign w:val="bottom"/>
          </w:tcPr>
          <w:p>
            <w:pPr>
              <w:jc w:val="right"/>
              <w:spacing w:after="0"/>
              <w:rPr>
                <w:sz w:val="20"/>
                <w:szCs w:val="20"/>
                <w:color w:val="auto"/>
              </w:rPr>
            </w:pPr>
            <w:r>
              <w:rPr>
                <w:rFonts w:ascii="Arial" w:cs="Arial" w:eastAsia="Arial" w:hAnsi="Arial"/>
                <w:sz w:val="18"/>
                <w:szCs w:val="18"/>
                <w:color w:val="auto"/>
              </w:rPr>
              <w:t>$26,041,000</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$24,784,000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5%</w:t>
            </w:r>
          </w:p>
        </w:tc>
        <w:tc>
          <w:tcPr>
            <w:tcW w:w="1580" w:type="dxa"/>
            <w:vAlign w:val="bottom"/>
          </w:tcPr>
          <w:p>
            <w:pPr>
              <w:jc w:val="right"/>
              <w:spacing w:after="0"/>
              <w:rPr>
                <w:sz w:val="20"/>
                <w:szCs w:val="20"/>
                <w:color w:val="auto"/>
              </w:rPr>
            </w:pPr>
            <w:r>
              <w:rPr>
                <w:rFonts w:ascii="Arial" w:cs="Arial" w:eastAsia="Arial" w:hAnsi="Arial"/>
                <w:sz w:val="18"/>
                <w:szCs w:val="18"/>
                <w:color w:val="auto"/>
              </w:rPr>
              <w:t>$77,825,000</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$79,226,000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(2)%</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500" w:type="dxa"/>
            <w:vAlign w:val="bottom"/>
          </w:tcPr>
          <w:p>
            <w:pPr>
              <w:jc w:val="right"/>
              <w:spacing w:after="0"/>
              <w:rPr>
                <w:sz w:val="20"/>
                <w:szCs w:val="20"/>
                <w:color w:val="auto"/>
              </w:rPr>
            </w:pPr>
            <w:r>
              <w:rPr>
                <w:rFonts w:ascii="Arial" w:cs="Arial" w:eastAsia="Arial" w:hAnsi="Arial"/>
                <w:sz w:val="18"/>
                <w:szCs w:val="18"/>
                <w:color w:val="auto"/>
              </w:rPr>
              <w:t>$7,454,000</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$7,556,000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(1)%</w:t>
            </w:r>
          </w:p>
        </w:tc>
        <w:tc>
          <w:tcPr>
            <w:tcW w:w="1580" w:type="dxa"/>
            <w:vAlign w:val="bottom"/>
          </w:tcPr>
          <w:p>
            <w:pPr>
              <w:jc w:val="right"/>
              <w:spacing w:after="0"/>
              <w:rPr>
                <w:sz w:val="20"/>
                <w:szCs w:val="20"/>
                <w:color w:val="auto"/>
              </w:rPr>
            </w:pPr>
            <w:r>
              <w:rPr>
                <w:rFonts w:ascii="Arial" w:cs="Arial" w:eastAsia="Arial" w:hAnsi="Arial"/>
                <w:sz w:val="18"/>
                <w:szCs w:val="18"/>
                <w:color w:val="auto"/>
              </w:rPr>
              <w:t>$21,758,000</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$26,191,000</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5"/>
              </w:rPr>
              <w:t>(17)%</w:t>
            </w:r>
          </w:p>
        </w:tc>
      </w:tr>
      <w:tr>
        <w:trPr>
          <w:trHeight w:val="27"/>
        </w:trPr>
        <w:tc>
          <w:tcPr>
            <w:tcW w:w="3220" w:type="dxa"/>
            <w:vAlign w:val="bottom"/>
            <w:tcBorders>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Retail and Wholesale</w:t>
            </w:r>
          </w:p>
        </w:tc>
        <w:tc>
          <w:tcPr>
            <w:tcW w:w="150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580" w:type="dxa"/>
            <w:vAlign w:val="bottom"/>
            <w:tcBorders>
              <w:bottom w:val="single" w:sz="8" w:color="auto"/>
            </w:tcBorders>
            <w:shd w:val="clear" w:color="auto" w:fill="000000"/>
          </w:tcPr>
          <w:p>
            <w:pPr>
              <w:spacing w:after="0"/>
              <w:rPr>
                <w:sz w:val="21"/>
                <w:szCs w:val="21"/>
                <w:color w:val="auto"/>
              </w:rPr>
            </w:pPr>
          </w:p>
        </w:tc>
        <w:tc>
          <w:tcPr>
            <w:tcW w:w="168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500" w:type="dxa"/>
            <w:vAlign w:val="bottom"/>
          </w:tcPr>
          <w:p>
            <w:pPr>
              <w:jc w:val="right"/>
              <w:spacing w:after="0"/>
              <w:rPr>
                <w:sz w:val="20"/>
                <w:szCs w:val="20"/>
                <w:color w:val="auto"/>
              </w:rPr>
            </w:pPr>
            <w:r>
              <w:rPr>
                <w:rFonts w:ascii="Arial" w:cs="Arial" w:eastAsia="Arial" w:hAnsi="Arial"/>
                <w:sz w:val="18"/>
                <w:szCs w:val="18"/>
                <w:color w:val="auto"/>
              </w:rPr>
              <w:t>$44,844,000</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$40,063,000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12%</w:t>
            </w:r>
          </w:p>
        </w:tc>
        <w:tc>
          <w:tcPr>
            <w:tcW w:w="1580" w:type="dxa"/>
            <w:vAlign w:val="bottom"/>
          </w:tcPr>
          <w:p>
            <w:pPr>
              <w:jc w:val="right"/>
              <w:spacing w:after="0"/>
              <w:rPr>
                <w:sz w:val="20"/>
                <w:szCs w:val="20"/>
                <w:color w:val="auto"/>
              </w:rPr>
            </w:pPr>
            <w:r>
              <w:rPr>
                <w:rFonts w:ascii="Arial" w:cs="Arial" w:eastAsia="Arial" w:hAnsi="Arial"/>
                <w:sz w:val="18"/>
                <w:szCs w:val="18"/>
                <w:color w:val="auto"/>
              </w:rPr>
              <w:t>$129,083,000</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$121,161,000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7%</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500" w:type="dxa"/>
            <w:vAlign w:val="bottom"/>
          </w:tcPr>
          <w:p>
            <w:pPr>
              <w:jc w:val="right"/>
              <w:spacing w:after="0"/>
              <w:rPr>
                <w:sz w:val="20"/>
                <w:szCs w:val="20"/>
                <w:color w:val="auto"/>
              </w:rPr>
            </w:pPr>
            <w:r>
              <w:rPr>
                <w:rFonts w:ascii="Arial" w:cs="Arial" w:eastAsia="Arial" w:hAnsi="Arial"/>
                <w:sz w:val="18"/>
                <w:szCs w:val="18"/>
                <w:color w:val="auto"/>
              </w:rPr>
              <w:t>$4,161,000</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$2,223,000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87%</w:t>
            </w:r>
          </w:p>
        </w:tc>
        <w:tc>
          <w:tcPr>
            <w:tcW w:w="1580" w:type="dxa"/>
            <w:vAlign w:val="bottom"/>
          </w:tcPr>
          <w:p>
            <w:pPr>
              <w:jc w:val="right"/>
              <w:spacing w:after="0"/>
              <w:rPr>
                <w:sz w:val="20"/>
                <w:szCs w:val="20"/>
                <w:color w:val="auto"/>
              </w:rPr>
            </w:pPr>
            <w:r>
              <w:rPr>
                <w:rFonts w:ascii="Arial" w:cs="Arial" w:eastAsia="Arial" w:hAnsi="Arial"/>
                <w:sz w:val="18"/>
                <w:szCs w:val="18"/>
                <w:color w:val="auto"/>
              </w:rPr>
              <w:t>$6,823,000</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$7,010,000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(3)%</w:t>
            </w:r>
          </w:p>
        </w:tc>
      </w:tr>
      <w:tr>
        <w:trPr>
          <w:trHeight w:val="27"/>
        </w:trPr>
        <w:tc>
          <w:tcPr>
            <w:tcW w:w="3220" w:type="dxa"/>
            <w:vAlign w:val="bottom"/>
            <w:tcBorders>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bl>
    <w:p>
      <w:pPr>
        <w:spacing w:after="0" w:line="249" w:lineRule="exact"/>
        <w:rPr>
          <w:sz w:val="20"/>
          <w:szCs w:val="20"/>
          <w:color w:val="auto"/>
        </w:rPr>
      </w:pPr>
    </w:p>
    <w:p>
      <w:pPr>
        <w:ind w:right="480"/>
        <w:spacing w:after="0" w:line="302" w:lineRule="auto"/>
        <w:rPr>
          <w:sz w:val="20"/>
          <w:szCs w:val="20"/>
          <w:color w:val="auto"/>
        </w:rPr>
      </w:pPr>
      <w:r>
        <w:rPr>
          <w:rFonts w:ascii="Arial" w:cs="Arial" w:eastAsia="Arial" w:hAnsi="Arial"/>
          <w:sz w:val="19"/>
          <w:szCs w:val="19"/>
          <w:color w:val="auto"/>
        </w:rPr>
        <w:t>Daniel S. Jaffee, President and CEO, stated, “Our third quarter results demonstrate progress in executing our long-term growth strategies. I am pleased with the strong revenue momentum in our Retail &amp; Wholesale Group and the gains in our Business to Business Group. Although we continue to experience challenges caused by market conditions and increased costs, we remain focused on improving operational efficiencies and continue to lay the groundwork to capture the full value of our investments.</w:t>
      </w:r>
    </w:p>
    <w:p>
      <w:pPr>
        <w:spacing w:after="0" w:line="237" w:lineRule="exact"/>
        <w:rPr>
          <w:sz w:val="20"/>
          <w:szCs w:val="20"/>
          <w:color w:val="auto"/>
        </w:rPr>
      </w:pPr>
    </w:p>
    <w:p>
      <w:pPr>
        <w:ind w:right="60"/>
        <w:spacing w:after="0" w:line="263" w:lineRule="auto"/>
        <w:rPr>
          <w:sz w:val="20"/>
          <w:szCs w:val="20"/>
          <w:color w:val="auto"/>
        </w:rPr>
      </w:pPr>
      <w:r>
        <w:rPr>
          <w:rFonts w:ascii="Arial" w:cs="Arial" w:eastAsia="Arial" w:hAnsi="Arial"/>
          <w:sz w:val="21"/>
          <w:szCs w:val="21"/>
          <w:color w:val="auto"/>
        </w:rPr>
        <w:t>The Business to Business Group experienced an increase in sales of 5% in the third quarter over the prior year, led by a 13% gain of fluid purification products, mainly in our North American and Latin American markets. Other revenue increases were due to growth of engineered granules within the Agricultural sector, and coarse cat litter in the Co-Packaging division. Sales of our animal health and nutrition products declined 27% in the quarter versus the prior year. Our business in Asia, including our subsidiary in China, continues to be negatively impacted by the African Swine Fever.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40"/>
          </w:cols>
          <w:pgMar w:left="240" w:top="1261" w:right="2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line="221" w:lineRule="exact"/>
        <w:rPr>
          <w:sz w:val="20"/>
          <w:szCs w:val="20"/>
          <w:color w:val="auto"/>
        </w:rPr>
      </w:pPr>
    </w:p>
    <w:p>
      <w:pPr>
        <w:ind w:right="180"/>
        <w:spacing w:after="0" w:line="343" w:lineRule="auto"/>
        <w:rPr>
          <w:sz w:val="20"/>
          <w:szCs w:val="20"/>
          <w:color w:val="auto"/>
        </w:rPr>
      </w:pPr>
      <w:r>
        <w:rPr>
          <w:rFonts w:ascii="Arial" w:cs="Arial" w:eastAsia="Arial" w:hAnsi="Arial"/>
          <w:sz w:val="19"/>
          <w:szCs w:val="19"/>
          <w:color w:val="auto"/>
        </w:rPr>
        <w:t>Operating Income in the Business to Business sector was down 1% in the third quarter versus the prior year. Despite modest sales gains and a 12% reduction in SG&amp;A expenses, higher manufacturing, freight and packaging costs continued to erode margins.</w:t>
      </w:r>
    </w:p>
    <w:p>
      <w:pPr>
        <w:spacing w:after="0" w:line="105"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In the third quarter of fiscal 2019, sales in the Retail &amp; Wholesale Group increased by 12% over the prior year. Total cat litter sales increased 15%, driven by strong demand for our Cat’s Pride Scoopable branded litter at many of our large-scale retail accounts. Both scoopable and coarse private label litter revenue rose as well, due to organic growth and the addition of several new customers. According to third-party market research data for retail sales</w:t>
      </w:r>
      <w:r>
        <w:rPr>
          <w:rFonts w:ascii="Arial" w:cs="Arial" w:eastAsia="Arial" w:hAnsi="Arial"/>
          <w:sz w:val="26"/>
          <w:szCs w:val="26"/>
          <w:color w:val="auto"/>
          <w:vertAlign w:val="superscript"/>
        </w:rPr>
        <w:t>1</w:t>
      </w:r>
      <w:r>
        <w:rPr>
          <w:rFonts w:ascii="Arial" w:cs="Arial" w:eastAsia="Arial" w:hAnsi="Arial"/>
          <w:sz w:val="20"/>
          <w:szCs w:val="20"/>
          <w:color w:val="auto"/>
        </w:rPr>
        <w:t>, our combined branded and private label unit share of the overall cat litter segment continued to climb to 15.3%, compared to 13.3% in the same period of 2018.</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Operating Income in the Retail &amp; Wholesale segment for the third quarter increased 87% over the same period last year. Increased revenues and a $2 million reduction in advertising expenses offset higher manufacturing, freight and packaging costs. To counteract ongoing cost pressures, we increased our prices on all cat litter products, effective May 1st. We expect to see the effect of this change in pricing with improved margins in our fiscal fourth quarter.</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Retail &amp; Wholesale group continues to strategically allocate advertising dollars to enhance product sales. In addition to our ongoing digital media plan, we are improving the efficiency of promotional spending by targeting regional markets. With the recent launch of our new packaging design in May, all branded cat litter products will bear the newly designed Cat’s Pride logo. This change will provide more visual consistency throughout our product line.</w:t>
      </w:r>
    </w:p>
    <w:p>
      <w:pPr>
        <w:spacing w:after="0" w:line="188"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Overall, I feel that we delivered solid third quarter results. I am optimistic about the future of Oil-Dri and our ability to drive enhanced returns for our shareholders.”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17"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w:t>
      </w:r>
      <w:r>
        <w:rPr>
          <w:rFonts w:ascii="Arial" w:cs="Arial" w:eastAsia="Arial" w:hAnsi="Arial"/>
          <w:sz w:val="16"/>
          <w:szCs w:val="16"/>
          <w:i w:val="1"/>
          <w:iCs w:val="1"/>
          <w:color w:val="auto"/>
        </w:rPr>
        <w:t>“</w:t>
      </w:r>
      <w:r>
        <w:rPr>
          <w:rFonts w:ascii="Arial" w:cs="Arial" w:eastAsia="Arial" w:hAnsi="Arial"/>
          <w:sz w:val="18"/>
          <w:szCs w:val="18"/>
          <w:i w:val="1"/>
          <w:iCs w:val="1"/>
          <w:color w:val="auto"/>
        </w:rPr>
        <w:t>Create Value from Sorbent Minerals</w:t>
      </w:r>
      <w:r>
        <w:rPr>
          <w:rFonts w:ascii="Arial" w:cs="Arial" w:eastAsia="Arial" w:hAnsi="Arial"/>
          <w:sz w:val="16"/>
          <w:szCs w:val="16"/>
          <w:i w:val="1"/>
          <w:iCs w:val="1"/>
          <w:color w:val="auto"/>
        </w:rPr>
        <w:t>”</w:t>
      </w:r>
      <w:r>
        <w:rPr>
          <w:rFonts w:ascii="Arial" w:cs="Arial" w:eastAsia="Arial" w:hAnsi="Arial"/>
          <w:sz w:val="18"/>
          <w:szCs w:val="18"/>
          <w:i w:val="1"/>
          <w:iCs w:val="1"/>
          <w:color w:val="auto"/>
        </w:rPr>
        <w:t xml:space="preserve"> is supported by its wide array of consumer and business to business product offerings. In 2016, Oil-Dri celebrated its seventy-fifth year of business and looks forward to the next milestone.</w:t>
      </w:r>
    </w:p>
    <w:p>
      <w:pPr>
        <w:spacing w:after="0" w:line="189"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 xml:space="preserve">The Company will host its third quarter teleconference on Monday, June 10, 2019 at 10:00am Central Time. Participation details are available on our website’s </w:t>
      </w:r>
      <w:r>
        <w:rPr>
          <w:rFonts w:ascii="Arial" w:cs="Arial" w:eastAsia="Arial" w:hAnsi="Arial"/>
          <w:sz w:val="20"/>
          <w:szCs w:val="20"/>
          <w:u w:val="single" w:color="auto"/>
          <w:color w:val="0000FF"/>
        </w:rPr>
        <w:t>Events</w:t>
      </w:r>
      <w:r>
        <w:rPr>
          <w:rFonts w:ascii="Arial" w:cs="Arial" w:eastAsia="Arial" w:hAnsi="Arial"/>
          <w:sz w:val="20"/>
          <w:szCs w:val="20"/>
          <w:color w:val="auto"/>
        </w:rPr>
        <w:t xml:space="preserve"> page.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00"/>
          </w:cols>
          <w:pgMar w:left="240" w:top="1440" w:right="259" w:bottom="1440" w:gutter="0" w:footer="0" w:header="0"/>
        </w:sectPr>
      </w:pPr>
    </w:p>
    <w:bookmarkStart w:id="5" w:name="page6"/>
    <w:bookmarkEnd w:id="5"/>
    <w:p>
      <w:pPr>
        <w:spacing w:after="0" w:line="3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240"/>
        <w:spacing w:after="0" w:line="222"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Based in part on data reported by Nielsen through its Nielsen Answers Core Service for the Pet Care Category for the 12 week period ended April 20, 2019, for the U.S. market. Copyright © 2019 Nielsen.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and “Cat’s Pride” are registered trademarks of Oil-Dri Corporation of America.</w:t>
      </w: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191"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00"/>
          </w:cols>
          <w:pgMar w:left="240" w:top="1440" w:right="259" w:bottom="1440" w:gutter="0" w:footer="0" w:header="0"/>
        </w:sectPr>
      </w:pPr>
    </w:p>
    <w:bookmarkStart w:id="6" w:name="page7"/>
    <w:bookmarkEnd w:id="6"/>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5"/>
              </w:rPr>
              <w:t>Third Quarter Ended April 30</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360" w:type="dxa"/>
            <w:vAlign w:val="bottom"/>
            <w:vMerge w:val="restart"/>
          </w:tcPr>
          <w:p>
            <w:pPr>
              <w:ind w:left="40"/>
              <w:spacing w:after="0"/>
              <w:rPr>
                <w:sz w:val="20"/>
                <w:szCs w:val="20"/>
                <w:color w:val="auto"/>
              </w:rPr>
            </w:pPr>
            <w:r>
              <w:rPr>
                <w:rFonts w:ascii="Arial" w:cs="Arial" w:eastAsia="Arial" w:hAnsi="Arial"/>
                <w:sz w:val="18"/>
                <w:szCs w:val="18"/>
                <w:color w:val="auto"/>
              </w:rPr>
              <w:t>(in thousands, except per share amounts)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6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19"/>
                <w:szCs w:val="19"/>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460" w:type="dxa"/>
            <w:vAlign w:val="bottom"/>
            <w:vMerge w:val="restart"/>
          </w:tcPr>
          <w:p>
            <w:pPr>
              <w:jc w:val="right"/>
              <w:ind w:right="229"/>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70,885</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64,847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b w:val="1"/>
                <w:bCs w:val="1"/>
                <w:i w:val="1"/>
                <w:iCs w:val="1"/>
                <w:color w:val="auto"/>
              </w:rPr>
              <w:t>(1)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(54,051)</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(47,187)</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16,834</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17,660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b w:val="1"/>
                <w:bCs w:val="1"/>
                <w:i w:val="1"/>
                <w:iCs w:val="1"/>
                <w:color w:val="auto"/>
              </w:rPr>
              <w:t>(1)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(14,507)</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(14,366)</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2,327</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b w:val="1"/>
                <w:bCs w:val="1"/>
                <w:i w:val="1"/>
                <w:iCs w:val="1"/>
                <w:color w:val="auto"/>
              </w:rPr>
              <w:t>(1) (2)</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4,518</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6,704</w:t>
            </w:r>
          </w:p>
        </w:tc>
        <w:tc>
          <w:tcPr>
            <w:tcW w:w="2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3,295</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5,561</w:t>
            </w:r>
          </w:p>
        </w:tc>
        <w:tc>
          <w:tcPr>
            <w:tcW w:w="2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3,585</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5,619</w:t>
            </w:r>
          </w:p>
        </w:tc>
        <w:tc>
          <w:tcPr>
            <w:tcW w:w="20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3,585</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 Basic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0.81</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4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0.61</w:t>
            </w: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Avg Shares Outstanding: Basic Common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5,126</w:t>
            </w: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5,037</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4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7,253</w:t>
            </w: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7,222</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Nine Months Ended April 30</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80" w:type="dxa"/>
            <w:vAlign w:val="bottom"/>
            <w:gridSpan w:val="2"/>
          </w:tcPr>
          <w:p>
            <w:pPr>
              <w:ind w:left="34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60" w:type="dxa"/>
            <w:vAlign w:val="bottom"/>
          </w:tcPr>
          <w:p>
            <w:pPr>
              <w:jc w:val="right"/>
              <w:ind w:right="229"/>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206,908</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200,387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b w:val="1"/>
                <w:bCs w:val="1"/>
                <w:i w:val="1"/>
                <w:iCs w:val="1"/>
                <w:color w:val="auto"/>
              </w:rPr>
              <w:t>(1)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(158,660)</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(144,095)</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48,248</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56,292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b w:val="1"/>
                <w:bCs w:val="1"/>
                <w:i w:val="1"/>
                <w:iCs w:val="1"/>
                <w:color w:val="auto"/>
              </w:rPr>
              <w:t>(1)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(42,091)</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(43,600)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6,157</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b w:val="1"/>
                <w:bCs w:val="1"/>
                <w:i w:val="1"/>
                <w:iCs w:val="1"/>
                <w:color w:val="auto"/>
              </w:rPr>
              <w:t>(1)(2)</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4,653</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center"/>
              <w:ind w:left="909"/>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10,376</w:t>
            </w:r>
          </w:p>
        </w:tc>
        <w:tc>
          <w:tcPr>
            <w:tcW w:w="2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12,205</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8,777</w:t>
            </w:r>
          </w:p>
        </w:tc>
        <w:tc>
          <w:tcPr>
            <w:tcW w:w="2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5,539</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20"/>
                <w:szCs w:val="20"/>
                <w:color w:val="auto"/>
              </w:rPr>
              <w:t>— %</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center"/>
              <w:ind w:left="909"/>
              <w:spacing w:after="0"/>
              <w:rPr>
                <w:sz w:val="20"/>
                <w:szCs w:val="20"/>
                <w:color w:val="auto"/>
              </w:rPr>
            </w:pPr>
            <w:r>
              <w:rPr>
                <w:rFonts w:ascii="Arial" w:cs="Arial" w:eastAsia="Arial" w:hAnsi="Arial"/>
                <w:sz w:val="20"/>
                <w:szCs w:val="20"/>
                <w:color w:val="auto"/>
                <w:w w:val="96"/>
              </w:rPr>
              <w:t>— %</w:t>
            </w:r>
          </w:p>
        </w:tc>
        <w:tc>
          <w:tcPr>
            <w:tcW w:w="0" w:type="dxa"/>
            <w:vAlign w:val="bottom"/>
          </w:tcPr>
          <w:p>
            <w:pPr>
              <w:spacing w:after="0"/>
              <w:rPr>
                <w:sz w:val="1"/>
                <w:szCs w:val="1"/>
                <w:color w:val="auto"/>
              </w:rPr>
            </w:pPr>
          </w:p>
        </w:tc>
      </w:tr>
      <w:tr>
        <w:trPr>
          <w:trHeight w:val="311"/>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8,812</w:t>
            </w:r>
          </w:p>
        </w:tc>
        <w:tc>
          <w:tcPr>
            <w:tcW w:w="20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4.3 %</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5,539</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2.8 %</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 Basic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4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0.95</w:t>
            </w: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0.62</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Avg Shares Outstanding: Basic Common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5,108</w:t>
            </w: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5,032</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4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7,245</w:t>
            </w: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7,217</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right="120" w:firstLine="8"/>
        <w:spacing w:after="0" w:line="293" w:lineRule="auto"/>
        <w:tabs>
          <w:tab w:leader="none" w:pos="229"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Prior year amounts have been retrospectively adjusted to conform to the current year presentation of the non-service cost components of net periodic benefit cost required by new guidance under Accounting Standards Codification (</w:t>
      </w:r>
      <w:r>
        <w:rPr>
          <w:rFonts w:ascii="Arial" w:cs="Arial" w:eastAsia="Arial" w:hAnsi="Arial"/>
          <w:sz w:val="16"/>
          <w:szCs w:val="16"/>
          <w:color w:val="auto"/>
        </w:rPr>
        <w:t>“</w:t>
      </w:r>
      <w:r>
        <w:rPr>
          <w:rFonts w:ascii="Arial" w:cs="Arial" w:eastAsia="Arial" w:hAnsi="Arial"/>
          <w:sz w:val="16"/>
          <w:szCs w:val="16"/>
          <w:i w:val="1"/>
          <w:iCs w:val="1"/>
          <w:color w:val="auto"/>
        </w:rPr>
        <w:t>ASC</w:t>
      </w:r>
      <w:r>
        <w:rPr>
          <w:rFonts w:ascii="Arial" w:cs="Arial" w:eastAsia="Arial" w:hAnsi="Arial"/>
          <w:sz w:val="16"/>
          <w:szCs w:val="16"/>
          <w:color w:val="auto"/>
        </w:rPr>
        <w:t>”</w:t>
      </w:r>
      <w:r>
        <w:rPr>
          <w:rFonts w:ascii="Arial" w:cs="Arial" w:eastAsia="Arial" w:hAnsi="Arial"/>
          <w:sz w:val="16"/>
          <w:szCs w:val="16"/>
          <w:i w:val="1"/>
          <w:iCs w:val="1"/>
          <w:color w:val="auto"/>
        </w:rPr>
        <w:t>) 715, Improving the Presentation of Net Periodic Pension Cost and Net Periodic Postretirement Benefit Cost.</w:t>
      </w:r>
    </w:p>
    <w:p>
      <w:pPr>
        <w:spacing w:after="0" w:line="1" w:lineRule="exact"/>
        <w:rPr>
          <w:rFonts w:ascii="Arial" w:cs="Arial" w:eastAsia="Arial" w:hAnsi="Arial"/>
          <w:sz w:val="16"/>
          <w:szCs w:val="16"/>
          <w:i w:val="1"/>
          <w:iCs w:val="1"/>
          <w:color w:val="auto"/>
        </w:rPr>
      </w:pPr>
    </w:p>
    <w:p>
      <w:pPr>
        <w:ind w:right="340" w:firstLine="8"/>
        <w:spacing w:after="0" w:line="275" w:lineRule="auto"/>
        <w:tabs>
          <w:tab w:leader="none" w:pos="23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For further information about amounts included in this line item, please refer to Note 7 of the Notes to Condensed Consolidated Financial Statements in our Quarterly Report on Form 10-Q for the period ended April 30, 2019.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354" w:gutter="0" w:footer="0" w:header="0"/>
        </w:sectPr>
      </w:pPr>
    </w:p>
    <w:bookmarkStart w:id="7" w:name="page8"/>
    <w:bookmarkEnd w:id="7"/>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As of April 30</w:t>
            </w:r>
          </w:p>
        </w:tc>
        <w:tc>
          <w:tcPr>
            <w:tcW w:w="126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16,224</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10,613</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35,906</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32,566</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26,738</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23,415</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7,210</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6,241</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86,808</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87,132</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87,086</w:t>
            </w: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84,807</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24,584</w:t>
            </w:r>
          </w:p>
        </w:tc>
        <w:tc>
          <w:tcPr>
            <w:tcW w:w="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26,071</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198,478</w:t>
            </w:r>
          </w:p>
        </w:tc>
        <w:tc>
          <w:tcPr>
            <w:tcW w:w="34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198,010</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Short-term borrowing</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8,608</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1,559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18,121</w:t>
            </w:r>
          </w:p>
        </w:tc>
        <w:tc>
          <w:tcPr>
            <w:tcW w:w="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17,330</w:t>
            </w:r>
          </w:p>
        </w:tc>
      </w:tr>
      <w:tr>
        <w:trPr>
          <w:trHeight w:val="237"/>
        </w:trPr>
        <w:tc>
          <w:tcPr>
            <w:tcW w:w="4260" w:type="dxa"/>
            <w:vAlign w:val="bottom"/>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31,501</w:t>
            </w: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35,719</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3,045</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6,099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26,417</w:t>
            </w:r>
          </w:p>
        </w:tc>
        <w:tc>
          <w:tcPr>
            <w:tcW w:w="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27,179</w:t>
            </w:r>
          </w:p>
        </w:tc>
      </w:tr>
      <w:tr>
        <w:trPr>
          <w:trHeight w:val="237"/>
        </w:trPr>
        <w:tc>
          <w:tcPr>
            <w:tcW w:w="4260" w:type="dxa"/>
            <w:vAlign w:val="bottom"/>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29,462</w:t>
            </w: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33,278</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137,515</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129,013</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198,478</w:t>
            </w:r>
          </w:p>
        </w:tc>
        <w:tc>
          <w:tcPr>
            <w:tcW w:w="34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198,010</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19.16</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18.09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Third Quarter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3,963</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3,683</w:t>
            </w:r>
          </w:p>
        </w:tc>
      </w:tr>
      <w:tr>
        <w:trPr>
          <w:trHeight w:val="243"/>
        </w:trPr>
        <w:tc>
          <w:tcPr>
            <w:tcW w:w="4260" w:type="dxa"/>
            <w:vAlign w:val="bottom"/>
          </w:tcPr>
          <w:p>
            <w:pPr>
              <w:spacing w:after="0"/>
              <w:rPr>
                <w:sz w:val="21"/>
                <w:szCs w:val="21"/>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10,162</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10,533</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Third Quarter</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3,310</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w:t>
            </w:r>
          </w:p>
        </w:tc>
      </w:tr>
      <w:tr>
        <w:trPr>
          <w:trHeight w:val="243"/>
        </w:trPr>
        <w:tc>
          <w:tcPr>
            <w:tcW w:w="4260" w:type="dxa"/>
            <w:vAlign w:val="bottom"/>
          </w:tcPr>
          <w:p>
            <w:pPr>
              <w:spacing w:after="0"/>
              <w:rPr>
                <w:sz w:val="21"/>
                <w:szCs w:val="21"/>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9,849</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1440" w:gutter="0" w:footer="0" w:header="0"/>
        </w:sectPr>
      </w:pPr>
    </w:p>
    <w:bookmarkStart w:id="8" w:name="page9"/>
    <w:bookmarkEnd w:id="8"/>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For the Nine Months Ended</w:t>
            </w:r>
          </w:p>
        </w:tc>
      </w:tr>
      <w:tr>
        <w:trPr>
          <w:trHeight w:val="270"/>
        </w:trPr>
        <w:tc>
          <w:tcPr>
            <w:tcW w:w="7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3"/>
              </w:rPr>
              <w:t>April 30</w:t>
            </w:r>
          </w:p>
        </w:tc>
        <w:tc>
          <w:tcPr>
            <w:tcW w:w="1140" w:type="dxa"/>
            <w:vAlign w:val="bottom"/>
          </w:tcPr>
          <w:p>
            <w:pPr>
              <w:spacing w:after="0"/>
              <w:rPr>
                <w:sz w:val="23"/>
                <w:szCs w:val="23"/>
                <w:color w:val="auto"/>
              </w:rPr>
            </w:pPr>
          </w:p>
        </w:tc>
      </w:tr>
      <w:tr>
        <w:trPr>
          <w:trHeight w:val="27"/>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8,777</w:t>
            </w:r>
          </w:p>
        </w:tc>
        <w:tc>
          <w:tcPr>
            <w:tcW w:w="9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5,539</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9,577</w:t>
            </w: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b w:val="1"/>
                <w:bCs w:val="1"/>
                <w:color w:val="auto"/>
              </w:rPr>
              <w:t>(Increase) Decrease in Accounts Receivable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(2,185)</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Increase in 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b w:val="1"/>
                <w:bCs w:val="1"/>
                <w:color w:val="auto"/>
              </w:rPr>
              <w:t>Increase (Decrease) in Accounts Payable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2,873</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Decrease in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b w:val="1"/>
                <w:bCs w:val="1"/>
                <w:color w:val="auto"/>
              </w:rPr>
              <w:t>Increase (Decrease) in Pension and Postretirement Benefits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1,287</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(11,223)</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w:t>
            </w:r>
          </w:p>
        </w:tc>
      </w:tr>
      <w:tr>
        <w:trPr>
          <w:trHeight w:val="237"/>
        </w:trPr>
        <w:tc>
          <w:tcPr>
            <w:tcW w:w="786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6,587</w:t>
            </w:r>
          </w:p>
        </w:tc>
        <w:tc>
          <w:tcPr>
            <w:tcW w:w="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w:t>
            </w:r>
          </w:p>
        </w:tc>
      </w:tr>
      <w:tr>
        <w:trPr>
          <w:trHeight w:val="27"/>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2,789</w:t>
            </w:r>
          </w:p>
        </w:tc>
      </w:tr>
      <w:tr>
        <w:trPr>
          <w:trHeight w:val="291"/>
        </w:trPr>
        <w:tc>
          <w:tcPr>
            <w:tcW w:w="78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(10,162)</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(10,533)</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Dispositions of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9,375</w:t>
            </w: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1,766</w:t>
            </w:r>
          </w:p>
        </w:tc>
      </w:tr>
      <w:tr>
        <w:trPr>
          <w:trHeight w:val="27"/>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Net Cash (Used in)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r>
      <w:tr>
        <w:trPr>
          <w:trHeight w:val="291"/>
        </w:trPr>
        <w:tc>
          <w:tcPr>
            <w:tcW w:w="78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(3,083)</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Proceeds from short-term borrowing</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r>
      <w:tr>
        <w:trPr>
          <w:trHeight w:val="241"/>
        </w:trPr>
        <w:tc>
          <w:tcPr>
            <w:tcW w:w="7860" w:type="dxa"/>
            <w:vAlign w:val="bottom"/>
          </w:tcPr>
          <w:p>
            <w:pPr>
              <w:ind w:left="40"/>
              <w:spacing w:after="0"/>
              <w:rPr>
                <w:sz w:val="20"/>
                <w:szCs w:val="20"/>
                <w:color w:val="auto"/>
              </w:rPr>
            </w:pPr>
            <w:r>
              <w:rPr>
                <w:rFonts w:ascii="Arial" w:cs="Arial" w:eastAsia="Arial" w:hAnsi="Arial"/>
                <w:sz w:val="20"/>
                <w:szCs w:val="20"/>
                <w:b w:val="1"/>
                <w:bCs w:val="1"/>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w:t>
            </w:r>
          </w:p>
        </w:tc>
      </w:tr>
      <w:tr>
        <w:trPr>
          <w:trHeight w:val="23"/>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7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78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3,467</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1,518</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9,095</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16,224</w:t>
            </w:r>
          </w:p>
        </w:tc>
        <w:tc>
          <w:tcPr>
            <w:tcW w:w="40" w:type="dxa"/>
            <w:vAlign w:val="bottom"/>
            <w:tcBorders>
              <w:top w:val="single" w:sz="8" w:color="auto"/>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10,613</w:t>
            </w: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2019-12-01T19:56:36Z</dcterms:created>
  <dcterms:modified xsi:type="dcterms:W3CDTF">2019-12-01T19:56:36Z</dcterms:modified>
</cp:coreProperties>
</file>