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580"/>
              <w:spacing w:after="0"/>
              <w:rPr>
                <w:sz w:val="20"/>
                <w:szCs w:val="20"/>
                <w:color w:val="auto"/>
              </w:rPr>
            </w:pPr>
            <w:r>
              <w:rPr>
                <w:rFonts w:ascii="Arial" w:cs="Arial" w:eastAsia="Arial" w:hAnsi="Arial"/>
                <w:sz w:val="18"/>
                <w:szCs w:val="18"/>
                <w:color w:val="auto"/>
                <w:w w:val="88"/>
              </w:rPr>
              <w:t>June 8, 2015</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8, 2015, Oil-Dri Corporation of America (the “Registrant”) issued a press release announcing its results of operations for its third quarter ended April 30, 2015.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sectPr>
          <w:pgSz w:w="11900" w:h="16838" w:orient="portrait"/>
          <w:cols w:equalWidth="0" w:num="1">
            <w:col w:w="11420"/>
          </w:cols>
          <w:pgMar w:left="240" w:top="742" w:right="239" w:bottom="1440" w:gutter="0" w:footer="0" w:header="0"/>
        </w:sectPr>
      </w:pPr>
    </w:p>
    <w:bookmarkStart w:id="2" w:name="page3"/>
    <w:bookmarkEnd w:id="2"/>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7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700" w:type="dxa"/>
            <w:vAlign w:val="bottom"/>
          </w:tcPr>
          <w:p>
            <w:pPr>
              <w:ind w:left="40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Press Release of the Registrant dated April 30, 2015 (Quarterly Earnings)</w:t>
            </w:r>
          </w:p>
        </w:tc>
      </w:tr>
    </w:tbl>
    <w:p>
      <w:pPr>
        <w:sectPr>
          <w:pgSz w:w="11900" w:h="16838" w:orient="portrait"/>
          <w:cols w:equalWidth="0" w:num="1">
            <w:col w:w="11420"/>
          </w:cols>
          <w:pgMar w:left="240" w:top="742" w:right="239" w:bottom="1440" w:gutter="0" w:footer="0" w:header="0"/>
        </w:sectPr>
      </w:pPr>
    </w:p>
    <w:bookmarkStart w:id="3" w:name="page4"/>
    <w:bookmarkEnd w:id="3"/>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2015</w:t>
      </w:r>
    </w:p>
    <w:p>
      <w:pPr>
        <w:sectPr>
          <w:pgSz w:w="11900" w:h="16838" w:orient="portrait"/>
          <w:cols w:equalWidth="0" w:num="1">
            <w:col w:w="10880"/>
          </w:cols>
          <w:pgMar w:left="240" w:top="580" w:right="7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3"/>
          </w:tcPr>
          <w:p>
            <w:pPr>
              <w:ind w:left="3500"/>
              <w:spacing w:after="0"/>
              <w:rPr>
                <w:sz w:val="20"/>
                <w:szCs w:val="20"/>
                <w:color w:val="auto"/>
              </w:rPr>
            </w:pPr>
            <w:r>
              <w:rPr>
                <w:rFonts w:ascii="Arial" w:cs="Arial" w:eastAsia="Arial" w:hAnsi="Arial"/>
                <w:sz w:val="18"/>
                <w:szCs w:val="18"/>
                <w:color w:val="auto"/>
              </w:rPr>
              <w:t>Exhibit Index</w:t>
            </w:r>
          </w:p>
        </w:tc>
      </w:tr>
      <w:tr>
        <w:trPr>
          <w:trHeight w:val="615"/>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35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3500" w:type="dxa"/>
            <w:vAlign w:val="bottom"/>
          </w:tcPr>
          <w:p>
            <w:pPr>
              <w:spacing w:after="0"/>
              <w:rPr>
                <w:sz w:val="23"/>
                <w:szCs w:val="23"/>
                <w:color w:val="auto"/>
              </w:rPr>
            </w:pPr>
          </w:p>
        </w:tc>
        <w:tc>
          <w:tcPr>
            <w:tcW w:w="6200" w:type="dxa"/>
            <w:vAlign w:val="bottom"/>
            <w:gridSpan w:val="2"/>
          </w:tcPr>
          <w:p>
            <w:pPr>
              <w:ind w:left="5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gridSpan w:val="3"/>
          </w:tcPr>
          <w:p>
            <w:pPr>
              <w:ind w:left="40"/>
              <w:spacing w:after="0"/>
              <w:rPr>
                <w:sz w:val="20"/>
                <w:szCs w:val="20"/>
                <w:color w:val="auto"/>
              </w:rPr>
            </w:pPr>
            <w:r>
              <w:rPr>
                <w:rFonts w:ascii="Arial" w:cs="Arial" w:eastAsia="Arial" w:hAnsi="Arial"/>
                <w:sz w:val="18"/>
                <w:szCs w:val="18"/>
                <w:color w:val="auto"/>
              </w:rPr>
              <w:t>Press Release of the Registrant dated April 30, 2015 (Quarterly Earnings)</w:t>
            </w:r>
          </w:p>
        </w:tc>
      </w:tr>
    </w:tbl>
    <w:p>
      <w:pPr>
        <w:sectPr>
          <w:pgSz w:w="11900" w:h="16838" w:orient="portrait"/>
          <w:cols w:equalWidth="0" w:num="1">
            <w:col w:w="11420"/>
          </w:cols>
          <w:pgMar w:left="240" w:top="56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24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Results for Third Quarter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First Nine Months of Fiscal 2015</w:t>
      </w:r>
    </w:p>
    <w:p>
      <w:pPr>
        <w:spacing w:after="0" w:line="242"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CHICAGO-(June 8, 2015)-Oil-Dri Corporation of America (NYSE: ODC) today announced net sales of $65,196,000 for the third quarter of fiscal 2015 ended April 30, 2015, a 3% decrease compared with net sales of $67,417,000 for the same quarter one year ago. Net income for the third quarter was $1,385,000, or $0.19 per diluted share, up 92% from net income of $722,000, or $0.10 per diluted share, in the third quarter of fiscal 2014.</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Net sales for the nine-month period ended April 30, 2015 were $195,883,000, a 2% decrease compared with net sales of</w:t>
      </w:r>
    </w:p>
    <w:p>
      <w:pPr>
        <w:spacing w:after="0" w:line="33" w:lineRule="exact"/>
        <w:rPr>
          <w:sz w:val="20"/>
          <w:szCs w:val="20"/>
          <w:color w:val="auto"/>
        </w:rPr>
      </w:pPr>
    </w:p>
    <w:p>
      <w:pPr>
        <w:ind w:right="240"/>
        <w:spacing w:after="0" w:line="270" w:lineRule="auto"/>
        <w:rPr>
          <w:sz w:val="20"/>
          <w:szCs w:val="20"/>
          <w:color w:val="auto"/>
        </w:rPr>
      </w:pPr>
      <w:r>
        <w:rPr>
          <w:rFonts w:ascii="Arial" w:cs="Arial" w:eastAsia="Arial" w:hAnsi="Arial"/>
          <w:sz w:val="21"/>
          <w:szCs w:val="21"/>
          <w:color w:val="auto"/>
        </w:rPr>
        <w:t>$200,268,000 in the same period one year ago. Net income for the nine-month period was $6,302,000, or $0.88 per diluted share, down 21% from net income of $7,890,000, or $1.11 per diluted share, in the same period of fiscal 2014.</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BUSINESS REVIEW</w:t>
      </w:r>
    </w:p>
    <w:p>
      <w:pPr>
        <w:spacing w:after="0" w:line="26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President and Chief Executive Officer Daniel S. Jaffee said, “The quarter and nine month results reflect continuing headwinds. Overall net sales for the quarter were slightly lower than the previous year, but net income was up; showing the effect of moderating cost pressures and reduced promotional consumer market spending. Gross margins for the quarter were higher than for the third quarter of fiscal 2014.</w:t>
      </w:r>
    </w:p>
    <w:p>
      <w:pPr>
        <w:spacing w:after="0" w:line="188" w:lineRule="exact"/>
        <w:rPr>
          <w:sz w:val="20"/>
          <w:szCs w:val="20"/>
          <w:color w:val="auto"/>
        </w:rPr>
      </w:pPr>
    </w:p>
    <w:p>
      <w:pPr>
        <w:ind w:right="760"/>
        <w:spacing w:after="0" w:line="343" w:lineRule="auto"/>
        <w:rPr>
          <w:sz w:val="20"/>
          <w:szCs w:val="20"/>
          <w:color w:val="auto"/>
        </w:rPr>
      </w:pPr>
      <w:r>
        <w:rPr>
          <w:rFonts w:ascii="Arial" w:cs="Arial" w:eastAsia="Arial" w:hAnsi="Arial"/>
          <w:sz w:val="19"/>
          <w:szCs w:val="19"/>
          <w:color w:val="auto"/>
        </w:rPr>
        <w:t>“Sales of our cat litter products in our Retail and Wholesale segment and our fluids purification products in our Business to Business segment were down, but sales of our industrial, sports turf, agricultural and animal health products were up.</w:t>
      </w:r>
    </w:p>
    <w:p>
      <w:pPr>
        <w:spacing w:after="0" w:line="105" w:lineRule="exact"/>
        <w:rPr>
          <w:sz w:val="20"/>
          <w:szCs w:val="20"/>
          <w:color w:val="auto"/>
        </w:rPr>
      </w:pPr>
    </w:p>
    <w:p>
      <w:pPr>
        <w:ind w:right="40"/>
        <w:spacing w:after="0" w:line="261" w:lineRule="auto"/>
        <w:rPr>
          <w:sz w:val="20"/>
          <w:szCs w:val="20"/>
          <w:color w:val="auto"/>
        </w:rPr>
      </w:pPr>
      <w:r>
        <w:rPr>
          <w:rFonts w:ascii="Arial" w:cs="Arial" w:eastAsia="Arial" w:hAnsi="Arial"/>
          <w:sz w:val="21"/>
          <w:szCs w:val="21"/>
          <w:color w:val="auto"/>
        </w:rPr>
        <w:t>“In the consumer market, continued competitive activity supporting new product offerings by our major competitors put pressure on our cat litter sales. According to the most recent 12 week data available from an independent market reporting service, the lightweight scoopable litter segment of the cat litter category continues to grow and now represents 18.4% of the scoopable segment, while other sub-segments, including coarse litter, continue to decline. Although we did not benefit overall from the growth in the lightweight scoopable litter segment during the quarter, we believe we are well-positioned for the long term given the relatively low density of our clay reserves as the trend toward lightweight litter continues.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420"/>
          </w:cols>
          <w:pgMar w:left="240" w:top="828"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“Our industrial and sports turf products generated increases in unit shipments and net sales.</w:t>
      </w:r>
    </w:p>
    <w:p>
      <w:pPr>
        <w:spacing w:after="0" w:line="220"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 the Business to Business segment, the decrease in the sales of our fluid purification products was the key driver in the reduced sales for the segment. Our agricultural and animal health businesses contributed to our performance with increased sales and profitability for the quarter. Amlan Trading (Shenzhen) Company, Ltd., our subsidiary in China, continued to make progress in the quarter and nine months.</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9"/>
          <w:szCs w:val="19"/>
          <w:color w:val="auto"/>
        </w:rPr>
        <w:t>“Export sales of our products, including our fluid purification products, have been impacted by the increase in the value of the U.S. dollar versus currencies in many of our foreign markets. According to currency information published by the Federal Reserve System, the dollar has increased in value against a group of major currencies by 17% since the beginning of fiscal 2015.</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“The increase in the value of the dollar impacts our sales and income. We estimate that on a direct and indirect basis, the increase in the value of the dollar has reduced our before tax income by over $900,000 in the first nine months of fiscal 2015 compared to the same period a year ago. The increase in the value of the dollar effectively increases our prices compared to the prices of our foreign competitors making our products less competitive in international markets.</w:t>
      </w:r>
      <w:r>
        <w:rPr>
          <w:rFonts w:ascii="Arial" w:cs="Arial" w:eastAsia="Arial" w:hAnsi="Arial"/>
          <w:sz w:val="17"/>
          <w:szCs w:val="17"/>
          <w:color w:val="auto"/>
        </w:rPr>
        <w: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400"/>
          </w:cols>
          <w:pgMar w:left="240" w:top="1347" w:right="25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SEGMENT REVIEW</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BUSINESS TO BUSINESS</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217170</wp:posOffset>
            </wp:positionV>
            <wp:extent cx="71094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331"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3180" w:type="dxa"/>
            <w:vAlign w:val="bottom"/>
          </w:tcPr>
          <w:p>
            <w:pPr>
              <w:spacing w:after="0"/>
              <w:rPr>
                <w:sz w:val="18"/>
                <w:szCs w:val="18"/>
                <w:color w:val="auto"/>
              </w:rPr>
            </w:pPr>
          </w:p>
        </w:tc>
        <w:tc>
          <w:tcPr>
            <w:tcW w:w="4300" w:type="dxa"/>
            <w:vAlign w:val="bottom"/>
          </w:tcPr>
          <w:p>
            <w:pPr>
              <w:jc w:val="center"/>
              <w:ind w:left="2344"/>
              <w:spacing w:after="0"/>
              <w:rPr>
                <w:sz w:val="20"/>
                <w:szCs w:val="20"/>
                <w:color w:val="auto"/>
              </w:rPr>
            </w:pPr>
            <w:r>
              <w:rPr>
                <w:rFonts w:ascii="Arial" w:cs="Arial" w:eastAsia="Arial" w:hAnsi="Arial"/>
                <w:sz w:val="19"/>
                <w:szCs w:val="19"/>
                <w:b w:val="1"/>
                <w:bCs w:val="1"/>
                <w:color w:val="auto"/>
                <w:w w:val="93"/>
              </w:rPr>
              <w:t>Three Month Period</w:t>
            </w:r>
          </w:p>
        </w:tc>
        <w:tc>
          <w:tcPr>
            <w:tcW w:w="1900" w:type="dxa"/>
            <w:vAlign w:val="bottom"/>
          </w:tcPr>
          <w:p>
            <w:pPr>
              <w:spacing w:after="0"/>
              <w:rPr>
                <w:sz w:val="18"/>
                <w:szCs w:val="18"/>
                <w:color w:val="auto"/>
              </w:rPr>
            </w:pPr>
          </w:p>
        </w:tc>
        <w:tc>
          <w:tcPr>
            <w:tcW w:w="1820" w:type="dxa"/>
            <w:vAlign w:val="bottom"/>
          </w:tcPr>
          <w:p>
            <w:pPr>
              <w:ind w:left="880"/>
              <w:spacing w:after="0"/>
              <w:rPr>
                <w:sz w:val="20"/>
                <w:szCs w:val="20"/>
                <w:color w:val="auto"/>
              </w:rPr>
            </w:pPr>
            <w:r>
              <w:rPr>
                <w:rFonts w:ascii="Arial" w:cs="Arial" w:eastAsia="Arial" w:hAnsi="Arial"/>
                <w:sz w:val="19"/>
                <w:szCs w:val="19"/>
                <w:b w:val="1"/>
                <w:bCs w:val="1"/>
                <w:color w:val="auto"/>
              </w:rPr>
              <w:t>Change</w:t>
            </w:r>
          </w:p>
        </w:tc>
      </w:tr>
      <w:tr>
        <w:trPr>
          <w:trHeight w:val="246"/>
        </w:trPr>
        <w:tc>
          <w:tcPr>
            <w:tcW w:w="3180" w:type="dxa"/>
            <w:vAlign w:val="bottom"/>
          </w:tcPr>
          <w:p>
            <w:pPr>
              <w:spacing w:after="0"/>
              <w:rPr>
                <w:sz w:val="21"/>
                <w:szCs w:val="21"/>
                <w:color w:val="auto"/>
              </w:rPr>
            </w:pPr>
          </w:p>
        </w:tc>
        <w:tc>
          <w:tcPr>
            <w:tcW w:w="4300" w:type="dxa"/>
            <w:vAlign w:val="bottom"/>
          </w:tcPr>
          <w:p>
            <w:pPr>
              <w:jc w:val="center"/>
              <w:ind w:left="2344"/>
              <w:spacing w:after="0"/>
              <w:rPr>
                <w:sz w:val="20"/>
                <w:szCs w:val="20"/>
                <w:color w:val="auto"/>
              </w:rPr>
            </w:pPr>
            <w:r>
              <w:rPr>
                <w:rFonts w:ascii="Arial" w:cs="Arial" w:eastAsia="Arial" w:hAnsi="Arial"/>
                <w:sz w:val="19"/>
                <w:szCs w:val="19"/>
                <w:b w:val="1"/>
                <w:bCs w:val="1"/>
                <w:color w:val="auto"/>
                <w:w w:val="94"/>
              </w:rPr>
              <w:t>February 1 - April 30</w:t>
            </w:r>
          </w:p>
        </w:tc>
        <w:tc>
          <w:tcPr>
            <w:tcW w:w="19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5"/>
        </w:trPr>
        <w:tc>
          <w:tcPr>
            <w:tcW w:w="318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9"/>
                <w:szCs w:val="19"/>
                <w:b w:val="1"/>
                <w:bCs w:val="1"/>
                <w:color w:val="auto"/>
              </w:rPr>
              <w:t>Fiscal 2015</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9"/>
                <w:szCs w:val="19"/>
                <w:b w:val="1"/>
                <w:bCs w:val="1"/>
                <w:color w:val="auto"/>
              </w:rPr>
              <w:t>Fiscal 2014</w:t>
            </w:r>
          </w:p>
        </w:tc>
        <w:tc>
          <w:tcPr>
            <w:tcW w:w="1820" w:type="dxa"/>
            <w:vAlign w:val="bottom"/>
            <w:tcBorders>
              <w:bottom w:val="single" w:sz="8" w:color="CCEEFF"/>
            </w:tcBorders>
            <w:shd w:val="clear" w:color="auto" w:fill="CCEEFF"/>
          </w:tcPr>
          <w:p>
            <w:pPr>
              <w:spacing w:after="0"/>
              <w:rPr>
                <w:sz w:val="21"/>
                <w:szCs w:val="21"/>
                <w:color w:val="auto"/>
              </w:rPr>
            </w:pPr>
          </w:p>
        </w:tc>
      </w:tr>
      <w:tr>
        <w:trPr>
          <w:trHeight w:val="246"/>
        </w:trPr>
        <w:tc>
          <w:tcPr>
            <w:tcW w:w="3180" w:type="dxa"/>
            <w:vAlign w:val="bottom"/>
          </w:tcPr>
          <w:p>
            <w:pPr>
              <w:jc w:val="center"/>
              <w:spacing w:after="0"/>
              <w:rPr>
                <w:sz w:val="20"/>
                <w:szCs w:val="20"/>
                <w:color w:val="auto"/>
              </w:rPr>
            </w:pPr>
            <w:r>
              <w:rPr>
                <w:rFonts w:ascii="Arial" w:cs="Arial" w:eastAsia="Arial" w:hAnsi="Arial"/>
                <w:sz w:val="19"/>
                <w:szCs w:val="19"/>
                <w:b w:val="1"/>
                <w:bCs w:val="1"/>
                <w:color w:val="auto"/>
                <w:w w:val="86"/>
              </w:rPr>
              <w:t>Net Sales</w:t>
            </w:r>
          </w:p>
        </w:tc>
        <w:tc>
          <w:tcPr>
            <w:tcW w:w="4300" w:type="dxa"/>
            <w:vAlign w:val="bottom"/>
          </w:tcPr>
          <w:p>
            <w:pPr>
              <w:jc w:val="center"/>
              <w:ind w:right="1384"/>
              <w:spacing w:after="0"/>
              <w:rPr>
                <w:sz w:val="20"/>
                <w:szCs w:val="20"/>
                <w:color w:val="auto"/>
              </w:rPr>
            </w:pPr>
            <w:r>
              <w:rPr>
                <w:rFonts w:ascii="Arial" w:cs="Arial" w:eastAsia="Arial" w:hAnsi="Arial"/>
                <w:sz w:val="19"/>
                <w:szCs w:val="19"/>
                <w:color w:val="auto"/>
                <w:w w:val="88"/>
              </w:rPr>
              <w:t>$21,854,000</w:t>
            </w:r>
          </w:p>
        </w:tc>
        <w:tc>
          <w:tcPr>
            <w:tcW w:w="1900" w:type="dxa"/>
            <w:vAlign w:val="bottom"/>
          </w:tcPr>
          <w:p>
            <w:pPr>
              <w:jc w:val="center"/>
              <w:ind w:right="745"/>
              <w:spacing w:after="0"/>
              <w:rPr>
                <w:sz w:val="20"/>
                <w:szCs w:val="20"/>
                <w:color w:val="auto"/>
              </w:rPr>
            </w:pPr>
            <w:r>
              <w:rPr>
                <w:rFonts w:ascii="Arial" w:cs="Arial" w:eastAsia="Arial" w:hAnsi="Arial"/>
                <w:sz w:val="19"/>
                <w:szCs w:val="19"/>
                <w:color w:val="auto"/>
                <w:w w:val="88"/>
              </w:rPr>
              <w:t>$22,470,000</w:t>
            </w:r>
          </w:p>
        </w:tc>
        <w:tc>
          <w:tcPr>
            <w:tcW w:w="1820" w:type="dxa"/>
            <w:vAlign w:val="bottom"/>
          </w:tcPr>
          <w:p>
            <w:pPr>
              <w:jc w:val="center"/>
              <w:ind w:left="485"/>
              <w:spacing w:after="0"/>
              <w:rPr>
                <w:sz w:val="20"/>
                <w:szCs w:val="20"/>
                <w:color w:val="auto"/>
              </w:rPr>
            </w:pPr>
            <w:r>
              <w:rPr>
                <w:rFonts w:ascii="Arial" w:cs="Arial" w:eastAsia="Arial" w:hAnsi="Arial"/>
                <w:sz w:val="19"/>
                <w:szCs w:val="19"/>
                <w:color w:val="auto"/>
                <w:w w:val="94"/>
              </w:rPr>
              <w:t>-3%</w:t>
            </w:r>
          </w:p>
        </w:tc>
      </w:tr>
      <w:tr>
        <w:trPr>
          <w:trHeight w:val="24"/>
        </w:trPr>
        <w:tc>
          <w:tcPr>
            <w:tcW w:w="31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b w:val="1"/>
                <w:bCs w:val="1"/>
                <w:color w:val="auto"/>
                <w:w w:val="88"/>
              </w:rPr>
              <w:t>Segment Income</w:t>
            </w:r>
          </w:p>
        </w:tc>
        <w:tc>
          <w:tcPr>
            <w:tcW w:w="4300" w:type="dxa"/>
            <w:vAlign w:val="bottom"/>
            <w:tcBorders>
              <w:bottom w:val="single" w:sz="8" w:color="CCEEFF"/>
            </w:tcBorders>
            <w:shd w:val="clear" w:color="auto" w:fill="CCEEFF"/>
          </w:tcPr>
          <w:p>
            <w:pPr>
              <w:jc w:val="center"/>
              <w:ind w:right="1384"/>
              <w:spacing w:after="0"/>
              <w:rPr>
                <w:sz w:val="20"/>
                <w:szCs w:val="20"/>
                <w:color w:val="auto"/>
              </w:rPr>
            </w:pPr>
            <w:r>
              <w:rPr>
                <w:rFonts w:ascii="Arial" w:cs="Arial" w:eastAsia="Arial" w:hAnsi="Arial"/>
                <w:sz w:val="19"/>
                <w:szCs w:val="19"/>
                <w:color w:val="auto"/>
                <w:w w:val="90"/>
              </w:rPr>
              <w:t>$6,676,000</w:t>
            </w:r>
          </w:p>
        </w:tc>
        <w:tc>
          <w:tcPr>
            <w:tcW w:w="1900" w:type="dxa"/>
            <w:vAlign w:val="bottom"/>
            <w:tcBorders>
              <w:bottom w:val="single" w:sz="8" w:color="CCEEFF"/>
            </w:tcBorders>
            <w:shd w:val="clear" w:color="auto" w:fill="CCEEFF"/>
          </w:tcPr>
          <w:p>
            <w:pPr>
              <w:jc w:val="center"/>
              <w:ind w:right="745"/>
              <w:spacing w:after="0"/>
              <w:rPr>
                <w:sz w:val="20"/>
                <w:szCs w:val="20"/>
                <w:color w:val="auto"/>
              </w:rPr>
            </w:pPr>
            <w:r>
              <w:rPr>
                <w:rFonts w:ascii="Arial" w:cs="Arial" w:eastAsia="Arial" w:hAnsi="Arial"/>
                <w:sz w:val="19"/>
                <w:szCs w:val="19"/>
                <w:color w:val="auto"/>
                <w:w w:val="90"/>
              </w:rPr>
              <w:t>$5,336,000</w:t>
            </w:r>
          </w:p>
        </w:tc>
        <w:tc>
          <w:tcPr>
            <w:tcW w:w="1820" w:type="dxa"/>
            <w:vAlign w:val="bottom"/>
            <w:tcBorders>
              <w:bottom w:val="single" w:sz="8" w:color="CCEEFF"/>
            </w:tcBorders>
            <w:shd w:val="clear" w:color="auto" w:fill="CCEEFF"/>
          </w:tcPr>
          <w:p>
            <w:pPr>
              <w:jc w:val="center"/>
              <w:ind w:left="485"/>
              <w:spacing w:after="0"/>
              <w:rPr>
                <w:sz w:val="20"/>
                <w:szCs w:val="20"/>
                <w:color w:val="auto"/>
              </w:rPr>
            </w:pPr>
            <w:r>
              <w:rPr>
                <w:rFonts w:ascii="Arial" w:cs="Arial" w:eastAsia="Arial" w:hAnsi="Arial"/>
                <w:sz w:val="19"/>
                <w:szCs w:val="19"/>
                <w:color w:val="auto"/>
                <w:w w:val="94"/>
              </w:rPr>
              <w:t>25%</w:t>
            </w:r>
          </w:p>
        </w:tc>
      </w:tr>
      <w:tr>
        <w:trPr>
          <w:trHeight w:val="517"/>
        </w:trPr>
        <w:tc>
          <w:tcPr>
            <w:tcW w:w="3180" w:type="dxa"/>
            <w:vAlign w:val="bottom"/>
            <w:tcBorders>
              <w:top w:val="single" w:sz="8" w:color="auto"/>
            </w:tcBorders>
          </w:tcPr>
          <w:p>
            <w:pPr>
              <w:spacing w:after="0"/>
              <w:rPr>
                <w:sz w:val="24"/>
                <w:szCs w:val="24"/>
                <w:color w:val="auto"/>
              </w:rPr>
            </w:pPr>
          </w:p>
        </w:tc>
        <w:tc>
          <w:tcPr>
            <w:tcW w:w="4300" w:type="dxa"/>
            <w:vAlign w:val="bottom"/>
            <w:tcBorders>
              <w:top w:val="single" w:sz="8" w:color="auto"/>
            </w:tcBorders>
          </w:tcPr>
          <w:p>
            <w:pPr>
              <w:ind w:left="1440"/>
              <w:spacing w:after="0"/>
              <w:rPr>
                <w:sz w:val="20"/>
                <w:szCs w:val="20"/>
                <w:color w:val="auto"/>
              </w:rPr>
            </w:pPr>
            <w:r>
              <w:rPr>
                <w:rFonts w:ascii="Arial" w:cs="Arial" w:eastAsia="Arial" w:hAnsi="Arial"/>
                <w:sz w:val="22"/>
                <w:szCs w:val="22"/>
                <w:b w:val="1"/>
                <w:bCs w:val="1"/>
                <w:color w:val="auto"/>
              </w:rPr>
              <w:t>Nine-Month Results</w:t>
            </w:r>
          </w:p>
        </w:tc>
        <w:tc>
          <w:tcPr>
            <w:tcW w:w="190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341"/>
        </w:trPr>
        <w:tc>
          <w:tcPr>
            <w:tcW w:w="3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08"/>
        </w:trPr>
        <w:tc>
          <w:tcPr>
            <w:tcW w:w="3180" w:type="dxa"/>
            <w:vAlign w:val="bottom"/>
          </w:tcPr>
          <w:p>
            <w:pPr>
              <w:spacing w:after="0"/>
              <w:rPr>
                <w:sz w:val="18"/>
                <w:szCs w:val="18"/>
                <w:color w:val="auto"/>
              </w:rPr>
            </w:pPr>
          </w:p>
        </w:tc>
        <w:tc>
          <w:tcPr>
            <w:tcW w:w="4300" w:type="dxa"/>
            <w:vAlign w:val="bottom"/>
          </w:tcPr>
          <w:p>
            <w:pPr>
              <w:jc w:val="center"/>
              <w:ind w:left="2344"/>
              <w:spacing w:after="0" w:line="208" w:lineRule="exact"/>
              <w:rPr>
                <w:sz w:val="20"/>
                <w:szCs w:val="20"/>
                <w:color w:val="auto"/>
              </w:rPr>
            </w:pPr>
            <w:r>
              <w:rPr>
                <w:rFonts w:ascii="Arial" w:cs="Arial" w:eastAsia="Arial" w:hAnsi="Arial"/>
                <w:sz w:val="19"/>
                <w:szCs w:val="19"/>
                <w:b w:val="1"/>
                <w:bCs w:val="1"/>
                <w:color w:val="auto"/>
                <w:w w:val="93"/>
              </w:rPr>
              <w:t>Nine-Month Period</w:t>
            </w:r>
          </w:p>
        </w:tc>
        <w:tc>
          <w:tcPr>
            <w:tcW w:w="1900" w:type="dxa"/>
            <w:vAlign w:val="bottom"/>
          </w:tcPr>
          <w:p>
            <w:pPr>
              <w:spacing w:after="0"/>
              <w:rPr>
                <w:sz w:val="18"/>
                <w:szCs w:val="18"/>
                <w:color w:val="auto"/>
              </w:rPr>
            </w:pPr>
          </w:p>
        </w:tc>
        <w:tc>
          <w:tcPr>
            <w:tcW w:w="1820" w:type="dxa"/>
            <w:vAlign w:val="bottom"/>
          </w:tcPr>
          <w:p>
            <w:pPr>
              <w:ind w:left="880"/>
              <w:spacing w:after="0" w:line="208" w:lineRule="exact"/>
              <w:rPr>
                <w:sz w:val="20"/>
                <w:szCs w:val="20"/>
                <w:color w:val="auto"/>
              </w:rPr>
            </w:pPr>
            <w:r>
              <w:rPr>
                <w:rFonts w:ascii="Arial" w:cs="Arial" w:eastAsia="Arial" w:hAnsi="Arial"/>
                <w:sz w:val="19"/>
                <w:szCs w:val="19"/>
                <w:b w:val="1"/>
                <w:bCs w:val="1"/>
                <w:color w:val="auto"/>
              </w:rPr>
              <w:t>Change</w:t>
            </w:r>
          </w:p>
        </w:tc>
      </w:tr>
      <w:tr>
        <w:trPr>
          <w:trHeight w:val="246"/>
        </w:trPr>
        <w:tc>
          <w:tcPr>
            <w:tcW w:w="3180" w:type="dxa"/>
            <w:vAlign w:val="bottom"/>
          </w:tcPr>
          <w:p>
            <w:pPr>
              <w:spacing w:after="0"/>
              <w:rPr>
                <w:sz w:val="21"/>
                <w:szCs w:val="21"/>
                <w:color w:val="auto"/>
              </w:rPr>
            </w:pPr>
          </w:p>
        </w:tc>
        <w:tc>
          <w:tcPr>
            <w:tcW w:w="4300" w:type="dxa"/>
            <w:vAlign w:val="bottom"/>
          </w:tcPr>
          <w:p>
            <w:pPr>
              <w:jc w:val="center"/>
              <w:ind w:left="2344"/>
              <w:spacing w:after="0"/>
              <w:rPr>
                <w:sz w:val="20"/>
                <w:szCs w:val="20"/>
                <w:color w:val="auto"/>
              </w:rPr>
            </w:pPr>
            <w:r>
              <w:rPr>
                <w:rFonts w:ascii="Arial" w:cs="Arial" w:eastAsia="Arial" w:hAnsi="Arial"/>
                <w:sz w:val="19"/>
                <w:szCs w:val="19"/>
                <w:b w:val="1"/>
                <w:bCs w:val="1"/>
                <w:color w:val="auto"/>
                <w:w w:val="91"/>
              </w:rPr>
              <w:t>August 1 - April 30</w:t>
            </w:r>
          </w:p>
        </w:tc>
        <w:tc>
          <w:tcPr>
            <w:tcW w:w="19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5"/>
        </w:trPr>
        <w:tc>
          <w:tcPr>
            <w:tcW w:w="318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9"/>
                <w:szCs w:val="19"/>
                <w:b w:val="1"/>
                <w:bCs w:val="1"/>
                <w:color w:val="auto"/>
              </w:rPr>
              <w:t>Fiscal 2015</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9"/>
                <w:szCs w:val="19"/>
                <w:b w:val="1"/>
                <w:bCs w:val="1"/>
                <w:color w:val="auto"/>
              </w:rPr>
              <w:t>Fiscal 2014</w:t>
            </w:r>
          </w:p>
        </w:tc>
        <w:tc>
          <w:tcPr>
            <w:tcW w:w="1820" w:type="dxa"/>
            <w:vAlign w:val="bottom"/>
            <w:tcBorders>
              <w:bottom w:val="single" w:sz="8" w:color="CCEEFF"/>
            </w:tcBorders>
            <w:shd w:val="clear" w:color="auto" w:fill="CCEEFF"/>
          </w:tcPr>
          <w:p>
            <w:pPr>
              <w:spacing w:after="0"/>
              <w:rPr>
                <w:sz w:val="21"/>
                <w:szCs w:val="21"/>
                <w:color w:val="auto"/>
              </w:rPr>
            </w:pPr>
          </w:p>
        </w:tc>
      </w:tr>
      <w:tr>
        <w:trPr>
          <w:trHeight w:val="246"/>
        </w:trPr>
        <w:tc>
          <w:tcPr>
            <w:tcW w:w="3180" w:type="dxa"/>
            <w:vAlign w:val="bottom"/>
          </w:tcPr>
          <w:p>
            <w:pPr>
              <w:jc w:val="center"/>
              <w:spacing w:after="0"/>
              <w:rPr>
                <w:sz w:val="20"/>
                <w:szCs w:val="20"/>
                <w:color w:val="auto"/>
              </w:rPr>
            </w:pPr>
            <w:r>
              <w:rPr>
                <w:rFonts w:ascii="Arial" w:cs="Arial" w:eastAsia="Arial" w:hAnsi="Arial"/>
                <w:sz w:val="19"/>
                <w:szCs w:val="19"/>
                <w:b w:val="1"/>
                <w:bCs w:val="1"/>
                <w:color w:val="auto"/>
                <w:w w:val="86"/>
              </w:rPr>
              <w:t>Net Sales</w:t>
            </w:r>
          </w:p>
        </w:tc>
        <w:tc>
          <w:tcPr>
            <w:tcW w:w="4300" w:type="dxa"/>
            <w:vAlign w:val="bottom"/>
          </w:tcPr>
          <w:p>
            <w:pPr>
              <w:jc w:val="center"/>
              <w:ind w:right="1384"/>
              <w:spacing w:after="0"/>
              <w:rPr>
                <w:sz w:val="20"/>
                <w:szCs w:val="20"/>
                <w:color w:val="auto"/>
              </w:rPr>
            </w:pPr>
            <w:r>
              <w:rPr>
                <w:rFonts w:ascii="Arial" w:cs="Arial" w:eastAsia="Arial" w:hAnsi="Arial"/>
                <w:sz w:val="19"/>
                <w:szCs w:val="19"/>
                <w:color w:val="auto"/>
                <w:w w:val="88"/>
              </w:rPr>
              <w:t>$68,549,000</w:t>
            </w:r>
          </w:p>
        </w:tc>
        <w:tc>
          <w:tcPr>
            <w:tcW w:w="1900" w:type="dxa"/>
            <w:vAlign w:val="bottom"/>
          </w:tcPr>
          <w:p>
            <w:pPr>
              <w:jc w:val="center"/>
              <w:ind w:right="745"/>
              <w:spacing w:after="0"/>
              <w:rPr>
                <w:sz w:val="20"/>
                <w:szCs w:val="20"/>
                <w:color w:val="auto"/>
              </w:rPr>
            </w:pPr>
            <w:r>
              <w:rPr>
                <w:rFonts w:ascii="Arial" w:cs="Arial" w:eastAsia="Arial" w:hAnsi="Arial"/>
                <w:sz w:val="19"/>
                <w:szCs w:val="19"/>
                <w:color w:val="auto"/>
                <w:w w:val="88"/>
              </w:rPr>
              <w:t>$71,649,000</w:t>
            </w:r>
          </w:p>
        </w:tc>
        <w:tc>
          <w:tcPr>
            <w:tcW w:w="1820" w:type="dxa"/>
            <w:vAlign w:val="bottom"/>
          </w:tcPr>
          <w:p>
            <w:pPr>
              <w:jc w:val="center"/>
              <w:ind w:left="485"/>
              <w:spacing w:after="0"/>
              <w:rPr>
                <w:sz w:val="20"/>
                <w:szCs w:val="20"/>
                <w:color w:val="auto"/>
              </w:rPr>
            </w:pPr>
            <w:r>
              <w:rPr>
                <w:rFonts w:ascii="Arial" w:cs="Arial" w:eastAsia="Arial" w:hAnsi="Arial"/>
                <w:sz w:val="19"/>
                <w:szCs w:val="19"/>
                <w:color w:val="auto"/>
                <w:w w:val="94"/>
              </w:rPr>
              <w:t>-4%</w:t>
            </w:r>
          </w:p>
        </w:tc>
      </w:tr>
      <w:tr>
        <w:trPr>
          <w:trHeight w:val="24"/>
        </w:trPr>
        <w:tc>
          <w:tcPr>
            <w:tcW w:w="31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b w:val="1"/>
                <w:bCs w:val="1"/>
                <w:color w:val="auto"/>
                <w:w w:val="88"/>
              </w:rPr>
              <w:t>Segment Income</w:t>
            </w:r>
          </w:p>
        </w:tc>
        <w:tc>
          <w:tcPr>
            <w:tcW w:w="4300" w:type="dxa"/>
            <w:vAlign w:val="bottom"/>
            <w:tcBorders>
              <w:bottom w:val="single" w:sz="8" w:color="CCEEFF"/>
            </w:tcBorders>
            <w:shd w:val="clear" w:color="auto" w:fill="CCEEFF"/>
          </w:tcPr>
          <w:p>
            <w:pPr>
              <w:jc w:val="center"/>
              <w:ind w:right="1384"/>
              <w:spacing w:after="0"/>
              <w:rPr>
                <w:sz w:val="20"/>
                <w:szCs w:val="20"/>
                <w:color w:val="auto"/>
              </w:rPr>
            </w:pPr>
            <w:r>
              <w:rPr>
                <w:rFonts w:ascii="Arial" w:cs="Arial" w:eastAsia="Arial" w:hAnsi="Arial"/>
                <w:sz w:val="19"/>
                <w:szCs w:val="19"/>
                <w:color w:val="auto"/>
                <w:w w:val="88"/>
              </w:rPr>
              <w:t>$20,990,000</w:t>
            </w:r>
          </w:p>
        </w:tc>
        <w:tc>
          <w:tcPr>
            <w:tcW w:w="1900" w:type="dxa"/>
            <w:vAlign w:val="bottom"/>
            <w:tcBorders>
              <w:bottom w:val="single" w:sz="8" w:color="CCEEFF"/>
            </w:tcBorders>
            <w:shd w:val="clear" w:color="auto" w:fill="CCEEFF"/>
          </w:tcPr>
          <w:p>
            <w:pPr>
              <w:jc w:val="center"/>
              <w:ind w:right="745"/>
              <w:spacing w:after="0"/>
              <w:rPr>
                <w:sz w:val="20"/>
                <w:szCs w:val="20"/>
                <w:color w:val="auto"/>
              </w:rPr>
            </w:pPr>
            <w:r>
              <w:rPr>
                <w:rFonts w:ascii="Arial" w:cs="Arial" w:eastAsia="Arial" w:hAnsi="Arial"/>
                <w:sz w:val="19"/>
                <w:szCs w:val="19"/>
                <w:color w:val="auto"/>
                <w:w w:val="88"/>
              </w:rPr>
              <w:t>$20,980,000</w:t>
            </w:r>
          </w:p>
        </w:tc>
        <w:tc>
          <w:tcPr>
            <w:tcW w:w="1820" w:type="dxa"/>
            <w:vAlign w:val="bottom"/>
            <w:tcBorders>
              <w:bottom w:val="single" w:sz="8" w:color="CCEEFF"/>
            </w:tcBorders>
            <w:shd w:val="clear" w:color="auto" w:fill="CCEEFF"/>
          </w:tcPr>
          <w:p>
            <w:pPr>
              <w:jc w:val="center"/>
              <w:ind w:left="485"/>
              <w:spacing w:after="0"/>
              <w:rPr>
                <w:sz w:val="20"/>
                <w:szCs w:val="20"/>
                <w:color w:val="auto"/>
              </w:rPr>
            </w:pPr>
            <w:r>
              <w:rPr>
                <w:rFonts w:ascii="Arial" w:cs="Arial" w:eastAsia="Arial" w:hAnsi="Arial"/>
                <w:sz w:val="19"/>
                <w:szCs w:val="19"/>
                <w:color w:val="auto"/>
              </w:rPr>
              <w:t>—%</w:t>
            </w:r>
          </w:p>
        </w:tc>
      </w:tr>
      <w:tr>
        <w:trPr>
          <w:trHeight w:val="20"/>
        </w:trPr>
        <w:tc>
          <w:tcPr>
            <w:tcW w:w="318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249"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The reduced sales in the Business to Business segment were driven by similar factors in both the third quarter and nine-month periods.</w:t>
      </w:r>
    </w:p>
    <w:p>
      <w:pPr>
        <w:spacing w:after="0" w:line="175"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color w:val="auto"/>
        </w:rPr>
        <w:t>As described above, net sales of our fluid purification products were down. In addition, net sales of our co-packaged coarse cat litter were down compared to the same periods of the prior year.</w:t>
      </w:r>
    </w:p>
    <w:p>
      <w:pPr>
        <w:spacing w:after="0" w:line="175" w:lineRule="exact"/>
        <w:rPr>
          <w:sz w:val="20"/>
          <w:szCs w:val="20"/>
          <w:color w:val="auto"/>
        </w:rPr>
      </w:pPr>
    </w:p>
    <w:p>
      <w:pPr>
        <w:ind w:right="340"/>
        <w:spacing w:after="0" w:line="343" w:lineRule="auto"/>
        <w:rPr>
          <w:sz w:val="20"/>
          <w:szCs w:val="20"/>
          <w:color w:val="auto"/>
        </w:rPr>
      </w:pPr>
      <w:r>
        <w:rPr>
          <w:rFonts w:ascii="Arial" w:cs="Arial" w:eastAsia="Arial" w:hAnsi="Arial"/>
          <w:sz w:val="19"/>
          <w:szCs w:val="19"/>
          <w:color w:val="auto"/>
        </w:rPr>
        <w:t>Partially offsetting these declines was an increase in the net sales of our granular products used by agricultural and horticultural chemical producers. Net sales of our animal health products also increased primarily due to sales by our subsidiary in China.</w:t>
      </w:r>
    </w:p>
    <w:p>
      <w:pPr>
        <w:spacing w:after="0" w:line="105" w:lineRule="exact"/>
        <w:rPr>
          <w:sz w:val="20"/>
          <w:szCs w:val="20"/>
          <w:color w:val="auto"/>
        </w:rPr>
      </w:pPr>
    </w:p>
    <w:p>
      <w:pPr>
        <w:ind w:right="420"/>
        <w:spacing w:after="0" w:line="253" w:lineRule="auto"/>
        <w:rPr>
          <w:sz w:val="20"/>
          <w:szCs w:val="20"/>
          <w:color w:val="auto"/>
        </w:rPr>
      </w:pPr>
      <w:r>
        <w:rPr>
          <w:rFonts w:ascii="Arial" w:cs="Arial" w:eastAsia="Arial" w:hAnsi="Arial"/>
          <w:sz w:val="22"/>
          <w:szCs w:val="22"/>
          <w:color w:val="auto"/>
        </w:rPr>
        <w:t>The operating income for the third quarter increased by 25% and was relatively flat for the nine-month period compared to the same periods of fiscal 2014. The lower cost for natural gas used to operate our kilns to dry our clay positively impacted the operating income.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360"/>
          </w:cols>
          <w:pgMar w:left="240" w:top="1341" w:right="29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RETAIL AND WHOLESALE</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217170</wp:posOffset>
            </wp:positionV>
            <wp:extent cx="71094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331"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4300" w:type="dxa"/>
            <w:vAlign w:val="bottom"/>
          </w:tcPr>
          <w:p>
            <w:pPr>
              <w:jc w:val="center"/>
              <w:ind w:left="2384"/>
              <w:spacing w:after="0"/>
              <w:rPr>
                <w:sz w:val="20"/>
                <w:szCs w:val="20"/>
                <w:color w:val="auto"/>
              </w:rPr>
            </w:pPr>
            <w:r>
              <w:rPr>
                <w:rFonts w:ascii="Arial" w:cs="Arial" w:eastAsia="Arial" w:hAnsi="Arial"/>
                <w:sz w:val="19"/>
                <w:szCs w:val="19"/>
                <w:b w:val="1"/>
                <w:bCs w:val="1"/>
                <w:color w:val="auto"/>
                <w:w w:val="93"/>
              </w:rPr>
              <w:t>Three Month Period</w:t>
            </w:r>
          </w:p>
        </w:tc>
        <w:tc>
          <w:tcPr>
            <w:tcW w:w="1940" w:type="dxa"/>
            <w:vAlign w:val="bottom"/>
          </w:tcPr>
          <w:p>
            <w:pPr>
              <w:spacing w:after="0"/>
              <w:rPr>
                <w:sz w:val="18"/>
                <w:szCs w:val="18"/>
                <w:color w:val="auto"/>
              </w:rPr>
            </w:pPr>
          </w:p>
        </w:tc>
        <w:tc>
          <w:tcPr>
            <w:tcW w:w="1800" w:type="dxa"/>
            <w:vAlign w:val="bottom"/>
          </w:tcPr>
          <w:p>
            <w:pPr>
              <w:ind w:left="860"/>
              <w:spacing w:after="0"/>
              <w:rPr>
                <w:sz w:val="20"/>
                <w:szCs w:val="20"/>
                <w:color w:val="auto"/>
              </w:rPr>
            </w:pPr>
            <w:r>
              <w:rPr>
                <w:rFonts w:ascii="Arial" w:cs="Arial" w:eastAsia="Arial" w:hAnsi="Arial"/>
                <w:sz w:val="19"/>
                <w:szCs w:val="19"/>
                <w:b w:val="1"/>
                <w:bCs w:val="1"/>
                <w:color w:val="auto"/>
              </w:rPr>
              <w:t>Change</w:t>
            </w:r>
          </w:p>
        </w:tc>
      </w:tr>
      <w:tr>
        <w:trPr>
          <w:trHeight w:val="246"/>
        </w:trPr>
        <w:tc>
          <w:tcPr>
            <w:tcW w:w="3160" w:type="dxa"/>
            <w:vAlign w:val="bottom"/>
          </w:tcPr>
          <w:p>
            <w:pPr>
              <w:spacing w:after="0"/>
              <w:rPr>
                <w:sz w:val="21"/>
                <w:szCs w:val="21"/>
                <w:color w:val="auto"/>
              </w:rPr>
            </w:pPr>
          </w:p>
        </w:tc>
        <w:tc>
          <w:tcPr>
            <w:tcW w:w="4300" w:type="dxa"/>
            <w:vAlign w:val="bottom"/>
          </w:tcPr>
          <w:p>
            <w:pPr>
              <w:jc w:val="center"/>
              <w:ind w:left="2384"/>
              <w:spacing w:after="0"/>
              <w:rPr>
                <w:sz w:val="20"/>
                <w:szCs w:val="20"/>
                <w:color w:val="auto"/>
              </w:rPr>
            </w:pPr>
            <w:r>
              <w:rPr>
                <w:rFonts w:ascii="Arial" w:cs="Arial" w:eastAsia="Arial" w:hAnsi="Arial"/>
                <w:sz w:val="19"/>
                <w:szCs w:val="19"/>
                <w:b w:val="1"/>
                <w:bCs w:val="1"/>
                <w:color w:val="auto"/>
                <w:w w:val="94"/>
              </w:rPr>
              <w:t>February 1 - April 30</w:t>
            </w:r>
          </w:p>
        </w:tc>
        <w:tc>
          <w:tcPr>
            <w:tcW w:w="19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5"/>
        </w:trPr>
        <w:tc>
          <w:tcPr>
            <w:tcW w:w="31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9"/>
                <w:szCs w:val="19"/>
                <w:b w:val="1"/>
                <w:bCs w:val="1"/>
                <w:color w:val="auto"/>
              </w:rPr>
              <w:t>Fiscal 2015</w:t>
            </w:r>
          </w:p>
        </w:tc>
        <w:tc>
          <w:tcPr>
            <w:tcW w:w="1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9"/>
                <w:szCs w:val="19"/>
                <w:b w:val="1"/>
                <w:bCs w:val="1"/>
                <w:color w:val="auto"/>
              </w:rPr>
              <w:t>Fiscal 2014</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46"/>
        </w:trPr>
        <w:tc>
          <w:tcPr>
            <w:tcW w:w="3160" w:type="dxa"/>
            <w:vAlign w:val="bottom"/>
          </w:tcPr>
          <w:p>
            <w:pPr>
              <w:jc w:val="center"/>
              <w:spacing w:after="0"/>
              <w:rPr>
                <w:sz w:val="20"/>
                <w:szCs w:val="20"/>
                <w:color w:val="auto"/>
              </w:rPr>
            </w:pPr>
            <w:r>
              <w:rPr>
                <w:rFonts w:ascii="Arial" w:cs="Arial" w:eastAsia="Arial" w:hAnsi="Arial"/>
                <w:sz w:val="19"/>
                <w:szCs w:val="19"/>
                <w:b w:val="1"/>
                <w:bCs w:val="1"/>
                <w:color w:val="auto"/>
                <w:w w:val="86"/>
              </w:rPr>
              <w:t>Net Sales</w:t>
            </w:r>
          </w:p>
        </w:tc>
        <w:tc>
          <w:tcPr>
            <w:tcW w:w="4300" w:type="dxa"/>
            <w:vAlign w:val="bottom"/>
          </w:tcPr>
          <w:p>
            <w:pPr>
              <w:jc w:val="center"/>
              <w:ind w:right="1344"/>
              <w:spacing w:after="0"/>
              <w:rPr>
                <w:sz w:val="20"/>
                <w:szCs w:val="20"/>
                <w:color w:val="auto"/>
              </w:rPr>
            </w:pPr>
            <w:r>
              <w:rPr>
                <w:rFonts w:ascii="Arial" w:cs="Arial" w:eastAsia="Arial" w:hAnsi="Arial"/>
                <w:sz w:val="19"/>
                <w:szCs w:val="19"/>
                <w:color w:val="auto"/>
                <w:w w:val="88"/>
              </w:rPr>
              <w:t>$43,342,000</w:t>
            </w:r>
          </w:p>
        </w:tc>
        <w:tc>
          <w:tcPr>
            <w:tcW w:w="1940" w:type="dxa"/>
            <w:vAlign w:val="bottom"/>
          </w:tcPr>
          <w:p>
            <w:pPr>
              <w:jc w:val="center"/>
              <w:ind w:right="745"/>
              <w:spacing w:after="0"/>
              <w:rPr>
                <w:sz w:val="20"/>
                <w:szCs w:val="20"/>
                <w:color w:val="auto"/>
              </w:rPr>
            </w:pPr>
            <w:r>
              <w:rPr>
                <w:rFonts w:ascii="Arial" w:cs="Arial" w:eastAsia="Arial" w:hAnsi="Arial"/>
                <w:sz w:val="19"/>
                <w:szCs w:val="19"/>
                <w:color w:val="auto"/>
                <w:w w:val="88"/>
              </w:rPr>
              <w:t>$44,947,000</w:t>
            </w:r>
          </w:p>
        </w:tc>
        <w:tc>
          <w:tcPr>
            <w:tcW w:w="1800" w:type="dxa"/>
            <w:vAlign w:val="bottom"/>
          </w:tcPr>
          <w:p>
            <w:pPr>
              <w:jc w:val="center"/>
              <w:ind w:left="465"/>
              <w:spacing w:after="0"/>
              <w:rPr>
                <w:sz w:val="20"/>
                <w:szCs w:val="20"/>
                <w:color w:val="auto"/>
              </w:rPr>
            </w:pPr>
            <w:r>
              <w:rPr>
                <w:rFonts w:ascii="Arial" w:cs="Arial" w:eastAsia="Arial" w:hAnsi="Arial"/>
                <w:sz w:val="19"/>
                <w:szCs w:val="19"/>
                <w:color w:val="auto"/>
                <w:w w:val="94"/>
              </w:rPr>
              <w:t>-4%</w:t>
            </w:r>
          </w:p>
        </w:tc>
      </w:tr>
      <w:tr>
        <w:trPr>
          <w:trHeight w:val="24"/>
        </w:trPr>
        <w:tc>
          <w:tcPr>
            <w:tcW w:w="31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5"/>
        </w:trPr>
        <w:tc>
          <w:tcPr>
            <w:tcW w:w="3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b w:val="1"/>
                <w:bCs w:val="1"/>
                <w:color w:val="auto"/>
                <w:w w:val="88"/>
              </w:rPr>
              <w:t>Segment Income</w:t>
            </w:r>
          </w:p>
        </w:tc>
        <w:tc>
          <w:tcPr>
            <w:tcW w:w="4300" w:type="dxa"/>
            <w:vAlign w:val="bottom"/>
            <w:tcBorders>
              <w:bottom w:val="single" w:sz="8" w:color="CCEEFF"/>
            </w:tcBorders>
            <w:shd w:val="clear" w:color="auto" w:fill="CCEEFF"/>
          </w:tcPr>
          <w:p>
            <w:pPr>
              <w:jc w:val="center"/>
              <w:ind w:right="1344"/>
              <w:spacing w:after="0"/>
              <w:rPr>
                <w:sz w:val="20"/>
                <w:szCs w:val="20"/>
                <w:color w:val="auto"/>
              </w:rPr>
            </w:pPr>
            <w:r>
              <w:rPr>
                <w:rFonts w:ascii="Arial" w:cs="Arial" w:eastAsia="Arial" w:hAnsi="Arial"/>
                <w:sz w:val="19"/>
                <w:szCs w:val="19"/>
                <w:color w:val="auto"/>
                <w:w w:val="88"/>
              </w:rPr>
              <w:t>$373,000</w:t>
            </w:r>
          </w:p>
        </w:tc>
        <w:tc>
          <w:tcPr>
            <w:tcW w:w="1940" w:type="dxa"/>
            <w:vAlign w:val="bottom"/>
            <w:tcBorders>
              <w:bottom w:val="single" w:sz="8" w:color="CCEEFF"/>
            </w:tcBorders>
            <w:shd w:val="clear" w:color="auto" w:fill="CCEEFF"/>
          </w:tcPr>
          <w:p>
            <w:pPr>
              <w:jc w:val="center"/>
              <w:ind w:right="765"/>
              <w:spacing w:after="0"/>
              <w:rPr>
                <w:sz w:val="20"/>
                <w:szCs w:val="20"/>
                <w:color w:val="auto"/>
              </w:rPr>
            </w:pPr>
            <w:r>
              <w:rPr>
                <w:rFonts w:ascii="Arial" w:cs="Arial" w:eastAsia="Arial" w:hAnsi="Arial"/>
                <w:sz w:val="19"/>
                <w:szCs w:val="19"/>
                <w:color w:val="auto"/>
                <w:w w:val="91"/>
              </w:rPr>
              <w:t>($694,000)</w:t>
            </w:r>
          </w:p>
        </w:tc>
        <w:tc>
          <w:tcPr>
            <w:tcW w:w="1800" w:type="dxa"/>
            <w:vAlign w:val="bottom"/>
            <w:tcBorders>
              <w:bottom w:val="single" w:sz="8" w:color="CCEEFF"/>
            </w:tcBorders>
            <w:shd w:val="clear" w:color="auto" w:fill="CCEEFF"/>
          </w:tcPr>
          <w:p>
            <w:pPr>
              <w:jc w:val="center"/>
              <w:ind w:left="465"/>
              <w:spacing w:after="0"/>
              <w:rPr>
                <w:sz w:val="20"/>
                <w:szCs w:val="20"/>
                <w:color w:val="auto"/>
              </w:rPr>
            </w:pPr>
            <w:r>
              <w:rPr>
                <w:rFonts w:ascii="Arial" w:cs="Arial" w:eastAsia="Arial" w:hAnsi="Arial"/>
                <w:sz w:val="19"/>
                <w:szCs w:val="19"/>
                <w:color w:val="auto"/>
              </w:rPr>
              <w:t>—%</w:t>
            </w:r>
          </w:p>
        </w:tc>
      </w:tr>
      <w:tr>
        <w:trPr>
          <w:trHeight w:val="476"/>
        </w:trPr>
        <w:tc>
          <w:tcPr>
            <w:tcW w:w="3160" w:type="dxa"/>
            <w:vAlign w:val="bottom"/>
            <w:tcBorders>
              <w:top w:val="single" w:sz="8" w:color="auto"/>
            </w:tcBorders>
          </w:tcPr>
          <w:p>
            <w:pPr>
              <w:spacing w:after="0"/>
              <w:rPr>
                <w:sz w:val="24"/>
                <w:szCs w:val="24"/>
                <w:color w:val="auto"/>
              </w:rPr>
            </w:pPr>
          </w:p>
        </w:tc>
        <w:tc>
          <w:tcPr>
            <w:tcW w:w="4300" w:type="dxa"/>
            <w:vAlign w:val="bottom"/>
            <w:tcBorders>
              <w:top w:val="single" w:sz="8" w:color="auto"/>
            </w:tcBorders>
          </w:tcPr>
          <w:p>
            <w:pPr>
              <w:ind w:left="1460"/>
              <w:spacing w:after="0"/>
              <w:rPr>
                <w:sz w:val="20"/>
                <w:szCs w:val="20"/>
                <w:color w:val="auto"/>
              </w:rPr>
            </w:pPr>
            <w:r>
              <w:rPr>
                <w:rFonts w:ascii="Arial" w:cs="Arial" w:eastAsia="Arial" w:hAnsi="Arial"/>
                <w:sz w:val="22"/>
                <w:szCs w:val="22"/>
                <w:b w:val="1"/>
                <w:bCs w:val="1"/>
                <w:color w:val="auto"/>
              </w:rPr>
              <w:t>Nine-Month Results</w:t>
            </w:r>
          </w:p>
        </w:tc>
        <w:tc>
          <w:tcPr>
            <w:tcW w:w="19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341"/>
        </w:trPr>
        <w:tc>
          <w:tcPr>
            <w:tcW w:w="31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08"/>
        </w:trPr>
        <w:tc>
          <w:tcPr>
            <w:tcW w:w="3160" w:type="dxa"/>
            <w:vAlign w:val="bottom"/>
          </w:tcPr>
          <w:p>
            <w:pPr>
              <w:spacing w:after="0"/>
              <w:rPr>
                <w:sz w:val="18"/>
                <w:szCs w:val="18"/>
                <w:color w:val="auto"/>
              </w:rPr>
            </w:pPr>
          </w:p>
        </w:tc>
        <w:tc>
          <w:tcPr>
            <w:tcW w:w="4300" w:type="dxa"/>
            <w:vAlign w:val="bottom"/>
          </w:tcPr>
          <w:p>
            <w:pPr>
              <w:jc w:val="center"/>
              <w:ind w:left="2384"/>
              <w:spacing w:after="0" w:line="208" w:lineRule="exact"/>
              <w:rPr>
                <w:sz w:val="20"/>
                <w:szCs w:val="20"/>
                <w:color w:val="auto"/>
              </w:rPr>
            </w:pPr>
            <w:r>
              <w:rPr>
                <w:rFonts w:ascii="Arial" w:cs="Arial" w:eastAsia="Arial" w:hAnsi="Arial"/>
                <w:sz w:val="19"/>
                <w:szCs w:val="19"/>
                <w:b w:val="1"/>
                <w:bCs w:val="1"/>
                <w:color w:val="auto"/>
                <w:w w:val="93"/>
              </w:rPr>
              <w:t>Nine-Month Period</w:t>
            </w:r>
          </w:p>
        </w:tc>
        <w:tc>
          <w:tcPr>
            <w:tcW w:w="1940" w:type="dxa"/>
            <w:vAlign w:val="bottom"/>
          </w:tcPr>
          <w:p>
            <w:pPr>
              <w:spacing w:after="0"/>
              <w:rPr>
                <w:sz w:val="18"/>
                <w:szCs w:val="18"/>
                <w:color w:val="auto"/>
              </w:rPr>
            </w:pPr>
          </w:p>
        </w:tc>
        <w:tc>
          <w:tcPr>
            <w:tcW w:w="1800" w:type="dxa"/>
            <w:vAlign w:val="bottom"/>
          </w:tcPr>
          <w:p>
            <w:pPr>
              <w:ind w:left="860"/>
              <w:spacing w:after="0" w:line="208" w:lineRule="exact"/>
              <w:rPr>
                <w:sz w:val="20"/>
                <w:szCs w:val="20"/>
                <w:color w:val="auto"/>
              </w:rPr>
            </w:pPr>
            <w:r>
              <w:rPr>
                <w:rFonts w:ascii="Arial" w:cs="Arial" w:eastAsia="Arial" w:hAnsi="Arial"/>
                <w:sz w:val="19"/>
                <w:szCs w:val="19"/>
                <w:b w:val="1"/>
                <w:bCs w:val="1"/>
                <w:color w:val="auto"/>
              </w:rPr>
              <w:t>Change</w:t>
            </w:r>
          </w:p>
        </w:tc>
      </w:tr>
      <w:tr>
        <w:trPr>
          <w:trHeight w:val="246"/>
        </w:trPr>
        <w:tc>
          <w:tcPr>
            <w:tcW w:w="3160" w:type="dxa"/>
            <w:vAlign w:val="bottom"/>
          </w:tcPr>
          <w:p>
            <w:pPr>
              <w:spacing w:after="0"/>
              <w:rPr>
                <w:sz w:val="21"/>
                <w:szCs w:val="21"/>
                <w:color w:val="auto"/>
              </w:rPr>
            </w:pPr>
          </w:p>
        </w:tc>
        <w:tc>
          <w:tcPr>
            <w:tcW w:w="4300" w:type="dxa"/>
            <w:vAlign w:val="bottom"/>
          </w:tcPr>
          <w:p>
            <w:pPr>
              <w:jc w:val="center"/>
              <w:ind w:left="2384"/>
              <w:spacing w:after="0"/>
              <w:rPr>
                <w:sz w:val="20"/>
                <w:szCs w:val="20"/>
                <w:color w:val="auto"/>
              </w:rPr>
            </w:pPr>
            <w:r>
              <w:rPr>
                <w:rFonts w:ascii="Arial" w:cs="Arial" w:eastAsia="Arial" w:hAnsi="Arial"/>
                <w:sz w:val="19"/>
                <w:szCs w:val="19"/>
                <w:b w:val="1"/>
                <w:bCs w:val="1"/>
                <w:color w:val="auto"/>
                <w:w w:val="91"/>
              </w:rPr>
              <w:t>August 1 - April 30</w:t>
            </w:r>
          </w:p>
        </w:tc>
        <w:tc>
          <w:tcPr>
            <w:tcW w:w="19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5"/>
        </w:trPr>
        <w:tc>
          <w:tcPr>
            <w:tcW w:w="31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9"/>
                <w:szCs w:val="19"/>
                <w:b w:val="1"/>
                <w:bCs w:val="1"/>
                <w:color w:val="auto"/>
              </w:rPr>
              <w:t>Fiscal 2015</w:t>
            </w:r>
          </w:p>
        </w:tc>
        <w:tc>
          <w:tcPr>
            <w:tcW w:w="1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9"/>
                <w:szCs w:val="19"/>
                <w:b w:val="1"/>
                <w:bCs w:val="1"/>
                <w:color w:val="auto"/>
              </w:rPr>
              <w:t>Fiscal 2014</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46"/>
        </w:trPr>
        <w:tc>
          <w:tcPr>
            <w:tcW w:w="3160" w:type="dxa"/>
            <w:vAlign w:val="bottom"/>
          </w:tcPr>
          <w:p>
            <w:pPr>
              <w:jc w:val="center"/>
              <w:spacing w:after="0"/>
              <w:rPr>
                <w:sz w:val="20"/>
                <w:szCs w:val="20"/>
                <w:color w:val="auto"/>
              </w:rPr>
            </w:pPr>
            <w:r>
              <w:rPr>
                <w:rFonts w:ascii="Arial" w:cs="Arial" w:eastAsia="Arial" w:hAnsi="Arial"/>
                <w:sz w:val="19"/>
                <w:szCs w:val="19"/>
                <w:b w:val="1"/>
                <w:bCs w:val="1"/>
                <w:color w:val="auto"/>
                <w:w w:val="86"/>
              </w:rPr>
              <w:t>Net Sales</w:t>
            </w:r>
          </w:p>
        </w:tc>
        <w:tc>
          <w:tcPr>
            <w:tcW w:w="4300" w:type="dxa"/>
            <w:vAlign w:val="bottom"/>
          </w:tcPr>
          <w:p>
            <w:pPr>
              <w:jc w:val="center"/>
              <w:ind w:right="1324"/>
              <w:spacing w:after="0"/>
              <w:rPr>
                <w:sz w:val="20"/>
                <w:szCs w:val="20"/>
                <w:color w:val="auto"/>
              </w:rPr>
            </w:pPr>
            <w:r>
              <w:rPr>
                <w:rFonts w:ascii="Arial" w:cs="Arial" w:eastAsia="Arial" w:hAnsi="Arial"/>
                <w:sz w:val="19"/>
                <w:szCs w:val="19"/>
                <w:color w:val="auto"/>
                <w:w w:val="89"/>
              </w:rPr>
              <w:t>$127,334,000</w:t>
            </w:r>
          </w:p>
        </w:tc>
        <w:tc>
          <w:tcPr>
            <w:tcW w:w="1940" w:type="dxa"/>
            <w:vAlign w:val="bottom"/>
          </w:tcPr>
          <w:p>
            <w:pPr>
              <w:jc w:val="center"/>
              <w:ind w:right="765"/>
              <w:spacing w:after="0"/>
              <w:rPr>
                <w:sz w:val="20"/>
                <w:szCs w:val="20"/>
                <w:color w:val="auto"/>
              </w:rPr>
            </w:pPr>
            <w:r>
              <w:rPr>
                <w:rFonts w:ascii="Arial" w:cs="Arial" w:eastAsia="Arial" w:hAnsi="Arial"/>
                <w:sz w:val="19"/>
                <w:szCs w:val="19"/>
                <w:color w:val="auto"/>
                <w:w w:val="89"/>
              </w:rPr>
              <w:t>$128,619,000</w:t>
            </w:r>
          </w:p>
        </w:tc>
        <w:tc>
          <w:tcPr>
            <w:tcW w:w="1800" w:type="dxa"/>
            <w:vAlign w:val="bottom"/>
          </w:tcPr>
          <w:p>
            <w:pPr>
              <w:jc w:val="center"/>
              <w:ind w:left="465"/>
              <w:spacing w:after="0"/>
              <w:rPr>
                <w:sz w:val="20"/>
                <w:szCs w:val="20"/>
                <w:color w:val="auto"/>
              </w:rPr>
            </w:pPr>
            <w:r>
              <w:rPr>
                <w:rFonts w:ascii="Arial" w:cs="Arial" w:eastAsia="Arial" w:hAnsi="Arial"/>
                <w:sz w:val="19"/>
                <w:szCs w:val="19"/>
                <w:color w:val="auto"/>
                <w:w w:val="94"/>
              </w:rPr>
              <w:t>-1%</w:t>
            </w:r>
          </w:p>
        </w:tc>
      </w:tr>
      <w:tr>
        <w:trPr>
          <w:trHeight w:val="24"/>
        </w:trPr>
        <w:tc>
          <w:tcPr>
            <w:tcW w:w="31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b w:val="1"/>
                <w:bCs w:val="1"/>
                <w:color w:val="auto"/>
                <w:w w:val="88"/>
              </w:rPr>
              <w:t>Segment Income</w:t>
            </w:r>
          </w:p>
        </w:tc>
        <w:tc>
          <w:tcPr>
            <w:tcW w:w="4300" w:type="dxa"/>
            <w:vAlign w:val="bottom"/>
            <w:tcBorders>
              <w:bottom w:val="single" w:sz="8" w:color="CCEEFF"/>
            </w:tcBorders>
            <w:shd w:val="clear" w:color="auto" w:fill="CCEEFF"/>
          </w:tcPr>
          <w:p>
            <w:pPr>
              <w:jc w:val="center"/>
              <w:ind w:right="1344"/>
              <w:spacing w:after="0"/>
              <w:rPr>
                <w:sz w:val="20"/>
                <w:szCs w:val="20"/>
                <w:color w:val="auto"/>
              </w:rPr>
            </w:pPr>
            <w:r>
              <w:rPr>
                <w:rFonts w:ascii="Arial" w:cs="Arial" w:eastAsia="Arial" w:hAnsi="Arial"/>
                <w:sz w:val="19"/>
                <w:szCs w:val="19"/>
                <w:color w:val="auto"/>
                <w:w w:val="90"/>
              </w:rPr>
              <w:t>$2,521,000</w:t>
            </w:r>
          </w:p>
        </w:tc>
        <w:tc>
          <w:tcPr>
            <w:tcW w:w="1940" w:type="dxa"/>
            <w:vAlign w:val="bottom"/>
            <w:tcBorders>
              <w:bottom w:val="single" w:sz="8" w:color="CCEEFF"/>
            </w:tcBorders>
            <w:shd w:val="clear" w:color="auto" w:fill="CCEEFF"/>
          </w:tcPr>
          <w:p>
            <w:pPr>
              <w:jc w:val="center"/>
              <w:ind w:right="745"/>
              <w:spacing w:after="0"/>
              <w:rPr>
                <w:sz w:val="20"/>
                <w:szCs w:val="20"/>
                <w:color w:val="auto"/>
              </w:rPr>
            </w:pPr>
            <w:r>
              <w:rPr>
                <w:rFonts w:ascii="Arial" w:cs="Arial" w:eastAsia="Arial" w:hAnsi="Arial"/>
                <w:sz w:val="19"/>
                <w:szCs w:val="19"/>
                <w:color w:val="auto"/>
                <w:w w:val="90"/>
              </w:rPr>
              <w:t>$3,563,000</w:t>
            </w:r>
          </w:p>
        </w:tc>
        <w:tc>
          <w:tcPr>
            <w:tcW w:w="1800" w:type="dxa"/>
            <w:vAlign w:val="bottom"/>
            <w:tcBorders>
              <w:bottom w:val="single" w:sz="8" w:color="CCEEFF"/>
            </w:tcBorders>
            <w:shd w:val="clear" w:color="auto" w:fill="CCEEFF"/>
          </w:tcPr>
          <w:p>
            <w:pPr>
              <w:jc w:val="center"/>
              <w:ind w:left="465"/>
              <w:spacing w:after="0"/>
              <w:rPr>
                <w:sz w:val="20"/>
                <w:szCs w:val="20"/>
                <w:color w:val="auto"/>
              </w:rPr>
            </w:pPr>
            <w:r>
              <w:rPr>
                <w:rFonts w:ascii="Arial" w:cs="Arial" w:eastAsia="Arial" w:hAnsi="Arial"/>
                <w:sz w:val="19"/>
                <w:szCs w:val="19"/>
                <w:color w:val="auto"/>
                <w:w w:val="90"/>
              </w:rPr>
              <w:t>-29%</w:t>
            </w:r>
          </w:p>
        </w:tc>
      </w:tr>
      <w:tr>
        <w:trPr>
          <w:trHeight w:val="20"/>
        </w:trPr>
        <w:tc>
          <w:tcPr>
            <w:tcW w:w="316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spacing w:after="0" w:line="249"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The reduced sales in the Retail and Wholesale Products segment were also driven by similar factors in both the third quarter and nine-month periods.</w:t>
      </w:r>
    </w:p>
    <w:p>
      <w:pPr>
        <w:spacing w:after="0" w:line="175"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Net sales of our branded cat litter products declined as they continued to face pressure from our competitors' launches of new products, advertising campaigns and aggressive price discounts. Conversely, our private label cat litter sales increased due to the acquisition of MFM in the second quarter of fiscal 2014 (additional MFM-related sales are included in nine months of fiscal 2015 but only six months of fiscal 2014), sales to new customers and sales of our new lightweight private label cat litter products. Finally, sales of our industrial floor absorbents increased as the result of both increased volume and a higher average selling price.</w:t>
      </w:r>
    </w:p>
    <w:p>
      <w:pPr>
        <w:spacing w:after="0" w:line="147"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Operating income for the nine month period was down compared to the prior year due to lower tonnage, unfavorable product mix and higher non-fuel manufacturing and packaging costs. As anticipated, the costs of various purchased materials have moderated, but these savings were offset by increased labor and other costs associated with the manufacturing of new products, including the costs of intercompany plant shipments. We anticipate relief in the cost of resin, which is used in the packaging of many of our cat litter products, during the fourth quarter. Operating income for the third quarter was up compared to the third quarter of fiscal 2014 due to significantly lower advertising costs and the lower cost of natural gas.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360"/>
          </w:cols>
          <w:pgMar w:left="240" w:top="1341" w:right="2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FINANCIAL REVIEW</w:t>
      </w:r>
    </w:p>
    <w:p>
      <w:pPr>
        <w:spacing w:after="0" w:line="266"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Cash, cash equivalents, restricted cash and short-term investments at April 30, 2015, totaled $14,859,000 compared to $19,867,000 a year ago. Significant uses of cash in the nine-month period included capital expenditures and regularly scheduled debt and dividend payments.</w:t>
      </w:r>
    </w:p>
    <w:p>
      <w:pPr>
        <w:spacing w:after="0" w:line="186"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Capital expenditures for the nine-month period totaled $13,945,000 which was $4,990,000 more than depreciation and amortization of $8,955,000. By comparison, capital expenditures totaled $13,291,000 in the first nine months of fiscal 2014. Capital expenditures were made for new processing and packaging equipment as well as replacements for existing plant and equipment that has exceeded its useful life. Cash provided by operating activities was $16,268,000 for the period, which was $5,558,000 higher than the $10,710,000 in the first nine months of fiscal 2014.</w:t>
      </w:r>
    </w:p>
    <w:p>
      <w:pPr>
        <w:spacing w:after="0" w:line="192"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On March 17, 2015, Oil-Dri’s Board of Directors declared quarterly cash dividends of $0.20 per share of outstanding Common Stock and $0.15 per share of outstanding Class B Stock. The dividends were paid on May 29, 2015 to stockholders of record at the close of business on May 15, 2015. The Company has paid cash dividends continuously since 1974 and has increased dividends annually for the past eleven years. At the end of the third quarter, the annualized dividend yield on the Company’s Common Stock was 2.4%, based on the quarter’s closing stock price of $32.82 per share and the latest quarterly cash dividend of $0.20.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LOOKING FORWARD</w:t>
      </w:r>
    </w:p>
    <w:p>
      <w:pPr>
        <w:spacing w:after="0" w:line="266"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auto"/>
        </w:rPr>
        <w:t>President and Chief Executive Officer Daniel Jaffee continued, “As the inventors of scoopable lightweight cat litter, we are particularly gratified by the rapid market acceptance of lightweight cat litters. Retailers will continue to dedicate more and more of their shelf space to lightweight litters and therefore drive category growth. We anticipate an increased number of consumers will try private label lightweight products as they become comfortable with the concept. We believe that if both of these trends continue, Oil-Dri will benefit as we have a large quantity and the best quality of lightweight clay reserves available at all of our plants from coast to coast.</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“While we are frustrated with our short term results, we continue to be confident in the long term prospects in all of our businesses. Our China business is growing, albeit at a slower pace than we had hoped for. However, we remain bullish on that initiative as all of the market forces leading us to make that investment are still evident.”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420"/>
          </w:cols>
          <w:pgMar w:left="240" w:top="1341" w:right="239" w:bottom="1440" w:gutter="0" w:footer="0" w:header="0"/>
        </w:sectPr>
      </w:pPr>
    </w:p>
    <w:bookmarkStart w:id="10" w:name="page11"/>
    <w:bookmarkEnd w:id="10"/>
    <w:p>
      <w:pPr>
        <w:ind w:right="420"/>
        <w:spacing w:after="0" w:line="27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Oil-Dri Corporation of America is a leading supplier of specialty sorbent products for agricultural, horticultural, fluids purification, specialty, industrial and automotive markets and is a leading manufacturer of cat litter.</w:t>
      </w:r>
    </w:p>
    <w:p>
      <w:pPr>
        <w:spacing w:after="0" w:line="16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The Company will offer a live webcast of the third quarter earnings teleconference on </w:t>
      </w:r>
      <w:r>
        <w:rPr>
          <w:rFonts w:ascii="Arial" w:cs="Arial" w:eastAsia="Arial" w:hAnsi="Arial"/>
          <w:sz w:val="18"/>
          <w:szCs w:val="18"/>
          <w:b w:val="1"/>
          <w:bCs w:val="1"/>
          <w:color w:val="auto"/>
        </w:rPr>
        <w:t>Tuesday, June 9, 2015 from 10:00 am to 10:30 am, Central Time.</w:t>
      </w:r>
      <w:r>
        <w:rPr>
          <w:rFonts w:ascii="Arial" w:cs="Arial" w:eastAsia="Arial" w:hAnsi="Arial"/>
          <w:sz w:val="18"/>
          <w:szCs w:val="18"/>
          <w:color w:val="auto"/>
        </w:rPr>
        <w:t xml:space="preserve"> To listen via the web, visit www.streetevents.com or www.oildri.com. An archived recording of the call and written transcripts of all teleconferences are posted on the Oil-Dri website.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is a registered trademark of Oil-Dri Corporation of America.</w:t>
      </w:r>
    </w:p>
    <w:p>
      <w:pPr>
        <w:spacing w:after="0" w:line="24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4"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420"/>
          </w:cols>
          <w:pgMar w:left="240" w:top="1345" w:right="239" w:bottom="1440" w:gutter="0" w:footer="0" w:header="0"/>
        </w:sectPr>
      </w:pPr>
    </w:p>
    <w:bookmarkStart w:id="11" w:name="page12"/>
    <w:bookmarkEnd w:id="11"/>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color w:val="auto"/>
              </w:rPr>
              <w:t>(in thousands, except for per share amounts)</w:t>
            </w: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color w:val="auto"/>
              </w:rPr>
              <w:t>(unaudited)</w:t>
            </w: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4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5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Third Quarter Ended April 30,</w:t>
            </w:r>
          </w:p>
        </w:tc>
        <w:tc>
          <w:tcPr>
            <w:tcW w:w="1560" w:type="dxa"/>
            <w:vAlign w:val="bottom"/>
          </w:tcPr>
          <w:p>
            <w:pPr>
              <w:spacing w:after="0"/>
              <w:rPr>
                <w:sz w:val="23"/>
                <w:szCs w:val="23"/>
                <w:color w:val="auto"/>
              </w:rPr>
            </w:pPr>
          </w:p>
        </w:tc>
      </w:tr>
      <w:tr>
        <w:trPr>
          <w:trHeight w:val="27"/>
        </w:trPr>
        <w:tc>
          <w:tcPr>
            <w:tcW w:w="4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right"/>
              <w:ind w:right="791"/>
              <w:spacing w:after="0"/>
              <w:rPr>
                <w:sz w:val="20"/>
                <w:szCs w:val="20"/>
                <w:color w:val="auto"/>
              </w:rPr>
            </w:pPr>
            <w:r>
              <w:rPr>
                <w:rFonts w:ascii="Arial" w:cs="Arial" w:eastAsia="Arial" w:hAnsi="Arial"/>
                <w:sz w:val="18"/>
                <w:szCs w:val="18"/>
                <w:b w:val="1"/>
                <w:bCs w:val="1"/>
                <w:color w:val="auto"/>
              </w:rPr>
              <w:t>2015</w:t>
            </w:r>
          </w:p>
        </w:tc>
        <w:tc>
          <w:tcPr>
            <w:tcW w:w="1600" w:type="dxa"/>
            <w:vAlign w:val="bottom"/>
          </w:tcPr>
          <w:p>
            <w:pPr>
              <w:jc w:val="right"/>
              <w:ind w:right="430"/>
              <w:spacing w:after="0"/>
              <w:rPr>
                <w:sz w:val="20"/>
                <w:szCs w:val="20"/>
                <w:color w:val="auto"/>
              </w:rPr>
            </w:pPr>
            <w:r>
              <w:rPr>
                <w:rFonts w:ascii="Arial" w:cs="Arial" w:eastAsia="Arial" w:hAnsi="Arial"/>
                <w:sz w:val="18"/>
                <w:szCs w:val="18"/>
                <w:b w:val="1"/>
                <w:bCs w:val="1"/>
                <w:color w:val="auto"/>
              </w:rPr>
              <w:t>% of Sales</w:t>
            </w:r>
          </w:p>
        </w:tc>
        <w:tc>
          <w:tcPr>
            <w:tcW w:w="460" w:type="dxa"/>
            <w:vAlign w:val="bottom"/>
          </w:tcPr>
          <w:p>
            <w:pPr>
              <w:spacing w:after="0"/>
              <w:rPr>
                <w:sz w:val="20"/>
                <w:szCs w:val="20"/>
                <w:color w:val="auto"/>
              </w:rPr>
            </w:pPr>
          </w:p>
        </w:tc>
        <w:tc>
          <w:tcPr>
            <w:tcW w:w="15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2014</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4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65,196</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67,417</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400" w:type="dxa"/>
            <w:vAlign w:val="bottom"/>
          </w:tcPr>
          <w:p>
            <w:pPr>
              <w:spacing w:after="0"/>
              <w:rPr>
                <w:sz w:val="21"/>
                <w:szCs w:val="21"/>
                <w:color w:val="auto"/>
              </w:rPr>
            </w:pPr>
          </w:p>
        </w:tc>
        <w:tc>
          <w:tcPr>
            <w:tcW w:w="1500" w:type="dxa"/>
            <w:vAlign w:val="bottom"/>
          </w:tcPr>
          <w:p>
            <w:pPr>
              <w:jc w:val="right"/>
              <w:ind w:right="171"/>
              <w:spacing w:after="0"/>
              <w:rPr>
                <w:sz w:val="20"/>
                <w:szCs w:val="20"/>
                <w:color w:val="auto"/>
              </w:rPr>
            </w:pPr>
            <w:r>
              <w:rPr>
                <w:rFonts w:ascii="Arial" w:cs="Arial" w:eastAsia="Arial" w:hAnsi="Arial"/>
                <w:sz w:val="18"/>
                <w:szCs w:val="18"/>
                <w:color w:val="auto"/>
              </w:rPr>
              <w:t>(50,763)</w:t>
            </w:r>
          </w:p>
        </w:tc>
        <w:tc>
          <w:tcPr>
            <w:tcW w:w="1600" w:type="dxa"/>
            <w:vAlign w:val="bottom"/>
          </w:tcPr>
          <w:p>
            <w:pPr>
              <w:jc w:val="right"/>
              <w:spacing w:after="0"/>
              <w:rPr>
                <w:sz w:val="20"/>
                <w:szCs w:val="20"/>
                <w:color w:val="auto"/>
              </w:rPr>
            </w:pPr>
            <w:r>
              <w:rPr>
                <w:rFonts w:ascii="Arial" w:cs="Arial" w:eastAsia="Arial" w:hAnsi="Arial"/>
                <w:sz w:val="18"/>
                <w:szCs w:val="18"/>
                <w:color w:val="auto"/>
              </w:rPr>
              <w:t>77.9%</w:t>
            </w:r>
          </w:p>
        </w:tc>
        <w:tc>
          <w:tcPr>
            <w:tcW w:w="460" w:type="dxa"/>
            <w:vAlign w:val="bottom"/>
          </w:tcPr>
          <w:p>
            <w:pPr>
              <w:spacing w:after="0"/>
              <w:rPr>
                <w:sz w:val="21"/>
                <w:szCs w:val="21"/>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(53,533)</w:t>
            </w:r>
          </w:p>
        </w:tc>
        <w:tc>
          <w:tcPr>
            <w:tcW w:w="156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7"/>
        </w:trPr>
        <w:tc>
          <w:tcPr>
            <w:tcW w:w="4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14,433</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13,884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tcPr>
          <w:p>
            <w:pPr>
              <w:spacing w:after="0"/>
              <w:rPr>
                <w:sz w:val="21"/>
                <w:szCs w:val="21"/>
                <w:color w:val="auto"/>
              </w:rPr>
            </w:pP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12,524</w:t>
            </w:r>
          </w:p>
        </w:tc>
        <w:tc>
          <w:tcPr>
            <w:tcW w:w="1600" w:type="dxa"/>
            <w:vAlign w:val="bottom"/>
          </w:tcPr>
          <w:p>
            <w:pPr>
              <w:jc w:val="right"/>
              <w:spacing w:after="0"/>
              <w:rPr>
                <w:sz w:val="20"/>
                <w:szCs w:val="20"/>
                <w:color w:val="auto"/>
              </w:rPr>
            </w:pPr>
            <w:r>
              <w:rPr>
                <w:rFonts w:ascii="Arial" w:cs="Arial" w:eastAsia="Arial" w:hAnsi="Arial"/>
                <w:sz w:val="18"/>
                <w:szCs w:val="18"/>
                <w:color w:val="auto"/>
              </w:rPr>
              <w:t>19.2%</w:t>
            </w:r>
          </w:p>
        </w:tc>
        <w:tc>
          <w:tcPr>
            <w:tcW w:w="460" w:type="dxa"/>
            <w:vAlign w:val="bottom"/>
          </w:tcPr>
          <w:p>
            <w:pPr>
              <w:spacing w:after="0"/>
              <w:rPr>
                <w:sz w:val="21"/>
                <w:szCs w:val="21"/>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(12,894)</w:t>
            </w:r>
          </w:p>
        </w:tc>
        <w:tc>
          <w:tcPr>
            <w:tcW w:w="15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4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1,909</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990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400" w:type="dxa"/>
            <w:vAlign w:val="bottom"/>
          </w:tcPr>
          <w:p>
            <w:pPr>
              <w:spacing w:after="0"/>
              <w:rPr>
                <w:sz w:val="21"/>
                <w:szCs w:val="21"/>
                <w:color w:val="auto"/>
              </w:rPr>
            </w:pPr>
          </w:p>
        </w:tc>
        <w:tc>
          <w:tcPr>
            <w:tcW w:w="1500" w:type="dxa"/>
            <w:vAlign w:val="bottom"/>
          </w:tcPr>
          <w:p>
            <w:pPr>
              <w:jc w:val="right"/>
              <w:ind w:right="171"/>
              <w:spacing w:after="0"/>
              <w:rPr>
                <w:sz w:val="20"/>
                <w:szCs w:val="20"/>
                <w:color w:val="auto"/>
              </w:rPr>
            </w:pPr>
            <w:r>
              <w:rPr>
                <w:rFonts w:ascii="Arial" w:cs="Arial" w:eastAsia="Arial" w:hAnsi="Arial"/>
                <w:sz w:val="18"/>
                <w:szCs w:val="18"/>
                <w:color w:val="auto"/>
              </w:rPr>
              <w:t>(329)</w:t>
            </w:r>
          </w:p>
        </w:tc>
        <w:tc>
          <w:tcPr>
            <w:tcW w:w="1600" w:type="dxa"/>
            <w:vAlign w:val="bottom"/>
          </w:tcPr>
          <w:p>
            <w:pPr>
              <w:jc w:val="right"/>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21"/>
                <w:szCs w:val="21"/>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(377)</w:t>
            </w:r>
          </w:p>
        </w:tc>
        <w:tc>
          <w:tcPr>
            <w:tcW w:w="15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w:t>
            </w:r>
          </w:p>
        </w:tc>
        <w:tc>
          <w:tcPr>
            <w:tcW w:w="4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322</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1,902</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863</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(517)</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97"/>
        </w:trPr>
        <w:tc>
          <w:tcPr>
            <w:tcW w:w="43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1,385</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722</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4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0.21</w:t>
            </w:r>
          </w:p>
        </w:tc>
        <w:tc>
          <w:tcPr>
            <w:tcW w:w="1600" w:type="dxa"/>
            <w:vAlign w:val="bottom"/>
          </w:tcPr>
          <w:p>
            <w:pPr>
              <w:spacing w:after="0"/>
              <w:rPr>
                <w:sz w:val="21"/>
                <w:szCs w:val="21"/>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0.11</w:t>
            </w:r>
          </w:p>
        </w:tc>
        <w:tc>
          <w:tcPr>
            <w:tcW w:w="15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0.16</w:t>
            </w: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0.08</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0.19</w:t>
            </w:r>
          </w:p>
        </w:tc>
        <w:tc>
          <w:tcPr>
            <w:tcW w:w="1600" w:type="dxa"/>
            <w:vAlign w:val="bottom"/>
          </w:tcPr>
          <w:p>
            <w:pPr>
              <w:spacing w:after="0"/>
              <w:rPr>
                <w:sz w:val="21"/>
                <w:szCs w:val="21"/>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0.10</w:t>
            </w:r>
          </w:p>
        </w:tc>
        <w:tc>
          <w:tcPr>
            <w:tcW w:w="15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400" w:type="dxa"/>
            <w:vAlign w:val="bottom"/>
          </w:tcPr>
          <w:p>
            <w:pPr>
              <w:spacing w:after="0"/>
              <w:rPr>
                <w:sz w:val="21"/>
                <w:szCs w:val="21"/>
                <w:color w:val="auto"/>
              </w:rPr>
            </w:pP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4,957</w:t>
            </w:r>
          </w:p>
        </w:tc>
        <w:tc>
          <w:tcPr>
            <w:tcW w:w="1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4,987</w:t>
            </w:r>
          </w:p>
        </w:tc>
        <w:tc>
          <w:tcPr>
            <w:tcW w:w="15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2,022</w:t>
            </w: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2,004</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400" w:type="dxa"/>
            <w:vAlign w:val="bottom"/>
          </w:tcPr>
          <w:p>
            <w:pPr>
              <w:spacing w:after="0"/>
              <w:rPr>
                <w:sz w:val="21"/>
                <w:szCs w:val="21"/>
                <w:color w:val="auto"/>
              </w:rPr>
            </w:pP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7,046</w:t>
            </w:r>
          </w:p>
        </w:tc>
        <w:tc>
          <w:tcPr>
            <w:tcW w:w="1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7,013</w:t>
            </w:r>
          </w:p>
        </w:tc>
        <w:tc>
          <w:tcPr>
            <w:tcW w:w="1560" w:type="dxa"/>
            <w:vAlign w:val="bottom"/>
          </w:tcPr>
          <w:p>
            <w:pPr>
              <w:spacing w:after="0"/>
              <w:rPr>
                <w:sz w:val="21"/>
                <w:szCs w:val="21"/>
                <w:color w:val="auto"/>
              </w:rPr>
            </w:pPr>
          </w:p>
        </w:tc>
      </w:tr>
      <w:tr>
        <w:trPr>
          <w:trHeight w:val="270"/>
        </w:trPr>
        <w:tc>
          <w:tcPr>
            <w:tcW w:w="4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5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Nine Months Ended April 30,</w:t>
            </w:r>
          </w:p>
        </w:tc>
        <w:tc>
          <w:tcPr>
            <w:tcW w:w="1560" w:type="dxa"/>
            <w:vAlign w:val="bottom"/>
          </w:tcPr>
          <w:p>
            <w:pPr>
              <w:spacing w:after="0"/>
              <w:rPr>
                <w:sz w:val="23"/>
                <w:szCs w:val="23"/>
                <w:color w:val="auto"/>
              </w:rPr>
            </w:pPr>
          </w:p>
        </w:tc>
      </w:tr>
      <w:tr>
        <w:trPr>
          <w:trHeight w:val="27"/>
        </w:trPr>
        <w:tc>
          <w:tcPr>
            <w:tcW w:w="4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right"/>
              <w:ind w:right="791"/>
              <w:spacing w:after="0"/>
              <w:rPr>
                <w:sz w:val="20"/>
                <w:szCs w:val="20"/>
                <w:color w:val="auto"/>
              </w:rPr>
            </w:pPr>
            <w:r>
              <w:rPr>
                <w:rFonts w:ascii="Arial" w:cs="Arial" w:eastAsia="Arial" w:hAnsi="Arial"/>
                <w:sz w:val="18"/>
                <w:szCs w:val="18"/>
                <w:b w:val="1"/>
                <w:bCs w:val="1"/>
                <w:color w:val="auto"/>
              </w:rPr>
              <w:t>2015</w:t>
            </w:r>
          </w:p>
        </w:tc>
        <w:tc>
          <w:tcPr>
            <w:tcW w:w="1600" w:type="dxa"/>
            <w:vAlign w:val="bottom"/>
          </w:tcPr>
          <w:p>
            <w:pPr>
              <w:jc w:val="right"/>
              <w:ind w:right="430"/>
              <w:spacing w:after="0"/>
              <w:rPr>
                <w:sz w:val="20"/>
                <w:szCs w:val="20"/>
                <w:color w:val="auto"/>
              </w:rPr>
            </w:pPr>
            <w:r>
              <w:rPr>
                <w:rFonts w:ascii="Arial" w:cs="Arial" w:eastAsia="Arial" w:hAnsi="Arial"/>
                <w:sz w:val="18"/>
                <w:szCs w:val="18"/>
                <w:b w:val="1"/>
                <w:bCs w:val="1"/>
                <w:color w:val="auto"/>
              </w:rPr>
              <w:t>% of Sales</w:t>
            </w:r>
          </w:p>
        </w:tc>
        <w:tc>
          <w:tcPr>
            <w:tcW w:w="460" w:type="dxa"/>
            <w:vAlign w:val="bottom"/>
          </w:tcPr>
          <w:p>
            <w:pPr>
              <w:spacing w:after="0"/>
              <w:rPr>
                <w:sz w:val="20"/>
                <w:szCs w:val="20"/>
                <w:color w:val="auto"/>
              </w:rPr>
            </w:pPr>
          </w:p>
        </w:tc>
        <w:tc>
          <w:tcPr>
            <w:tcW w:w="15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2014</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4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195,883</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200,268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400" w:type="dxa"/>
            <w:vAlign w:val="bottom"/>
          </w:tcPr>
          <w:p>
            <w:pPr>
              <w:spacing w:after="0"/>
              <w:rPr>
                <w:sz w:val="21"/>
                <w:szCs w:val="21"/>
                <w:color w:val="auto"/>
              </w:rPr>
            </w:pPr>
          </w:p>
        </w:tc>
        <w:tc>
          <w:tcPr>
            <w:tcW w:w="1500" w:type="dxa"/>
            <w:vAlign w:val="bottom"/>
          </w:tcPr>
          <w:p>
            <w:pPr>
              <w:jc w:val="right"/>
              <w:ind w:right="171"/>
              <w:spacing w:after="0"/>
              <w:rPr>
                <w:sz w:val="20"/>
                <w:szCs w:val="20"/>
                <w:color w:val="auto"/>
              </w:rPr>
            </w:pPr>
            <w:r>
              <w:rPr>
                <w:rFonts w:ascii="Arial" w:cs="Arial" w:eastAsia="Arial" w:hAnsi="Arial"/>
                <w:sz w:val="18"/>
                <w:szCs w:val="18"/>
                <w:color w:val="auto"/>
              </w:rPr>
              <w:t>(152,448)</w:t>
            </w:r>
          </w:p>
        </w:tc>
        <w:tc>
          <w:tcPr>
            <w:tcW w:w="1600" w:type="dxa"/>
            <w:vAlign w:val="bottom"/>
          </w:tcPr>
          <w:p>
            <w:pPr>
              <w:jc w:val="right"/>
              <w:spacing w:after="0"/>
              <w:rPr>
                <w:sz w:val="20"/>
                <w:szCs w:val="20"/>
                <w:color w:val="auto"/>
              </w:rPr>
            </w:pPr>
            <w:r>
              <w:rPr>
                <w:rFonts w:ascii="Arial" w:cs="Arial" w:eastAsia="Arial" w:hAnsi="Arial"/>
                <w:sz w:val="18"/>
                <w:szCs w:val="18"/>
                <w:color w:val="auto"/>
              </w:rPr>
              <w:t>77.8%</w:t>
            </w:r>
          </w:p>
        </w:tc>
        <w:tc>
          <w:tcPr>
            <w:tcW w:w="460" w:type="dxa"/>
            <w:vAlign w:val="bottom"/>
          </w:tcPr>
          <w:p>
            <w:pPr>
              <w:spacing w:after="0"/>
              <w:rPr>
                <w:sz w:val="21"/>
                <w:szCs w:val="21"/>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(152,991)</w:t>
            </w:r>
          </w:p>
        </w:tc>
        <w:tc>
          <w:tcPr>
            <w:tcW w:w="156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7"/>
        </w:trPr>
        <w:tc>
          <w:tcPr>
            <w:tcW w:w="4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43,435</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47,277</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tcPr>
          <w:p>
            <w:pPr>
              <w:spacing w:after="0"/>
              <w:rPr>
                <w:sz w:val="21"/>
                <w:szCs w:val="21"/>
                <w:color w:val="auto"/>
              </w:rPr>
            </w:pPr>
          </w:p>
        </w:tc>
        <w:tc>
          <w:tcPr>
            <w:tcW w:w="1500" w:type="dxa"/>
            <w:vAlign w:val="bottom"/>
          </w:tcPr>
          <w:p>
            <w:pPr>
              <w:jc w:val="right"/>
              <w:ind w:right="171"/>
              <w:spacing w:after="0"/>
              <w:rPr>
                <w:sz w:val="20"/>
                <w:szCs w:val="20"/>
                <w:color w:val="auto"/>
              </w:rPr>
            </w:pPr>
            <w:r>
              <w:rPr>
                <w:rFonts w:ascii="Arial" w:cs="Arial" w:eastAsia="Arial" w:hAnsi="Arial"/>
                <w:sz w:val="18"/>
                <w:szCs w:val="18"/>
                <w:color w:val="auto"/>
              </w:rPr>
              <w:t>(34,085)</w:t>
            </w:r>
          </w:p>
        </w:tc>
        <w:tc>
          <w:tcPr>
            <w:tcW w:w="1600" w:type="dxa"/>
            <w:vAlign w:val="bottom"/>
          </w:tcPr>
          <w:p>
            <w:pPr>
              <w:jc w:val="right"/>
              <w:spacing w:after="0"/>
              <w:rPr>
                <w:sz w:val="20"/>
                <w:szCs w:val="20"/>
                <w:color w:val="auto"/>
              </w:rPr>
            </w:pPr>
            <w:r>
              <w:rPr>
                <w:rFonts w:ascii="Arial" w:cs="Arial" w:eastAsia="Arial" w:hAnsi="Arial"/>
                <w:sz w:val="18"/>
                <w:szCs w:val="18"/>
                <w:color w:val="auto"/>
              </w:rPr>
              <w:t>17.4%</w:t>
            </w:r>
          </w:p>
        </w:tc>
        <w:tc>
          <w:tcPr>
            <w:tcW w:w="460" w:type="dxa"/>
            <w:vAlign w:val="bottom"/>
          </w:tcPr>
          <w:p>
            <w:pPr>
              <w:spacing w:after="0"/>
              <w:rPr>
                <w:sz w:val="21"/>
                <w:szCs w:val="21"/>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(36,211)</w:t>
            </w:r>
          </w:p>
        </w:tc>
        <w:tc>
          <w:tcPr>
            <w:tcW w:w="156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4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9,350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11,066</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400" w:type="dxa"/>
            <w:vAlign w:val="bottom"/>
          </w:tcPr>
          <w:p>
            <w:pPr>
              <w:spacing w:after="0"/>
              <w:rPr>
                <w:sz w:val="21"/>
                <w:szCs w:val="21"/>
                <w:color w:val="auto"/>
              </w:rPr>
            </w:pPr>
          </w:p>
        </w:tc>
        <w:tc>
          <w:tcPr>
            <w:tcW w:w="1500" w:type="dxa"/>
            <w:vAlign w:val="bottom"/>
          </w:tcPr>
          <w:p>
            <w:pPr>
              <w:jc w:val="right"/>
              <w:ind w:right="171"/>
              <w:spacing w:after="0"/>
              <w:rPr>
                <w:sz w:val="20"/>
                <w:szCs w:val="20"/>
                <w:color w:val="auto"/>
              </w:rPr>
            </w:pPr>
            <w:r>
              <w:rPr>
                <w:rFonts w:ascii="Arial" w:cs="Arial" w:eastAsia="Arial" w:hAnsi="Arial"/>
                <w:sz w:val="18"/>
                <w:szCs w:val="18"/>
                <w:color w:val="auto"/>
              </w:rPr>
              <w:t>(1,018)</w:t>
            </w:r>
          </w:p>
        </w:tc>
        <w:tc>
          <w:tcPr>
            <w:tcW w:w="1600" w:type="dxa"/>
            <w:vAlign w:val="bottom"/>
          </w:tcPr>
          <w:p>
            <w:pPr>
              <w:jc w:val="right"/>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21"/>
                <w:szCs w:val="21"/>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(1,186)</w:t>
            </w:r>
          </w:p>
        </w:tc>
        <w:tc>
          <w:tcPr>
            <w:tcW w:w="15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w:t>
            </w:r>
          </w:p>
        </w:tc>
        <w:tc>
          <w:tcPr>
            <w:tcW w:w="4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321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406</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8,653</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10,286</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(2,351)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(2,396)</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97"/>
        </w:trPr>
        <w:tc>
          <w:tcPr>
            <w:tcW w:w="43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6,302</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7,890</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4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0.96</w:t>
            </w:r>
          </w:p>
        </w:tc>
        <w:tc>
          <w:tcPr>
            <w:tcW w:w="1600" w:type="dxa"/>
            <w:vAlign w:val="bottom"/>
          </w:tcPr>
          <w:p>
            <w:pPr>
              <w:spacing w:after="0"/>
              <w:rPr>
                <w:sz w:val="21"/>
                <w:szCs w:val="21"/>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1.20</w:t>
            </w:r>
          </w:p>
        </w:tc>
        <w:tc>
          <w:tcPr>
            <w:tcW w:w="15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0.72</w:t>
            </w: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0.90</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0.88</w:t>
            </w:r>
          </w:p>
        </w:tc>
        <w:tc>
          <w:tcPr>
            <w:tcW w:w="1600" w:type="dxa"/>
            <w:vAlign w:val="bottom"/>
          </w:tcPr>
          <w:p>
            <w:pPr>
              <w:spacing w:after="0"/>
              <w:rPr>
                <w:sz w:val="21"/>
                <w:szCs w:val="21"/>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1.11</w:t>
            </w:r>
          </w:p>
        </w:tc>
        <w:tc>
          <w:tcPr>
            <w:tcW w:w="15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400" w:type="dxa"/>
            <w:vAlign w:val="bottom"/>
          </w:tcPr>
          <w:p>
            <w:pPr>
              <w:spacing w:after="0"/>
              <w:rPr>
                <w:sz w:val="21"/>
                <w:szCs w:val="21"/>
                <w:color w:val="auto"/>
              </w:rPr>
            </w:pP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4,953</w:t>
            </w:r>
          </w:p>
        </w:tc>
        <w:tc>
          <w:tcPr>
            <w:tcW w:w="1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4,974</w:t>
            </w:r>
          </w:p>
        </w:tc>
        <w:tc>
          <w:tcPr>
            <w:tcW w:w="15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2,018</w:t>
            </w: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2,000</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400" w:type="dxa"/>
            <w:vAlign w:val="bottom"/>
          </w:tcPr>
          <w:p>
            <w:pPr>
              <w:spacing w:after="0"/>
              <w:rPr>
                <w:sz w:val="21"/>
                <w:szCs w:val="21"/>
                <w:color w:val="auto"/>
              </w:rPr>
            </w:pP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7,034</w:t>
            </w:r>
          </w:p>
        </w:tc>
        <w:tc>
          <w:tcPr>
            <w:tcW w:w="1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6,998</w:t>
            </w:r>
          </w:p>
        </w:tc>
        <w:tc>
          <w:tcPr>
            <w:tcW w:w="1560" w:type="dxa"/>
            <w:vAlign w:val="bottom"/>
          </w:tcPr>
          <w:p>
            <w:pPr>
              <w:spacing w:after="0"/>
              <w:rPr>
                <w:sz w:val="21"/>
                <w:szCs w:val="21"/>
                <w:color w:val="auto"/>
              </w:rPr>
            </w:pPr>
          </w:p>
        </w:tc>
      </w:tr>
      <w:tr>
        <w:trPr>
          <w:trHeight w:val="434"/>
        </w:trPr>
        <w:tc>
          <w:tcPr>
            <w:tcW w:w="4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jc w:val="right"/>
              <w:ind w:right="451"/>
              <w:spacing w:after="0"/>
              <w:rPr>
                <w:sz w:val="20"/>
                <w:szCs w:val="20"/>
                <w:color w:val="auto"/>
              </w:rPr>
            </w:pPr>
            <w:r>
              <w:rPr>
                <w:rFonts w:ascii="Arial" w:cs="Arial" w:eastAsia="Arial" w:hAnsi="Arial"/>
                <w:sz w:val="14"/>
                <w:szCs w:val="14"/>
                <w:color w:val="auto"/>
              </w:rPr>
              <w:t>7</w:t>
            </w: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420"/>
          </w:cols>
          <w:pgMar w:left="240" w:top="1440" w:right="239" w:bottom="1440" w:gutter="0" w:footer="0" w:header="0"/>
        </w:sectPr>
      </w:pPr>
    </w:p>
    <w:bookmarkStart w:id="12" w:name="page13"/>
    <w:bookmarkEnd w:id="12"/>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for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As of April 30,</w:t>
            </w:r>
          </w:p>
        </w:tc>
        <w:tc>
          <w:tcPr>
            <w:tcW w:w="14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20" w:type="dxa"/>
            <w:vAlign w:val="bottom"/>
          </w:tcPr>
          <w:p>
            <w:pPr>
              <w:jc w:val="right"/>
              <w:ind w:right="810"/>
              <w:spacing w:after="0"/>
              <w:rPr>
                <w:sz w:val="20"/>
                <w:szCs w:val="20"/>
                <w:color w:val="auto"/>
              </w:rPr>
            </w:pPr>
            <w:r>
              <w:rPr>
                <w:rFonts w:ascii="Arial" w:cs="Arial" w:eastAsia="Arial" w:hAnsi="Arial"/>
                <w:sz w:val="18"/>
                <w:szCs w:val="18"/>
                <w:b w:val="1"/>
                <w:bCs w:val="1"/>
                <w:color w:val="auto"/>
              </w:rPr>
              <w:t>2014</w:t>
            </w:r>
          </w:p>
        </w:tc>
      </w:tr>
      <w:tr>
        <w:trPr>
          <w:trHeight w:val="27"/>
        </w:trPr>
        <w:tc>
          <w:tcPr>
            <w:tcW w:w="41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9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2940" w:type="dxa"/>
            <w:vAlign w:val="bottom"/>
          </w:tcPr>
          <w:p>
            <w:pPr>
              <w:spacing w:after="0"/>
              <w:rPr>
                <w:sz w:val="21"/>
                <w:szCs w:val="21"/>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14,379</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16,436</w:t>
            </w: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Restricted Cash</w:t>
            </w:r>
          </w:p>
        </w:tc>
        <w:tc>
          <w:tcPr>
            <w:tcW w:w="29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2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480</w:t>
            </w:r>
          </w:p>
        </w:tc>
        <w:tc>
          <w:tcPr>
            <w:tcW w:w="7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3,240</w:t>
            </w: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29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31,965</w:t>
            </w:r>
          </w:p>
        </w:tc>
        <w:tc>
          <w:tcPr>
            <w:tcW w:w="7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32,854</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b w:val="1"/>
                <w:bCs w:val="1"/>
                <w:color w:val="auto"/>
              </w:rPr>
              <w:t>Inventories</w:t>
            </w:r>
          </w:p>
        </w:tc>
        <w:tc>
          <w:tcPr>
            <w:tcW w:w="2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24,285</w:t>
            </w:r>
          </w:p>
        </w:tc>
        <w:tc>
          <w:tcPr>
            <w:tcW w:w="7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24,401</w:t>
            </w: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Prepaid Expenses</w:t>
            </w:r>
          </w:p>
        </w:tc>
        <w:tc>
          <w:tcPr>
            <w:tcW w:w="29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7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10,635</w:t>
            </w:r>
          </w:p>
        </w:tc>
      </w:tr>
      <w:tr>
        <w:trPr>
          <w:trHeight w:val="237"/>
        </w:trPr>
        <w:tc>
          <w:tcPr>
            <w:tcW w:w="4160" w:type="dxa"/>
            <w:vAlign w:val="bottom"/>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294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78,491</w:t>
            </w:r>
          </w:p>
        </w:tc>
        <w:tc>
          <w:tcPr>
            <w:tcW w:w="7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87,757</w:t>
            </w:r>
          </w:p>
        </w:tc>
      </w:tr>
      <w:tr>
        <w:trPr>
          <w:trHeight w:val="27"/>
        </w:trPr>
        <w:tc>
          <w:tcPr>
            <w:tcW w:w="41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9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80,547</w:t>
            </w:r>
          </w:p>
        </w:tc>
        <w:tc>
          <w:tcPr>
            <w:tcW w:w="7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71,969</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26,388</w:t>
            </w:r>
          </w:p>
        </w:tc>
        <w:tc>
          <w:tcPr>
            <w:tcW w:w="7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24,911</w:t>
            </w:r>
          </w:p>
        </w:tc>
      </w:tr>
      <w:tr>
        <w:trPr>
          <w:trHeight w:val="27"/>
        </w:trPr>
        <w:tc>
          <w:tcPr>
            <w:tcW w:w="41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9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185,426</w:t>
            </w:r>
          </w:p>
        </w:tc>
        <w:tc>
          <w:tcPr>
            <w:tcW w:w="7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184,637</w:t>
            </w:r>
          </w:p>
        </w:tc>
      </w:tr>
      <w:tr>
        <w:trPr>
          <w:trHeight w:val="20"/>
        </w:trPr>
        <w:tc>
          <w:tcPr>
            <w:tcW w:w="4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4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9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2940" w:type="dxa"/>
            <w:vAlign w:val="bottom"/>
          </w:tcPr>
          <w:p>
            <w:pPr>
              <w:spacing w:after="0"/>
              <w:rPr>
                <w:sz w:val="21"/>
                <w:szCs w:val="21"/>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3,483</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3,500</w:t>
            </w: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Accounts Payable</w:t>
            </w:r>
          </w:p>
        </w:tc>
        <w:tc>
          <w:tcPr>
            <w:tcW w:w="29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7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7,102</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b w:val="1"/>
                <w:bCs w:val="1"/>
                <w:color w:val="auto"/>
              </w:rPr>
              <w:t>Dividends Payable</w:t>
            </w:r>
          </w:p>
        </w:tc>
        <w:tc>
          <w:tcPr>
            <w:tcW w:w="2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1,310</w:t>
            </w:r>
          </w:p>
        </w:tc>
        <w:tc>
          <w:tcPr>
            <w:tcW w:w="7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1,243</w:t>
            </w: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Accrued Expenses</w:t>
            </w:r>
          </w:p>
        </w:tc>
        <w:tc>
          <w:tcPr>
            <w:tcW w:w="29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17,771</w:t>
            </w:r>
          </w:p>
        </w:tc>
        <w:tc>
          <w:tcPr>
            <w:tcW w:w="7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17,949</w:t>
            </w:r>
          </w:p>
        </w:tc>
      </w:tr>
      <w:tr>
        <w:trPr>
          <w:trHeight w:val="237"/>
        </w:trPr>
        <w:tc>
          <w:tcPr>
            <w:tcW w:w="4160" w:type="dxa"/>
            <w:vAlign w:val="bottom"/>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294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28,729</w:t>
            </w:r>
          </w:p>
        </w:tc>
        <w:tc>
          <w:tcPr>
            <w:tcW w:w="7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29,794</w:t>
            </w:r>
          </w:p>
        </w:tc>
      </w:tr>
      <w:tr>
        <w:trPr>
          <w:trHeight w:val="27"/>
        </w:trPr>
        <w:tc>
          <w:tcPr>
            <w:tcW w:w="41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9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2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15,417</w:t>
            </w:r>
          </w:p>
        </w:tc>
        <w:tc>
          <w:tcPr>
            <w:tcW w:w="7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18,900</w:t>
            </w: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29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33,910</w:t>
            </w:r>
          </w:p>
        </w:tc>
        <w:tc>
          <w:tcPr>
            <w:tcW w:w="7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27,951</w:t>
            </w:r>
          </w:p>
        </w:tc>
      </w:tr>
      <w:tr>
        <w:trPr>
          <w:trHeight w:val="237"/>
        </w:trPr>
        <w:tc>
          <w:tcPr>
            <w:tcW w:w="4160" w:type="dxa"/>
            <w:vAlign w:val="bottom"/>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294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49,327</w:t>
            </w:r>
          </w:p>
        </w:tc>
        <w:tc>
          <w:tcPr>
            <w:tcW w:w="7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46,851</w:t>
            </w:r>
          </w:p>
        </w:tc>
      </w:tr>
      <w:tr>
        <w:trPr>
          <w:trHeight w:val="27"/>
        </w:trPr>
        <w:tc>
          <w:tcPr>
            <w:tcW w:w="41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9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107,370</w:t>
            </w:r>
          </w:p>
        </w:tc>
        <w:tc>
          <w:tcPr>
            <w:tcW w:w="7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107,992</w:t>
            </w:r>
          </w:p>
        </w:tc>
      </w:tr>
      <w:tr>
        <w:trPr>
          <w:trHeight w:val="29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94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185,426</w:t>
            </w:r>
          </w:p>
        </w:tc>
        <w:tc>
          <w:tcPr>
            <w:tcW w:w="7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184,637</w:t>
            </w:r>
          </w:p>
        </w:tc>
      </w:tr>
      <w:tr>
        <w:trPr>
          <w:trHeight w:val="284"/>
        </w:trPr>
        <w:tc>
          <w:tcPr>
            <w:tcW w:w="4160" w:type="dxa"/>
            <w:vAlign w:val="bottom"/>
            <w:shd w:val="clear" w:color="auto" w:fill="CCEEFF"/>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2940" w:type="dxa"/>
            <w:vAlign w:val="bottom"/>
          </w:tcPr>
          <w:p>
            <w:pPr>
              <w:spacing w:after="0"/>
              <w:rPr>
                <w:sz w:val="21"/>
                <w:szCs w:val="21"/>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15.40</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15.48</w:t>
            </w: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97"/>
        </w:trPr>
        <w:tc>
          <w:tcPr>
            <w:tcW w:w="4160" w:type="dxa"/>
            <w:vAlign w:val="bottom"/>
            <w:shd w:val="clear" w:color="auto" w:fill="CCEEFF"/>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Acquisitions of:</w:t>
            </w:r>
          </w:p>
        </w:tc>
        <w:tc>
          <w:tcPr>
            <w:tcW w:w="2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9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Third Quarter</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7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6,509</w:t>
            </w:r>
          </w:p>
        </w:tc>
      </w:tr>
      <w:tr>
        <w:trPr>
          <w:trHeight w:val="243"/>
        </w:trPr>
        <w:tc>
          <w:tcPr>
            <w:tcW w:w="4160" w:type="dxa"/>
            <w:vAlign w:val="bottom"/>
          </w:tcPr>
          <w:p>
            <w:pPr>
              <w:spacing w:after="0"/>
              <w:rPr>
                <w:sz w:val="21"/>
                <w:szCs w:val="21"/>
                <w:color w:val="auto"/>
              </w:rPr>
            </w:pPr>
          </w:p>
        </w:tc>
        <w:tc>
          <w:tcPr>
            <w:tcW w:w="294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13,945</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13,291</w:t>
            </w:r>
          </w:p>
        </w:tc>
      </w:tr>
      <w:tr>
        <w:trPr>
          <w:trHeight w:val="27"/>
        </w:trPr>
        <w:tc>
          <w:tcPr>
            <w:tcW w:w="41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29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Third Quarter</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7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2,747</w:t>
            </w:r>
          </w:p>
        </w:tc>
      </w:tr>
      <w:tr>
        <w:trPr>
          <w:trHeight w:val="243"/>
        </w:trPr>
        <w:tc>
          <w:tcPr>
            <w:tcW w:w="4160" w:type="dxa"/>
            <w:vAlign w:val="bottom"/>
          </w:tcPr>
          <w:p>
            <w:pPr>
              <w:spacing w:after="0"/>
              <w:rPr>
                <w:sz w:val="21"/>
                <w:szCs w:val="21"/>
                <w:color w:val="auto"/>
              </w:rPr>
            </w:pPr>
          </w:p>
        </w:tc>
        <w:tc>
          <w:tcPr>
            <w:tcW w:w="294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8,955</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7,607</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497F"/>
        </w:rPr>
        <w:t>(312) 321 1515</w:t>
      </w:r>
    </w:p>
    <w:p>
      <w:pPr>
        <w:sectPr>
          <w:pgSz w:w="11900" w:h="16838" w:orient="portrait"/>
          <w:cols w:equalWidth="0" w:num="1">
            <w:col w:w="11420"/>
          </w:cols>
          <w:pgMar w:left="240" w:top="1440" w:right="239" w:bottom="1440" w:gutter="0" w:footer="0" w:header="0"/>
        </w:sectPr>
      </w:pPr>
    </w:p>
    <w:bookmarkStart w:id="13" w:name="page14"/>
    <w:bookmarkEnd w:id="13"/>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352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For the Nine Months Ended</w:t>
            </w:r>
          </w:p>
        </w:tc>
        <w:tc>
          <w:tcPr>
            <w:tcW w:w="780" w:type="dxa"/>
            <w:vAlign w:val="bottom"/>
          </w:tcPr>
          <w:p>
            <w:pPr>
              <w:spacing w:after="0"/>
              <w:rPr>
                <w:sz w:val="20"/>
                <w:szCs w:val="20"/>
                <w:color w:val="auto"/>
              </w:rPr>
            </w:pPr>
          </w:p>
        </w:tc>
      </w:tr>
      <w:tr>
        <w:trPr>
          <w:trHeight w:val="270"/>
        </w:trPr>
        <w:tc>
          <w:tcPr>
            <w:tcW w:w="70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14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April 30,</w:t>
            </w:r>
          </w:p>
        </w:tc>
        <w:tc>
          <w:tcPr>
            <w:tcW w:w="780" w:type="dxa"/>
            <w:vAlign w:val="bottom"/>
          </w:tcPr>
          <w:p>
            <w:pPr>
              <w:spacing w:after="0"/>
              <w:rPr>
                <w:sz w:val="23"/>
                <w:szCs w:val="23"/>
                <w:color w:val="auto"/>
              </w:rPr>
            </w:pPr>
          </w:p>
        </w:tc>
      </w:tr>
      <w:tr>
        <w:trPr>
          <w:trHeight w:val="27"/>
        </w:trPr>
        <w:tc>
          <w:tcPr>
            <w:tcW w:w="70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7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780" w:type="dxa"/>
            <w:vAlign w:val="bottom"/>
          </w:tcPr>
          <w:p>
            <w:pPr>
              <w:spacing w:after="0"/>
              <w:rPr>
                <w:sz w:val="20"/>
                <w:szCs w:val="20"/>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6,302</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7,890</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8,955</w:t>
            </w:r>
          </w:p>
        </w:tc>
        <w:tc>
          <w:tcPr>
            <w:tcW w:w="1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7,607</w:t>
            </w:r>
          </w:p>
        </w:tc>
      </w:tr>
      <w:tr>
        <w:trPr>
          <w:trHeight w:val="243"/>
        </w:trPr>
        <w:tc>
          <w:tcPr>
            <w:tcW w:w="7040" w:type="dxa"/>
            <w:vAlign w:val="bottom"/>
          </w:tcPr>
          <w:p>
            <w:pPr>
              <w:ind w:left="260"/>
              <w:spacing w:after="0"/>
              <w:rPr>
                <w:sz w:val="20"/>
                <w:szCs w:val="20"/>
                <w:color w:val="auto"/>
              </w:rPr>
            </w:pPr>
            <w:r>
              <w:rPr>
                <w:rFonts w:ascii="Arial" w:cs="Arial" w:eastAsia="Arial" w:hAnsi="Arial"/>
                <w:sz w:val="18"/>
                <w:szCs w:val="18"/>
                <w:b w:val="1"/>
                <w:bCs w:val="1"/>
                <w:color w:val="auto"/>
              </w:rPr>
              <w:t>Increase in Accounts Receivable</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(1,183)</w:t>
            </w:r>
          </w:p>
        </w:tc>
        <w:tc>
          <w:tcPr>
            <w:tcW w:w="1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(1,742)</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Decrease (Increase) in Inventories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r>
      <w:tr>
        <w:trPr>
          <w:trHeight w:val="243"/>
        </w:trPr>
        <w:tc>
          <w:tcPr>
            <w:tcW w:w="7040" w:type="dxa"/>
            <w:vAlign w:val="bottom"/>
          </w:tcPr>
          <w:p>
            <w:pPr>
              <w:ind w:left="260"/>
              <w:spacing w:after="0"/>
              <w:rPr>
                <w:sz w:val="20"/>
                <w:szCs w:val="20"/>
                <w:color w:val="auto"/>
              </w:rPr>
            </w:pPr>
            <w:r>
              <w:rPr>
                <w:rFonts w:ascii="Arial" w:cs="Arial" w:eastAsia="Arial" w:hAnsi="Arial"/>
                <w:sz w:val="18"/>
                <w:szCs w:val="18"/>
                <w:b w:val="1"/>
                <w:bCs w:val="1"/>
                <w:color w:val="auto"/>
              </w:rPr>
              <w:t>(Decrease) Increase in Accounts Payable</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(691)</w:t>
            </w:r>
          </w:p>
        </w:tc>
        <w:tc>
          <w:tcPr>
            <w:tcW w:w="1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415</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(Decrease) in Accrued Expenses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r>
      <w:tr>
        <w:trPr>
          <w:trHeight w:val="243"/>
        </w:trPr>
        <w:tc>
          <w:tcPr>
            <w:tcW w:w="7040" w:type="dxa"/>
            <w:vAlign w:val="bottom"/>
          </w:tcPr>
          <w:p>
            <w:pPr>
              <w:ind w:left="26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638</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w:t>
            </w:r>
          </w:p>
        </w:tc>
        <w:tc>
          <w:tcPr>
            <w:tcW w:w="1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r>
      <w:tr>
        <w:trPr>
          <w:trHeight w:val="237"/>
        </w:trPr>
        <w:tc>
          <w:tcPr>
            <w:tcW w:w="704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1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9,966</w:t>
            </w:r>
          </w:p>
        </w:tc>
        <w:tc>
          <w:tcPr>
            <w:tcW w:w="1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2,820</w:t>
            </w:r>
          </w:p>
        </w:tc>
      </w:tr>
      <w:tr>
        <w:trPr>
          <w:trHeight w:val="27"/>
        </w:trPr>
        <w:tc>
          <w:tcPr>
            <w:tcW w:w="7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16,268</w:t>
            </w:r>
          </w:p>
        </w:tc>
        <w:tc>
          <w:tcPr>
            <w:tcW w:w="1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10,710</w:t>
            </w:r>
          </w:p>
        </w:tc>
      </w:tr>
      <w:tr>
        <w:trPr>
          <w:trHeight w:val="291"/>
        </w:trPr>
        <w:tc>
          <w:tcPr>
            <w:tcW w:w="70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(13,945)</w:t>
            </w:r>
          </w:p>
        </w:tc>
        <w:tc>
          <w:tcPr>
            <w:tcW w:w="1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(13,291)</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Acquisition of Business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(12,814)</w:t>
            </w: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b w:val="1"/>
                <w:bCs w:val="1"/>
                <w:color w:val="auto"/>
              </w:rPr>
              <w:t>Restricted Cash</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Dispositions of Investment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c>
          <w:tcPr>
            <w:tcW w:w="1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15,221</w:t>
            </w: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1,033</w:t>
            </w:r>
          </w:p>
        </w:tc>
        <w:tc>
          <w:tcPr>
            <w:tcW w:w="1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7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(10,622)</w:t>
            </w:r>
          </w:p>
        </w:tc>
        <w:tc>
          <w:tcPr>
            <w:tcW w:w="1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(10,984)</w:t>
            </w:r>
          </w:p>
        </w:tc>
      </w:tr>
      <w:tr>
        <w:trPr>
          <w:trHeight w:val="291"/>
        </w:trPr>
        <w:tc>
          <w:tcPr>
            <w:tcW w:w="70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(3,500)</w:t>
            </w:r>
          </w:p>
        </w:tc>
        <w:tc>
          <w:tcPr>
            <w:tcW w:w="1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Dividends Paid</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1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(7,476)</w:t>
            </w:r>
          </w:p>
        </w:tc>
        <w:tc>
          <w:tcPr>
            <w:tcW w:w="1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(7,166)</w:t>
            </w:r>
          </w:p>
        </w:tc>
      </w:tr>
      <w:tr>
        <w:trPr>
          <w:trHeight w:val="27"/>
        </w:trPr>
        <w:tc>
          <w:tcPr>
            <w:tcW w:w="7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91"/>
        </w:trPr>
        <w:tc>
          <w:tcPr>
            <w:tcW w:w="70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97"/>
        </w:trPr>
        <w:tc>
          <w:tcPr>
            <w:tcW w:w="70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(1,851)</w:t>
            </w:r>
          </w:p>
        </w:tc>
        <w:tc>
          <w:tcPr>
            <w:tcW w:w="1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(7,599)</w:t>
            </w:r>
          </w:p>
        </w:tc>
      </w:tr>
      <w:tr>
        <w:trPr>
          <w:trHeight w:val="27"/>
        </w:trPr>
        <w:tc>
          <w:tcPr>
            <w:tcW w:w="7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16,230</w:t>
            </w:r>
          </w:p>
        </w:tc>
        <w:tc>
          <w:tcPr>
            <w:tcW w:w="1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24,035</w:t>
            </w:r>
          </w:p>
        </w:tc>
      </w:tr>
      <w:tr>
        <w:trPr>
          <w:trHeight w:val="25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14,379</w:t>
            </w: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16,436</w:t>
            </w:r>
          </w:p>
        </w:tc>
      </w:tr>
      <w:tr>
        <w:trPr>
          <w:trHeight w:val="20"/>
        </w:trPr>
        <w:tc>
          <w:tcPr>
            <w:tcW w:w="7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175260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00497F"/>
        </w:rPr>
        <w:t>Laura G. Scheland</w:t>
      </w:r>
    </w:p>
    <w:p>
      <w:pPr>
        <w:spacing w:after="0" w:line="17" w:lineRule="exact"/>
        <w:rPr>
          <w:sz w:val="20"/>
          <w:szCs w:val="20"/>
          <w:color w:val="auto"/>
        </w:rPr>
      </w:pPr>
    </w:p>
    <w:p>
      <w:pPr>
        <w:ind w:left="4900"/>
        <w:spacing w:after="0"/>
        <w:rPr>
          <w:sz w:val="20"/>
          <w:szCs w:val="20"/>
          <w:color w:val="auto"/>
        </w:rPr>
      </w:pPr>
      <w:r>
        <w:rPr>
          <w:rFonts w:ascii="Arial" w:cs="Arial" w:eastAsia="Arial" w:hAnsi="Arial"/>
          <w:sz w:val="14"/>
          <w:szCs w:val="14"/>
          <w:i w:val="1"/>
          <w:iCs w:val="1"/>
          <w:color w:val="00497F"/>
        </w:rPr>
        <w:t>Investor Relations Contact</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4"/>
          <w:szCs w:val="14"/>
          <w:color w:val="00497F"/>
        </w:rPr>
        <w:t>Oil-Dri Corporation of America</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4"/>
          <w:szCs w:val="14"/>
          <w:color w:val="00497F"/>
        </w:rPr>
        <w:t>InvestorRelations@oildri.com</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4"/>
          <w:szCs w:val="14"/>
          <w:color w:val="00497F"/>
        </w:rPr>
        <w:t>(312) 321 1515</w:t>
      </w:r>
    </w:p>
    <w:sectPr>
      <w:pgSz w:w="11900" w:h="16838" w:orient="portrait"/>
      <w:cols w:equalWidth="0" w:num="1">
        <w:col w:w="11340"/>
      </w:cols>
      <w:pgMar w:left="28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2020-01-23T18:42:55Z</dcterms:created>
  <dcterms:modified xsi:type="dcterms:W3CDTF">2020-01-23T18:42:55Z</dcterms:modified>
</cp:coreProperties>
</file>