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13D</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 (Amendment No. 31)</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Oil-Dri Corporation of America</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 Par Value $0.10 Per Share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58" w:lineRule="exact"/>
        <w:rPr>
          <w:sz w:val="24"/>
          <w:szCs w:val="24"/>
          <w:color w:val="auto"/>
        </w:rPr>
      </w:pPr>
    </w:p>
    <w:p>
      <w:pPr>
        <w:ind w:left="4160"/>
        <w:spacing w:after="0"/>
        <w:rPr>
          <w:sz w:val="20"/>
          <w:szCs w:val="20"/>
          <w:color w:val="auto"/>
        </w:rPr>
      </w:pPr>
      <w:r>
        <w:rPr>
          <w:rFonts w:ascii="Arial" w:cs="Arial" w:eastAsia="Arial" w:hAnsi="Arial"/>
          <w:sz w:val="22"/>
          <w:szCs w:val="22"/>
          <w:color w:val="auto"/>
        </w:rPr>
        <w:t>_________</w:t>
      </w:r>
      <w:r>
        <w:rPr>
          <w:rFonts w:ascii="Arial" w:cs="Arial" w:eastAsia="Arial" w:hAnsi="Arial"/>
          <w:sz w:val="22"/>
          <w:szCs w:val="22"/>
          <w:u w:val="single" w:color="auto"/>
          <w:color w:val="auto"/>
        </w:rPr>
        <w:t>677864100</w:t>
      </w:r>
      <w:r>
        <w:rPr>
          <w:rFonts w:ascii="Arial" w:cs="Arial" w:eastAsia="Arial" w:hAnsi="Arial"/>
          <w:sz w:val="22"/>
          <w:szCs w:val="22"/>
          <w:color w:val="auto"/>
        </w:rPr>
        <w:t>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(CUSIP Number)</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David Goldman</w:t>
      </w:r>
    </w:p>
    <w:p>
      <w:pPr>
        <w:jc w:val="center"/>
        <w:spacing w:after="0" w:line="238" w:lineRule="auto"/>
        <w:rPr>
          <w:sz w:val="20"/>
          <w:szCs w:val="20"/>
          <w:color w:val="auto"/>
        </w:rPr>
      </w:pPr>
      <w:r>
        <w:rPr>
          <w:rFonts w:ascii="Arial" w:cs="Arial" w:eastAsia="Arial" w:hAnsi="Arial"/>
          <w:sz w:val="22"/>
          <w:szCs w:val="22"/>
          <w:color w:val="auto"/>
        </w:rPr>
        <w:t>GAMCO Investors, Inc.</w:t>
      </w:r>
    </w:p>
    <w:p>
      <w:pPr>
        <w:jc w:val="center"/>
        <w:spacing w:after="0" w:line="230" w:lineRule="auto"/>
        <w:rPr>
          <w:sz w:val="20"/>
          <w:szCs w:val="20"/>
          <w:color w:val="auto"/>
        </w:rPr>
      </w:pPr>
      <w:r>
        <w:rPr>
          <w:rFonts w:ascii="Arial" w:cs="Arial" w:eastAsia="Arial" w:hAnsi="Arial"/>
          <w:sz w:val="22"/>
          <w:szCs w:val="22"/>
          <w:color w:val="auto"/>
        </w:rPr>
        <w:t>One Corporate Center</w:t>
      </w:r>
    </w:p>
    <w:p>
      <w:pPr>
        <w:jc w:val="center"/>
        <w:spacing w:after="0" w:line="231" w:lineRule="auto"/>
        <w:rPr>
          <w:sz w:val="20"/>
          <w:szCs w:val="20"/>
          <w:color w:val="auto"/>
        </w:rPr>
      </w:pPr>
      <w:r>
        <w:rPr>
          <w:rFonts w:ascii="Arial" w:cs="Arial" w:eastAsia="Arial" w:hAnsi="Arial"/>
          <w:sz w:val="22"/>
          <w:szCs w:val="22"/>
          <w:color w:val="auto"/>
        </w:rPr>
        <w:t>Rye, New York 10580-1435</w:t>
      </w:r>
    </w:p>
    <w:p>
      <w:pPr>
        <w:jc w:val="center"/>
        <w:spacing w:after="0" w:line="230" w:lineRule="auto"/>
        <w:rPr>
          <w:sz w:val="20"/>
          <w:szCs w:val="20"/>
          <w:color w:val="auto"/>
        </w:rPr>
      </w:pPr>
      <w:r>
        <w:rPr>
          <w:rFonts w:ascii="Arial" w:cs="Arial" w:eastAsia="Arial" w:hAnsi="Arial"/>
          <w:sz w:val="22"/>
          <w:szCs w:val="22"/>
          <w:color w:val="auto"/>
        </w:rPr>
        <w:t>(914) 921-5000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Address and Telephone Number of Person Authorized to Receive Notices and Communications)</w:t>
      </w:r>
    </w:p>
    <w:p>
      <w:pPr>
        <w:spacing w:after="0" w:line="200" w:lineRule="exact"/>
        <w:rPr>
          <w:sz w:val="24"/>
          <w:szCs w:val="24"/>
          <w:color w:val="auto"/>
        </w:rPr>
      </w:pPr>
    </w:p>
    <w:p>
      <w:pPr>
        <w:spacing w:after="0" w:line="258" w:lineRule="exact"/>
        <w:rPr>
          <w:sz w:val="24"/>
          <w:szCs w:val="24"/>
          <w:color w:val="auto"/>
        </w:rPr>
      </w:pPr>
    </w:p>
    <w:p>
      <w:pPr>
        <w:ind w:left="2820"/>
        <w:spacing w:after="0"/>
        <w:rPr>
          <w:sz w:val="20"/>
          <w:szCs w:val="20"/>
          <w:color w:val="auto"/>
        </w:rPr>
      </w:pPr>
      <w:r>
        <w:rPr>
          <w:rFonts w:ascii="Arial" w:cs="Arial" w:eastAsia="Arial" w:hAnsi="Arial"/>
          <w:sz w:val="22"/>
          <w:szCs w:val="22"/>
          <w:color w:val="auto"/>
        </w:rPr>
        <w:t>____________________</w:t>
      </w:r>
      <w:r>
        <w:rPr>
          <w:rFonts w:ascii="Arial" w:cs="Arial" w:eastAsia="Arial" w:hAnsi="Arial"/>
          <w:sz w:val="22"/>
          <w:szCs w:val="22"/>
          <w:u w:val="single" w:color="auto"/>
          <w:color w:val="auto"/>
        </w:rPr>
        <w:t>July 28, 2023</w:t>
      </w:r>
      <w:r>
        <w:rPr>
          <w:rFonts w:ascii="Arial" w:cs="Arial" w:eastAsia="Arial" w:hAnsi="Arial"/>
          <w:sz w:val="22"/>
          <w:szCs w:val="22"/>
          <w:color w:val="auto"/>
        </w:rPr>
        <w:t>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677864100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5440" w:type="dxa"/>
            <w:vAlign w:val="bottom"/>
          </w:tcPr>
          <w:p>
            <w:pPr>
              <w:ind w:left="1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ames of reporting persons</w:t>
            </w:r>
          </w:p>
        </w:tc>
        <w:tc>
          <w:tcPr>
            <w:tcW w:w="538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5440" w:type="dxa"/>
            <w:vAlign w:val="bottom"/>
          </w:tcPr>
          <w:p>
            <w:pPr>
              <w:ind w:left="100"/>
              <w:spacing w:after="0"/>
              <w:rPr>
                <w:sz w:val="20"/>
                <w:szCs w:val="20"/>
                <w:color w:val="auto"/>
              </w:rPr>
            </w:pPr>
            <w:r>
              <w:rPr>
                <w:rFonts w:ascii="Arial" w:cs="Arial" w:eastAsia="Arial" w:hAnsi="Arial"/>
                <w:sz w:val="18"/>
                <w:szCs w:val="18"/>
                <w:b w:val="1"/>
                <w:bCs w:val="1"/>
                <w:color w:val="auto"/>
              </w:rPr>
              <w:t xml:space="preserve">I.R.S. </w:t>
            </w:r>
            <w:r>
              <w:rPr>
                <w:rFonts w:ascii="Arial" w:cs="Arial" w:eastAsia="Arial" w:hAnsi="Arial"/>
                <w:sz w:val="12"/>
                <w:szCs w:val="12"/>
                <w:b w:val="1"/>
                <w:bCs w:val="1"/>
                <w:color w:val="auto"/>
              </w:rPr>
              <w:t>identification nos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of above persons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entities only</w:t>
            </w:r>
            <w:r>
              <w:rPr>
                <w:rFonts w:ascii="Arial" w:cs="Arial" w:eastAsia="Arial" w:hAnsi="Arial"/>
                <w:sz w:val="18"/>
                <w:szCs w:val="18"/>
                <w:b w:val="1"/>
                <w:bCs w:val="1"/>
                <w:color w:val="auto"/>
              </w:rPr>
              <w:t>)</w:t>
            </w:r>
          </w:p>
        </w:tc>
        <w:tc>
          <w:tcPr>
            <w:tcW w:w="5380" w:type="dxa"/>
            <w:vAlign w:val="bottom"/>
          </w:tcPr>
          <w:p>
            <w:pPr>
              <w:spacing w:after="0"/>
              <w:rPr>
                <w:sz w:val="20"/>
                <w:szCs w:val="20"/>
                <w:color w:val="auto"/>
              </w:rPr>
            </w:pPr>
          </w:p>
        </w:tc>
      </w:tr>
      <w:tr>
        <w:trPr>
          <w:trHeight w:val="439"/>
        </w:trPr>
        <w:tc>
          <w:tcPr>
            <w:tcW w:w="42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Gabelli Funds, LLC</w:t>
            </w:r>
          </w:p>
        </w:tc>
        <w:tc>
          <w:tcPr>
            <w:tcW w:w="53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I.D. N</w:t>
            </w:r>
            <w:r>
              <w:rPr>
                <w:rFonts w:ascii="Arial" w:cs="Arial" w:eastAsia="Arial" w:hAnsi="Arial"/>
                <w:sz w:val="12"/>
                <w:szCs w:val="12"/>
                <w:b w:val="1"/>
                <w:bCs w:val="1"/>
                <w:color w:val="auto"/>
              </w:rPr>
              <w:t>o</w:t>
            </w:r>
            <w:r>
              <w:rPr>
                <w:rFonts w:ascii="Arial" w:cs="Arial" w:eastAsia="Arial" w:hAnsi="Arial"/>
                <w:sz w:val="18"/>
                <w:szCs w:val="18"/>
                <w:b w:val="1"/>
                <w:bCs w:val="1"/>
                <w:color w:val="auto"/>
              </w:rPr>
              <w:t>. 13-4044523</w:t>
            </w:r>
          </w:p>
        </w:tc>
      </w:tr>
      <w:tr>
        <w:trPr>
          <w:trHeight w:val="234"/>
        </w:trPr>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5440" w:type="dxa"/>
            <w:vAlign w:val="bottom"/>
          </w:tcPr>
          <w:p>
            <w:pPr>
              <w:ind w:left="1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the appropriate box if a member of a group</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(SEE INSTRUCTIONS)</w:t>
            </w:r>
          </w:p>
        </w:tc>
        <w:tc>
          <w:tcPr>
            <w:tcW w:w="5380" w:type="dxa"/>
            <w:vAlign w:val="bottom"/>
          </w:tcPr>
          <w:p>
            <w:pPr>
              <w:ind w:left="160"/>
              <w:spacing w:after="0"/>
              <w:rPr>
                <w:sz w:val="20"/>
                <w:szCs w:val="20"/>
                <w:color w:val="auto"/>
              </w:rPr>
            </w:pPr>
            <w:r>
              <w:rPr>
                <w:rFonts w:ascii="Arial" w:cs="Arial" w:eastAsia="Arial" w:hAnsi="Arial"/>
                <w:sz w:val="18"/>
                <w:szCs w:val="18"/>
                <w:b w:val="1"/>
                <w:bCs w:val="1"/>
                <w:color w:val="auto"/>
              </w:rPr>
              <w:t>(a)</w:t>
            </w:r>
          </w:p>
        </w:tc>
      </w:tr>
    </w:tbl>
    <w:p>
      <w:pPr>
        <w:spacing w:after="0" w:line="395"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520" w:hanging="302"/>
        <w:spacing w:after="0"/>
        <w:tabs>
          <w:tab w:leader="none" w:pos="5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520" w:hanging="302"/>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ource of funds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520" w:hanging="30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disclosure of legal proceedings is required pursuant to items</w:t>
      </w:r>
      <w:r>
        <w:rPr>
          <w:rFonts w:ascii="Arial" w:cs="Arial" w:eastAsia="Arial" w:hAnsi="Arial"/>
          <w:sz w:val="18"/>
          <w:szCs w:val="18"/>
          <w:b w:val="1"/>
          <w:bCs w:val="1"/>
          <w:color w:val="auto"/>
        </w:rPr>
        <w:t xml:space="preserve"> 2 (d)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hanging="30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 or place of organization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York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62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85,700 (Item 5)</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eneficially</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wned</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ach</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eporting</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85,700 (Item 5)</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erson</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146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620" w:type="dxa"/>
            <w:vAlign w:val="bottom"/>
            <w:vMerge w:val="restart"/>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dispositive power</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ith</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160" w:type="dxa"/>
            <w:vAlign w:val="bottom"/>
            <w:vMerge w:val="continue"/>
          </w:tcPr>
          <w:p>
            <w:pPr>
              <w:spacing w:after="0"/>
              <w:rPr>
                <w:sz w:val="13"/>
                <w:szCs w:val="13"/>
                <w:color w:val="auto"/>
              </w:rPr>
            </w:pPr>
          </w:p>
        </w:tc>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ggregate amount beneficially owned by each reporting person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85,700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6" w:lineRule="exact"/>
        <w:rPr>
          <w:sz w:val="20"/>
          <w:szCs w:val="20"/>
          <w:color w:val="auto"/>
        </w:rPr>
      </w:pPr>
    </w:p>
    <w:p>
      <w:pPr>
        <w:ind w:left="520" w:hanging="512"/>
        <w:spacing w:after="0"/>
        <w:tabs>
          <w:tab w:leader="none" w:pos="520" w:val="left"/>
        </w:tabs>
        <w:numPr>
          <w:ilvl w:val="0"/>
          <w:numId w:val="6"/>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the aggregate amount in row</w:t>
      </w:r>
      <w:r>
        <w:rPr>
          <w:rFonts w:ascii="Arial" w:cs="Arial" w:eastAsia="Arial" w:hAnsi="Arial"/>
          <w:sz w:val="18"/>
          <w:szCs w:val="18"/>
          <w:b w:val="1"/>
          <w:bCs w:val="1"/>
          <w:color w:val="auto"/>
        </w:rPr>
        <w:t xml:space="preserve"> (11) </w:t>
      </w:r>
      <w:r>
        <w:rPr>
          <w:rFonts w:ascii="Arial" w:cs="Arial" w:eastAsia="Arial" w:hAnsi="Arial"/>
          <w:sz w:val="12"/>
          <w:szCs w:val="12"/>
          <w:b w:val="1"/>
          <w:bCs w:val="1"/>
          <w:color w:val="auto"/>
        </w:rPr>
        <w:t>excludes certain shares</w:t>
      </w:r>
    </w:p>
    <w:p>
      <w:pPr>
        <w:ind w:left="520"/>
        <w:spacing w:after="0"/>
        <w:rPr>
          <w:sz w:val="20"/>
          <w:szCs w:val="20"/>
          <w:color w:val="auto"/>
        </w:rPr>
      </w:pP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 represented by amount in row</w:t>
      </w:r>
      <w:r>
        <w:rPr>
          <w:rFonts w:ascii="Arial" w:cs="Arial" w:eastAsia="Arial" w:hAnsi="Arial"/>
          <w:sz w:val="18"/>
          <w:szCs w:val="18"/>
          <w:b w:val="1"/>
          <w:bCs w:val="1"/>
          <w:color w:val="auto"/>
        </w:rPr>
        <w:t xml:space="preserve"> (11)</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5" w:lineRule="exact"/>
        <w:rPr>
          <w:sz w:val="20"/>
          <w:szCs w:val="20"/>
          <w:color w:val="auto"/>
        </w:rPr>
      </w:pPr>
    </w:p>
    <w:p>
      <w:pPr>
        <w:ind w:left="520" w:hanging="512"/>
        <w:spacing w:after="0"/>
        <w:tabs>
          <w:tab w:leader="none" w:pos="520" w:val="left"/>
        </w:tabs>
        <w:numPr>
          <w:ilvl w:val="0"/>
          <w:numId w:val="8"/>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ype of reporting person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(SEE INSTRUCTIONS)</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677864100</w:t>
      </w:r>
    </w:p>
    <w:p>
      <w:pPr>
        <w:spacing w:after="0" w:line="14" w:lineRule="exact"/>
        <w:rPr>
          <w:sz w:val="20"/>
          <w:szCs w:val="20"/>
          <w:color w:val="auto"/>
        </w:rPr>
      </w:pPr>
    </w:p>
    <w:p>
      <w:pPr>
        <w:ind w:left="520" w:hanging="30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ames of reporting persons</w:t>
      </w:r>
    </w:p>
    <w:p>
      <w:pPr>
        <w:spacing w:after="0" w:line="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I.R.S. </w:t>
      </w:r>
      <w:r>
        <w:rPr>
          <w:rFonts w:ascii="Arial" w:cs="Arial" w:eastAsia="Arial" w:hAnsi="Arial"/>
          <w:sz w:val="12"/>
          <w:szCs w:val="12"/>
          <w:b w:val="1"/>
          <w:bCs w:val="1"/>
          <w:color w:val="auto"/>
        </w:rPr>
        <w:t>identification nos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of above persons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entities only</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GAMCO Asset Management, Inc.</w:t>
            </w:r>
          </w:p>
        </w:tc>
        <w:tc>
          <w:tcPr>
            <w:tcW w:w="532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I.D. N</w:t>
            </w:r>
            <w:r>
              <w:rPr>
                <w:rFonts w:ascii="Arial" w:cs="Arial" w:eastAsia="Arial" w:hAnsi="Arial"/>
                <w:sz w:val="12"/>
                <w:szCs w:val="12"/>
                <w:b w:val="1"/>
                <w:bCs w:val="1"/>
                <w:color w:val="auto"/>
              </w:rPr>
              <w:t>o</w:t>
            </w:r>
            <w:r>
              <w:rPr>
                <w:rFonts w:ascii="Arial" w:cs="Arial" w:eastAsia="Arial" w:hAnsi="Arial"/>
                <w:sz w:val="18"/>
                <w:szCs w:val="18"/>
                <w:b w:val="1"/>
                <w:bCs w:val="1"/>
                <w:color w:val="auto"/>
              </w:rPr>
              <w:t>. 13-4044521</w:t>
            </w:r>
          </w:p>
        </w:tc>
      </w:tr>
      <w:tr>
        <w:trPr>
          <w:trHeight w:val="234"/>
        </w:trPr>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5500" w:type="dxa"/>
            <w:vAlign w:val="bottom"/>
          </w:tcPr>
          <w:p>
            <w:pPr>
              <w:ind w:left="1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the appropriate box if a member of a group</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(SEE INSTRUCTIONS)</w:t>
            </w:r>
          </w:p>
        </w:tc>
        <w:tc>
          <w:tcPr>
            <w:tcW w:w="5320" w:type="dxa"/>
            <w:vAlign w:val="bottom"/>
          </w:tcPr>
          <w:p>
            <w:pPr>
              <w:ind w:left="100"/>
              <w:spacing w:after="0"/>
              <w:rPr>
                <w:sz w:val="20"/>
                <w:szCs w:val="20"/>
                <w:color w:val="auto"/>
              </w:rPr>
            </w:pPr>
            <w:r>
              <w:rPr>
                <w:rFonts w:ascii="Arial" w:cs="Arial" w:eastAsia="Arial" w:hAnsi="Arial"/>
                <w:sz w:val="18"/>
                <w:szCs w:val="18"/>
                <w:b w:val="1"/>
                <w:bCs w:val="1"/>
                <w:color w:val="auto"/>
              </w:rPr>
              <w:t>(a)</w:t>
            </w:r>
          </w:p>
        </w:tc>
      </w:tr>
      <w:tr>
        <w:trPr>
          <w:trHeight w:val="630"/>
        </w:trPr>
        <w:tc>
          <w:tcPr>
            <w:tcW w:w="4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320" w:type="dxa"/>
            <w:vAlign w:val="bottom"/>
          </w:tcPr>
          <w:p>
            <w:pPr>
              <w:ind w:left="1080"/>
              <w:spacing w:after="0"/>
              <w:rPr>
                <w:sz w:val="20"/>
                <w:szCs w:val="20"/>
                <w:color w:val="auto"/>
              </w:rPr>
            </w:pPr>
            <w:r>
              <w:rPr>
                <w:rFonts w:ascii="Arial" w:cs="Arial" w:eastAsia="Arial" w:hAnsi="Arial"/>
                <w:sz w:val="18"/>
                <w:szCs w:val="18"/>
                <w:b w:val="1"/>
                <w:bCs w:val="1"/>
                <w:color w:val="auto"/>
              </w:rPr>
              <w:t>(b)</w:t>
            </w:r>
          </w:p>
        </w:tc>
      </w:tr>
      <w:tr>
        <w:trPr>
          <w:trHeight w:val="223"/>
        </w:trPr>
        <w:tc>
          <w:tcPr>
            <w:tcW w:w="42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5320" w:type="dxa"/>
            <w:vAlign w:val="bottom"/>
            <w:tcBorders>
              <w:bottom w:val="single" w:sz="8" w:color="auto"/>
            </w:tcBorders>
          </w:tcPr>
          <w:p>
            <w:pPr>
              <w:spacing w:after="0"/>
              <w:rPr>
                <w:sz w:val="19"/>
                <w:szCs w:val="19"/>
                <w:color w:val="auto"/>
              </w:rPr>
            </w:pPr>
          </w:p>
        </w:tc>
      </w:tr>
      <w:tr>
        <w:trPr>
          <w:trHeight w:val="234"/>
        </w:trPr>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5500" w:type="dxa"/>
            <w:vAlign w:val="bottom"/>
          </w:tcPr>
          <w:p>
            <w:pPr>
              <w:ind w:left="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 use only</w:t>
            </w:r>
          </w:p>
        </w:tc>
        <w:tc>
          <w:tcPr>
            <w:tcW w:w="5320" w:type="dxa"/>
            <w:vAlign w:val="bottom"/>
          </w:tcPr>
          <w:p>
            <w:pPr>
              <w:spacing w:after="0"/>
              <w:rPr>
                <w:sz w:val="20"/>
                <w:szCs w:val="20"/>
                <w:color w:val="auto"/>
              </w:rPr>
            </w:pPr>
          </w:p>
        </w:tc>
      </w:tr>
      <w:tr>
        <w:trPr>
          <w:trHeight w:val="205"/>
        </w:trPr>
        <w:tc>
          <w:tcPr>
            <w:tcW w:w="42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tcPr>
          <w:p>
            <w:pPr>
              <w:spacing w:after="0"/>
              <w:rPr>
                <w:sz w:val="17"/>
                <w:szCs w:val="17"/>
                <w:color w:val="auto"/>
              </w:rPr>
            </w:pPr>
          </w:p>
        </w:tc>
      </w:tr>
      <w:tr>
        <w:trPr>
          <w:trHeight w:val="198"/>
        </w:trPr>
        <w:tc>
          <w:tcPr>
            <w:tcW w:w="4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4</w:t>
            </w:r>
          </w:p>
        </w:tc>
        <w:tc>
          <w:tcPr>
            <w:tcW w:w="5500" w:type="dxa"/>
            <w:vAlign w:val="bottom"/>
          </w:tcPr>
          <w:p>
            <w:pPr>
              <w:ind w:left="1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ource of funds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(SEE INSTRUCTIONS)</w:t>
            </w:r>
          </w:p>
        </w:tc>
        <w:tc>
          <w:tcPr>
            <w:tcW w:w="532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00-Funds of investment advisory clients</w:t>
            </w:r>
          </w:p>
        </w:tc>
        <w:tc>
          <w:tcPr>
            <w:tcW w:w="5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520" w:hanging="30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disclosure of legal proceedings is required pursuant to items</w:t>
      </w:r>
      <w:r>
        <w:rPr>
          <w:rFonts w:ascii="Arial" w:cs="Arial" w:eastAsia="Arial" w:hAnsi="Arial"/>
          <w:sz w:val="18"/>
          <w:szCs w:val="18"/>
          <w:b w:val="1"/>
          <w:bCs w:val="1"/>
          <w:color w:val="auto"/>
        </w:rPr>
        <w:t xml:space="preserve"> 2 (d)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hanging="30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 or place of organization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York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62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424,406 (Item 5)</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eneficially</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wned</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ach</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eporting</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429,706 (Item 5)</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erson</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146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620" w:type="dxa"/>
            <w:vAlign w:val="bottom"/>
            <w:vMerge w:val="restart"/>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dispositive power</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ith</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160" w:type="dxa"/>
            <w:vAlign w:val="bottom"/>
            <w:vMerge w:val="continue"/>
          </w:tcPr>
          <w:p>
            <w:pPr>
              <w:spacing w:after="0"/>
              <w:rPr>
                <w:sz w:val="13"/>
                <w:szCs w:val="13"/>
                <w:color w:val="auto"/>
              </w:rPr>
            </w:pPr>
          </w:p>
        </w:tc>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ggregate amount beneficially owned by each reporting person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429,706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6"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the aggregate amount in row</w:t>
      </w:r>
      <w:r>
        <w:rPr>
          <w:rFonts w:ascii="Arial" w:cs="Arial" w:eastAsia="Arial" w:hAnsi="Arial"/>
          <w:sz w:val="18"/>
          <w:szCs w:val="18"/>
          <w:b w:val="1"/>
          <w:bCs w:val="1"/>
          <w:color w:val="auto"/>
        </w:rPr>
        <w:t xml:space="preserve"> (11) </w:t>
      </w:r>
      <w:r>
        <w:rPr>
          <w:rFonts w:ascii="Arial" w:cs="Arial" w:eastAsia="Arial" w:hAnsi="Arial"/>
          <w:sz w:val="12"/>
          <w:szCs w:val="12"/>
          <w:b w:val="1"/>
          <w:bCs w:val="1"/>
          <w:color w:val="auto"/>
        </w:rPr>
        <w:t>excludes certain shares</w:t>
      </w:r>
    </w:p>
    <w:p>
      <w:pPr>
        <w:ind w:left="520"/>
        <w:spacing w:after="0"/>
        <w:rPr>
          <w:sz w:val="20"/>
          <w:szCs w:val="20"/>
          <w:color w:val="auto"/>
        </w:rPr>
      </w:pP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 represented by amount in row</w:t>
      </w:r>
      <w:r>
        <w:rPr>
          <w:rFonts w:ascii="Arial" w:cs="Arial" w:eastAsia="Arial" w:hAnsi="Arial"/>
          <w:sz w:val="18"/>
          <w:szCs w:val="18"/>
          <w:b w:val="1"/>
          <w:bCs w:val="1"/>
          <w:color w:val="auto"/>
        </w:rPr>
        <w:t xml:space="preserve"> (11)</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5"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ype of reporting person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(SEE INSTRUCTIONS)</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677864100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5880" w:type="dxa"/>
            <w:vAlign w:val="bottom"/>
          </w:tcPr>
          <w:p>
            <w:pPr>
              <w:ind w:left="1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ames of reporting persons</w:t>
            </w:r>
          </w:p>
        </w:tc>
        <w:tc>
          <w:tcPr>
            <w:tcW w:w="494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5880" w:type="dxa"/>
            <w:vAlign w:val="bottom"/>
          </w:tcPr>
          <w:p>
            <w:pPr>
              <w:ind w:left="100"/>
              <w:spacing w:after="0"/>
              <w:rPr>
                <w:sz w:val="20"/>
                <w:szCs w:val="20"/>
                <w:color w:val="auto"/>
              </w:rPr>
            </w:pPr>
            <w:r>
              <w:rPr>
                <w:rFonts w:ascii="Arial" w:cs="Arial" w:eastAsia="Arial" w:hAnsi="Arial"/>
                <w:sz w:val="18"/>
                <w:szCs w:val="18"/>
                <w:b w:val="1"/>
                <w:bCs w:val="1"/>
                <w:color w:val="auto"/>
              </w:rPr>
              <w:t xml:space="preserve">I.R.S. </w:t>
            </w:r>
            <w:r>
              <w:rPr>
                <w:rFonts w:ascii="Arial" w:cs="Arial" w:eastAsia="Arial" w:hAnsi="Arial"/>
                <w:sz w:val="12"/>
                <w:szCs w:val="12"/>
                <w:b w:val="1"/>
                <w:bCs w:val="1"/>
                <w:color w:val="auto"/>
              </w:rPr>
              <w:t>identification nos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of above persons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entities only</w:t>
            </w:r>
            <w:r>
              <w:rPr>
                <w:rFonts w:ascii="Arial" w:cs="Arial" w:eastAsia="Arial" w:hAnsi="Arial"/>
                <w:sz w:val="18"/>
                <w:szCs w:val="18"/>
                <w:b w:val="1"/>
                <w:bCs w:val="1"/>
                <w:color w:val="auto"/>
              </w:rPr>
              <w:t>)</w:t>
            </w:r>
          </w:p>
        </w:tc>
        <w:tc>
          <w:tcPr>
            <w:tcW w:w="4940" w:type="dxa"/>
            <w:vAlign w:val="bottom"/>
          </w:tcPr>
          <w:p>
            <w:pPr>
              <w:spacing w:after="0"/>
              <w:rPr>
                <w:sz w:val="20"/>
                <w:szCs w:val="20"/>
                <w:color w:val="auto"/>
              </w:rPr>
            </w:pPr>
          </w:p>
        </w:tc>
      </w:tr>
      <w:tr>
        <w:trPr>
          <w:trHeight w:val="414"/>
        </w:trPr>
        <w:tc>
          <w:tcPr>
            <w:tcW w:w="420" w:type="dxa"/>
            <w:vAlign w:val="bottom"/>
          </w:tcPr>
          <w:p>
            <w:pPr>
              <w:spacing w:after="0"/>
              <w:rPr>
                <w:sz w:val="24"/>
                <w:szCs w:val="24"/>
                <w:color w:val="auto"/>
              </w:rPr>
            </w:pPr>
          </w:p>
        </w:tc>
        <w:tc>
          <w:tcPr>
            <w:tcW w:w="5880" w:type="dxa"/>
            <w:vAlign w:val="bottom"/>
          </w:tcPr>
          <w:p>
            <w:pPr>
              <w:ind w:left="100"/>
              <w:spacing w:after="0"/>
              <w:rPr>
                <w:sz w:val="20"/>
                <w:szCs w:val="20"/>
                <w:color w:val="auto"/>
              </w:rPr>
            </w:pPr>
            <w:r>
              <w:rPr>
                <w:rFonts w:ascii="Arial" w:cs="Arial" w:eastAsia="Arial" w:hAnsi="Arial"/>
                <w:sz w:val="18"/>
                <w:szCs w:val="18"/>
                <w:b w:val="1"/>
                <w:bCs w:val="1"/>
                <w:color w:val="auto"/>
              </w:rPr>
              <w:t>Teton Advisors, LLC</w:t>
            </w:r>
          </w:p>
        </w:tc>
        <w:tc>
          <w:tcPr>
            <w:tcW w:w="4940" w:type="dxa"/>
            <w:vAlign w:val="bottom"/>
          </w:tcPr>
          <w:p>
            <w:pPr>
              <w:ind w:left="3600"/>
              <w:spacing w:after="0"/>
              <w:rPr>
                <w:sz w:val="20"/>
                <w:szCs w:val="20"/>
                <w:color w:val="auto"/>
              </w:rPr>
            </w:pPr>
            <w:r>
              <w:rPr>
                <w:rFonts w:ascii="Arial" w:cs="Arial" w:eastAsia="Arial" w:hAnsi="Arial"/>
                <w:sz w:val="18"/>
                <w:szCs w:val="18"/>
                <w:b w:val="1"/>
                <w:bCs w:val="1"/>
                <w:color w:val="auto"/>
              </w:rPr>
              <w:t>I.D. N</w:t>
            </w:r>
            <w:r>
              <w:rPr>
                <w:rFonts w:ascii="Arial" w:cs="Arial" w:eastAsia="Arial" w:hAnsi="Arial"/>
                <w:sz w:val="12"/>
                <w:szCs w:val="12"/>
                <w:b w:val="1"/>
                <w:bCs w:val="1"/>
                <w:color w:val="auto"/>
              </w:rPr>
              <w:t>o</w:t>
            </w:r>
            <w:r>
              <w:rPr>
                <w:rFonts w:ascii="Arial" w:cs="Arial" w:eastAsia="Arial" w:hAnsi="Arial"/>
                <w:sz w:val="18"/>
                <w:szCs w:val="18"/>
                <w:b w:val="1"/>
                <w:bCs w:val="1"/>
                <w:color w:val="auto"/>
              </w:rPr>
              <w:t>. 13-</w:t>
            </w:r>
          </w:p>
        </w:tc>
      </w:tr>
      <w:tr>
        <w:trPr>
          <w:trHeight w:val="241"/>
        </w:trPr>
        <w:tc>
          <w:tcPr>
            <w:tcW w:w="42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4008049</w:t>
            </w:r>
          </w:p>
        </w:tc>
        <w:tc>
          <w:tcPr>
            <w:tcW w:w="4940" w:type="dxa"/>
            <w:vAlign w:val="bottom"/>
            <w:tcBorders>
              <w:bottom w:val="single" w:sz="8" w:color="auto"/>
            </w:tcBorders>
          </w:tcPr>
          <w:p>
            <w:pPr>
              <w:spacing w:after="0"/>
              <w:rPr>
                <w:sz w:val="20"/>
                <w:szCs w:val="20"/>
                <w:color w:val="auto"/>
              </w:rPr>
            </w:pPr>
          </w:p>
        </w:tc>
      </w:tr>
      <w:tr>
        <w:trPr>
          <w:trHeight w:val="234"/>
        </w:trPr>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5880" w:type="dxa"/>
            <w:vAlign w:val="bottom"/>
          </w:tcPr>
          <w:p>
            <w:pPr>
              <w:ind w:left="1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the appropriate box if a member of a group</w:t>
            </w:r>
            <w:r>
              <w:rPr>
                <w:rFonts w:ascii="Arial" w:cs="Arial" w:eastAsia="Arial" w:hAnsi="Arial"/>
                <w:sz w:val="18"/>
                <w:szCs w:val="18"/>
                <w:b w:val="1"/>
                <w:bCs w:val="1"/>
                <w:color w:val="auto"/>
              </w:rPr>
              <w:t xml:space="preserve"> (SEE INSTRUCTIONS)</w:t>
            </w:r>
          </w:p>
        </w:tc>
        <w:tc>
          <w:tcPr>
            <w:tcW w:w="4940" w:type="dxa"/>
            <w:vAlign w:val="bottom"/>
          </w:tcPr>
          <w:p>
            <w:pPr>
              <w:ind w:left="100"/>
              <w:spacing w:after="0"/>
              <w:rPr>
                <w:sz w:val="20"/>
                <w:szCs w:val="20"/>
                <w:color w:val="auto"/>
              </w:rPr>
            </w:pPr>
            <w:r>
              <w:rPr>
                <w:rFonts w:ascii="Arial" w:cs="Arial" w:eastAsia="Arial" w:hAnsi="Arial"/>
                <w:sz w:val="18"/>
                <w:szCs w:val="18"/>
                <w:b w:val="1"/>
                <w:bCs w:val="1"/>
                <w:color w:val="auto"/>
              </w:rPr>
              <w:t>(a)</w:t>
            </w:r>
          </w:p>
        </w:tc>
      </w:tr>
    </w:tbl>
    <w:p>
      <w:pPr>
        <w:spacing w:after="0" w:line="395"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520" w:hanging="30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both"/>
        <w:ind w:left="520" w:right="7560" w:hanging="302"/>
        <w:spacing w:after="0" w:line="312" w:lineRule="auto"/>
        <w:tabs>
          <w:tab w:leader="none" w:pos="5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ource of funds</w:t>
      </w:r>
      <w:r>
        <w:rPr>
          <w:rFonts w:ascii="Arial" w:cs="Arial" w:eastAsia="Arial" w:hAnsi="Arial"/>
          <w:sz w:val="17"/>
          <w:szCs w:val="17"/>
          <w:b w:val="1"/>
          <w:bCs w:val="1"/>
          <w:color w:val="auto"/>
        </w:rPr>
        <w:t xml:space="preserve"> (SEE INSTRUCTIONS) 00 – 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7" w:lineRule="exact"/>
        <w:rPr>
          <w:sz w:val="20"/>
          <w:szCs w:val="20"/>
          <w:color w:val="auto"/>
        </w:rPr>
      </w:pPr>
    </w:p>
    <w:p>
      <w:pPr>
        <w:ind w:left="520" w:hanging="30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disclosure of legal proceedings is required pursuant to items</w:t>
      </w:r>
      <w:r>
        <w:rPr>
          <w:rFonts w:ascii="Arial" w:cs="Arial" w:eastAsia="Arial" w:hAnsi="Arial"/>
          <w:sz w:val="18"/>
          <w:szCs w:val="18"/>
          <w:b w:val="1"/>
          <w:bCs w:val="1"/>
          <w:color w:val="auto"/>
        </w:rPr>
        <w:t xml:space="preserve"> 2 (d)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hanging="30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 or place of organization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Delaware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62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15,000 (Item 5)</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eneficially</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wned</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ach</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eporting</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15,000 (Item 5)</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erson</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146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620" w:type="dxa"/>
            <w:vAlign w:val="bottom"/>
            <w:vMerge w:val="restart"/>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dispositive power</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ith</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160" w:type="dxa"/>
            <w:vAlign w:val="bottom"/>
            <w:vMerge w:val="continue"/>
          </w:tcPr>
          <w:p>
            <w:pPr>
              <w:spacing w:after="0"/>
              <w:rPr>
                <w:sz w:val="13"/>
                <w:szCs w:val="13"/>
                <w:color w:val="auto"/>
              </w:rPr>
            </w:pPr>
          </w:p>
        </w:tc>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520" w:hanging="512"/>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ggregate amount beneficially owned by each reporting person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15,000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the aggregate amount in row</w:t>
      </w:r>
      <w:r>
        <w:rPr>
          <w:rFonts w:ascii="Arial" w:cs="Arial" w:eastAsia="Arial" w:hAnsi="Arial"/>
          <w:sz w:val="18"/>
          <w:szCs w:val="18"/>
          <w:b w:val="1"/>
          <w:bCs w:val="1"/>
          <w:color w:val="auto"/>
        </w:rPr>
        <w:t xml:space="preserve"> (11) </w:t>
      </w:r>
      <w:r>
        <w:rPr>
          <w:rFonts w:ascii="Arial" w:cs="Arial" w:eastAsia="Arial" w:hAnsi="Arial"/>
          <w:sz w:val="12"/>
          <w:szCs w:val="12"/>
          <w:b w:val="1"/>
          <w:bCs w:val="1"/>
          <w:color w:val="auto"/>
        </w:rPr>
        <w:t>excludes certain shares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 represented by amount in row</w:t>
      </w:r>
      <w:r>
        <w:rPr>
          <w:rFonts w:ascii="Arial" w:cs="Arial" w:eastAsia="Arial" w:hAnsi="Arial"/>
          <w:sz w:val="18"/>
          <w:szCs w:val="18"/>
          <w:b w:val="1"/>
          <w:bCs w:val="1"/>
          <w:color w:val="auto"/>
        </w:rPr>
        <w:t xml:space="preserve"> (11)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ype of reporting person</w:t>
      </w:r>
      <w:r>
        <w:rPr>
          <w:rFonts w:ascii="Arial" w:cs="Arial" w:eastAsia="Arial" w:hAnsi="Arial"/>
          <w:sz w:val="18"/>
          <w:szCs w:val="18"/>
          <w:b w:val="1"/>
          <w:bCs w:val="1"/>
          <w:color w:val="auto"/>
        </w:rPr>
        <w:t xml:space="preserve"> (SEE INSTRUCTIONS)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CUSIP No. 677864100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5500" w:type="dxa"/>
            <w:vAlign w:val="bottom"/>
          </w:tcPr>
          <w:p>
            <w:pPr>
              <w:ind w:left="1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ames of reporting persons</w:t>
            </w:r>
          </w:p>
        </w:tc>
        <w:tc>
          <w:tcPr>
            <w:tcW w:w="532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5500" w:type="dxa"/>
            <w:vAlign w:val="bottom"/>
          </w:tcPr>
          <w:p>
            <w:pPr>
              <w:ind w:left="100"/>
              <w:spacing w:after="0"/>
              <w:rPr>
                <w:sz w:val="20"/>
                <w:szCs w:val="20"/>
                <w:color w:val="auto"/>
              </w:rPr>
            </w:pPr>
            <w:r>
              <w:rPr>
                <w:rFonts w:ascii="Arial" w:cs="Arial" w:eastAsia="Arial" w:hAnsi="Arial"/>
                <w:sz w:val="18"/>
                <w:szCs w:val="18"/>
                <w:b w:val="1"/>
                <w:bCs w:val="1"/>
                <w:color w:val="auto"/>
              </w:rPr>
              <w:t xml:space="preserve">I.R.S. </w:t>
            </w:r>
            <w:r>
              <w:rPr>
                <w:rFonts w:ascii="Arial" w:cs="Arial" w:eastAsia="Arial" w:hAnsi="Arial"/>
                <w:sz w:val="12"/>
                <w:szCs w:val="12"/>
                <w:b w:val="1"/>
                <w:bCs w:val="1"/>
                <w:color w:val="auto"/>
              </w:rPr>
              <w:t>identification nos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of above persons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entities only</w:t>
            </w:r>
            <w:r>
              <w:rPr>
                <w:rFonts w:ascii="Arial" w:cs="Arial" w:eastAsia="Arial" w:hAnsi="Arial"/>
                <w:sz w:val="18"/>
                <w:szCs w:val="18"/>
                <w:b w:val="1"/>
                <w:bCs w:val="1"/>
                <w:color w:val="auto"/>
              </w:rPr>
              <w:t>)</w:t>
            </w:r>
          </w:p>
        </w:tc>
        <w:tc>
          <w:tcPr>
            <w:tcW w:w="5320" w:type="dxa"/>
            <w:vAlign w:val="bottom"/>
          </w:tcPr>
          <w:p>
            <w:pPr>
              <w:spacing w:after="0"/>
              <w:rPr>
                <w:sz w:val="20"/>
                <w:szCs w:val="20"/>
                <w:color w:val="auto"/>
              </w:rPr>
            </w:pPr>
          </w:p>
        </w:tc>
      </w:tr>
      <w:tr>
        <w:trPr>
          <w:trHeight w:val="439"/>
        </w:trPr>
        <w:tc>
          <w:tcPr>
            <w:tcW w:w="4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GGCP, Inc.</w:t>
            </w:r>
          </w:p>
        </w:tc>
        <w:tc>
          <w:tcPr>
            <w:tcW w:w="532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I.D. N</w:t>
            </w:r>
            <w:r>
              <w:rPr>
                <w:rFonts w:ascii="Arial" w:cs="Arial" w:eastAsia="Arial" w:hAnsi="Arial"/>
                <w:sz w:val="12"/>
                <w:szCs w:val="12"/>
                <w:b w:val="1"/>
                <w:bCs w:val="1"/>
                <w:color w:val="auto"/>
              </w:rPr>
              <w:t>o</w:t>
            </w:r>
            <w:r>
              <w:rPr>
                <w:rFonts w:ascii="Arial" w:cs="Arial" w:eastAsia="Arial" w:hAnsi="Arial"/>
                <w:sz w:val="18"/>
                <w:szCs w:val="18"/>
                <w:b w:val="1"/>
                <w:bCs w:val="1"/>
                <w:color w:val="auto"/>
              </w:rPr>
              <w:t>. 13-3056041</w:t>
            </w:r>
          </w:p>
        </w:tc>
      </w:tr>
      <w:tr>
        <w:trPr>
          <w:trHeight w:val="234"/>
        </w:trPr>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5500" w:type="dxa"/>
            <w:vAlign w:val="bottom"/>
          </w:tcPr>
          <w:p>
            <w:pPr>
              <w:ind w:left="1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the appropriate box if a member of a group</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(SEE INSTRUCTIONS)</w:t>
            </w:r>
          </w:p>
        </w:tc>
        <w:tc>
          <w:tcPr>
            <w:tcW w:w="5320" w:type="dxa"/>
            <w:vAlign w:val="bottom"/>
          </w:tcPr>
          <w:p>
            <w:pPr>
              <w:ind w:left="100"/>
              <w:spacing w:after="0"/>
              <w:rPr>
                <w:sz w:val="20"/>
                <w:szCs w:val="20"/>
                <w:color w:val="auto"/>
              </w:rPr>
            </w:pPr>
            <w:r>
              <w:rPr>
                <w:rFonts w:ascii="Arial" w:cs="Arial" w:eastAsia="Arial" w:hAnsi="Arial"/>
                <w:sz w:val="18"/>
                <w:szCs w:val="18"/>
                <w:b w:val="1"/>
                <w:bCs w:val="1"/>
                <w:color w:val="auto"/>
              </w:rPr>
              <w:t>(a)</w:t>
            </w:r>
          </w:p>
        </w:tc>
      </w:tr>
    </w:tbl>
    <w:p>
      <w:pPr>
        <w:spacing w:after="0" w:line="395"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520" w:hanging="302"/>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520" w:hanging="302"/>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520" w:hanging="302"/>
        <w:spacing w:after="0"/>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disclosure of legal proceedings is required pursuant to items</w:t>
      </w:r>
      <w:r>
        <w:rPr>
          <w:rFonts w:ascii="Arial" w:cs="Arial" w:eastAsia="Arial" w:hAnsi="Arial"/>
          <w:sz w:val="18"/>
          <w:szCs w:val="18"/>
          <w:b w:val="1"/>
          <w:bCs w:val="1"/>
          <w:color w:val="auto"/>
        </w:rPr>
        <w:t xml:space="preserve"> 2 (d)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hanging="302"/>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 or place of organization</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Wyoming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62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eneficially</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wned</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ach</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eporting</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erson</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146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620" w:type="dxa"/>
            <w:vAlign w:val="bottom"/>
            <w:vMerge w:val="restart"/>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dispositive power</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ith</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160" w:type="dxa"/>
            <w:vAlign w:val="bottom"/>
            <w:vMerge w:val="continue"/>
          </w:tcPr>
          <w:p>
            <w:pPr>
              <w:spacing w:after="0"/>
              <w:rPr>
                <w:sz w:val="13"/>
                <w:szCs w:val="13"/>
                <w:color w:val="auto"/>
              </w:rPr>
            </w:pPr>
          </w:p>
        </w:tc>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520" w:right="5900" w:hanging="512"/>
        <w:spacing w:after="0" w:line="386" w:lineRule="auto"/>
        <w:tabs>
          <w:tab w:leader="none" w:pos="5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ggregate amount beneficially owned by each reporting person</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p>
    <w:p>
      <w:pPr>
        <w:spacing w:after="0" w:line="200" w:lineRule="exact"/>
        <w:rPr>
          <w:rFonts w:ascii="Arial" w:cs="Arial" w:eastAsia="Arial" w:hAnsi="Arial"/>
          <w:sz w:val="18"/>
          <w:szCs w:val="18"/>
          <w:b w:val="1"/>
          <w:bCs w:val="1"/>
          <w:color w:val="auto"/>
        </w:rPr>
      </w:pPr>
    </w:p>
    <w:p>
      <w:pPr>
        <w:spacing w:after="0" w:line="35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the aggregate amount in row</w:t>
      </w:r>
      <w:r>
        <w:rPr>
          <w:rFonts w:ascii="Arial" w:cs="Arial" w:eastAsia="Arial" w:hAnsi="Arial"/>
          <w:sz w:val="18"/>
          <w:szCs w:val="18"/>
          <w:b w:val="1"/>
          <w:bCs w:val="1"/>
          <w:color w:val="auto"/>
        </w:rPr>
        <w:t xml:space="preserve"> (11) </w:t>
      </w:r>
      <w:r>
        <w:rPr>
          <w:rFonts w:ascii="Arial" w:cs="Arial" w:eastAsia="Arial" w:hAnsi="Arial"/>
          <w:sz w:val="12"/>
          <w:szCs w:val="12"/>
          <w:b w:val="1"/>
          <w:bCs w:val="1"/>
          <w:color w:val="auto"/>
        </w:rPr>
        <w:t>excludes certain shares</w:t>
      </w:r>
    </w:p>
    <w:p>
      <w:pPr>
        <w:spacing w:after="0" w:line="20" w:lineRule="exact"/>
        <w:rPr>
          <w:rFonts w:ascii="Arial" w:cs="Arial" w:eastAsia="Arial" w:hAnsi="Arial"/>
          <w:sz w:val="18"/>
          <w:szCs w:val="18"/>
          <w:b w:val="1"/>
          <w:bCs w:val="1"/>
          <w:color w:val="auto"/>
        </w:rPr>
      </w:pPr>
    </w:p>
    <w:p>
      <w:pPr>
        <w:ind w:left="520" w:hanging="512"/>
        <w:spacing w:after="0" w:line="186" w:lineRule="auto"/>
        <w:tabs>
          <w:tab w:leader="none" w:pos="520" w:val="left"/>
        </w:tabs>
        <w:numPr>
          <w:ilvl w:val="0"/>
          <w:numId w:val="28"/>
        </w:numPr>
        <w:rPr>
          <w:rFonts w:ascii="Arial" w:cs="Arial" w:eastAsia="Arial" w:hAnsi="Arial"/>
          <w:sz w:val="19"/>
          <w:szCs w:val="19"/>
          <w:b w:val="1"/>
          <w:bCs w:val="1"/>
          <w:color w:val="auto"/>
          <w:vertAlign w:val="subscript"/>
        </w:rPr>
      </w:pPr>
      <w:r>
        <w:rPr>
          <w:rFonts w:ascii="Arial" w:cs="Arial" w:eastAsia="Arial" w:hAnsi="Arial"/>
          <w:sz w:val="11"/>
          <w:szCs w:val="11"/>
          <w:b w:val="1"/>
          <w:bCs w:val="1"/>
          <w:color w:val="auto"/>
        </w:rPr>
        <w:t>(SEE INSTRUCTIONS) X</w:t>
      </w:r>
    </w:p>
    <w:p>
      <w:pPr>
        <w:spacing w:after="0" w:line="200" w:lineRule="exact"/>
        <w:rPr>
          <w:rFonts w:ascii="Arial" w:cs="Arial" w:eastAsia="Arial" w:hAnsi="Arial"/>
          <w:sz w:val="19"/>
          <w:szCs w:val="19"/>
          <w:b w:val="1"/>
          <w:bCs w:val="1"/>
          <w:color w:val="auto"/>
          <w:vertAlign w:val="subscript"/>
        </w:rPr>
      </w:pPr>
    </w:p>
    <w:p>
      <w:pPr>
        <w:spacing w:after="0" w:line="200" w:lineRule="exact"/>
        <w:rPr>
          <w:rFonts w:ascii="Arial" w:cs="Arial" w:eastAsia="Arial" w:hAnsi="Arial"/>
          <w:sz w:val="19"/>
          <w:szCs w:val="19"/>
          <w:b w:val="1"/>
          <w:bCs w:val="1"/>
          <w:color w:val="auto"/>
          <w:vertAlign w:val="subscript"/>
        </w:rPr>
      </w:pPr>
    </w:p>
    <w:p>
      <w:pPr>
        <w:spacing w:after="0" w:line="224" w:lineRule="exact"/>
        <w:rPr>
          <w:rFonts w:ascii="Arial" w:cs="Arial" w:eastAsia="Arial" w:hAnsi="Arial"/>
          <w:sz w:val="19"/>
          <w:szCs w:val="19"/>
          <w:b w:val="1"/>
          <w:bCs w:val="1"/>
          <w:color w:val="auto"/>
          <w:vertAlign w:val="subscript"/>
        </w:rPr>
      </w:pPr>
    </w:p>
    <w:p>
      <w:pPr>
        <w:ind w:left="520" w:hanging="512"/>
        <w:spacing w:after="0"/>
        <w:tabs>
          <w:tab w:leader="none" w:pos="520" w:val="left"/>
        </w:tabs>
        <w:numPr>
          <w:ilvl w:val="0"/>
          <w:numId w:val="28"/>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 represented by amount in row</w:t>
      </w:r>
      <w:r>
        <w:rPr>
          <w:rFonts w:ascii="Arial" w:cs="Arial" w:eastAsia="Arial" w:hAnsi="Arial"/>
          <w:sz w:val="18"/>
          <w:szCs w:val="18"/>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-865505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5"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ype of reporting person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(SEE INSTRUCTIONS)</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677864100</w:t>
      </w:r>
    </w:p>
    <w:p>
      <w:pPr>
        <w:spacing w:after="0" w:line="14" w:lineRule="exact"/>
        <w:rPr>
          <w:sz w:val="20"/>
          <w:szCs w:val="20"/>
          <w:color w:val="auto"/>
        </w:rPr>
      </w:pPr>
    </w:p>
    <w:p>
      <w:pPr>
        <w:ind w:left="520" w:hanging="302"/>
        <w:spacing w:after="0"/>
        <w:tabs>
          <w:tab w:leader="none" w:pos="5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ames of reporting persons</w:t>
      </w:r>
    </w:p>
    <w:p>
      <w:pPr>
        <w:spacing w:after="0" w:line="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I.R.S. </w:t>
      </w:r>
      <w:r>
        <w:rPr>
          <w:rFonts w:ascii="Arial" w:cs="Arial" w:eastAsia="Arial" w:hAnsi="Arial"/>
          <w:sz w:val="12"/>
          <w:szCs w:val="12"/>
          <w:b w:val="1"/>
          <w:bCs w:val="1"/>
          <w:color w:val="auto"/>
        </w:rPr>
        <w:t>identification nos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of above persons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entities only</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GAMCO Investors, Inc.</w:t>
            </w:r>
          </w:p>
        </w:tc>
        <w:tc>
          <w:tcPr>
            <w:tcW w:w="532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I.D. N</w:t>
            </w:r>
            <w:r>
              <w:rPr>
                <w:rFonts w:ascii="Arial" w:cs="Arial" w:eastAsia="Arial" w:hAnsi="Arial"/>
                <w:sz w:val="12"/>
                <w:szCs w:val="12"/>
                <w:b w:val="1"/>
                <w:bCs w:val="1"/>
                <w:color w:val="auto"/>
              </w:rPr>
              <w:t>o</w:t>
            </w:r>
            <w:r>
              <w:rPr>
                <w:rFonts w:ascii="Arial" w:cs="Arial" w:eastAsia="Arial" w:hAnsi="Arial"/>
                <w:sz w:val="18"/>
                <w:szCs w:val="18"/>
                <w:b w:val="1"/>
                <w:bCs w:val="1"/>
                <w:color w:val="auto"/>
              </w:rPr>
              <w:t>. 13-4007862</w:t>
            </w:r>
          </w:p>
        </w:tc>
      </w:tr>
      <w:tr>
        <w:trPr>
          <w:trHeight w:val="234"/>
        </w:trPr>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5500" w:type="dxa"/>
            <w:vAlign w:val="bottom"/>
          </w:tcPr>
          <w:p>
            <w:pPr>
              <w:ind w:left="1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the appropriate box if a member of a group</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(SEE INSTRUCTIONS)</w:t>
            </w:r>
          </w:p>
        </w:tc>
        <w:tc>
          <w:tcPr>
            <w:tcW w:w="5320" w:type="dxa"/>
            <w:vAlign w:val="bottom"/>
          </w:tcPr>
          <w:p>
            <w:pPr>
              <w:ind w:left="100"/>
              <w:spacing w:after="0"/>
              <w:rPr>
                <w:sz w:val="20"/>
                <w:szCs w:val="20"/>
                <w:color w:val="auto"/>
              </w:rPr>
            </w:pPr>
            <w:r>
              <w:rPr>
                <w:rFonts w:ascii="Arial" w:cs="Arial" w:eastAsia="Arial" w:hAnsi="Arial"/>
                <w:sz w:val="18"/>
                <w:szCs w:val="18"/>
                <w:b w:val="1"/>
                <w:bCs w:val="1"/>
                <w:color w:val="auto"/>
              </w:rPr>
              <w:t>(a)</w:t>
            </w:r>
          </w:p>
        </w:tc>
      </w:tr>
      <w:tr>
        <w:trPr>
          <w:trHeight w:val="630"/>
        </w:trPr>
        <w:tc>
          <w:tcPr>
            <w:tcW w:w="4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320" w:type="dxa"/>
            <w:vAlign w:val="bottom"/>
          </w:tcPr>
          <w:p>
            <w:pPr>
              <w:ind w:left="1080"/>
              <w:spacing w:after="0"/>
              <w:rPr>
                <w:sz w:val="20"/>
                <w:szCs w:val="20"/>
                <w:color w:val="auto"/>
              </w:rPr>
            </w:pPr>
            <w:r>
              <w:rPr>
                <w:rFonts w:ascii="Arial" w:cs="Arial" w:eastAsia="Arial" w:hAnsi="Arial"/>
                <w:sz w:val="18"/>
                <w:szCs w:val="18"/>
                <w:b w:val="1"/>
                <w:bCs w:val="1"/>
                <w:color w:val="auto"/>
              </w:rPr>
              <w:t>(b)</w:t>
            </w:r>
          </w:p>
        </w:tc>
      </w:tr>
      <w:tr>
        <w:trPr>
          <w:trHeight w:val="223"/>
        </w:trPr>
        <w:tc>
          <w:tcPr>
            <w:tcW w:w="42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5320" w:type="dxa"/>
            <w:vAlign w:val="bottom"/>
            <w:tcBorders>
              <w:bottom w:val="single" w:sz="8" w:color="auto"/>
            </w:tcBorders>
          </w:tcPr>
          <w:p>
            <w:pPr>
              <w:spacing w:after="0"/>
              <w:rPr>
                <w:sz w:val="19"/>
                <w:szCs w:val="19"/>
                <w:color w:val="auto"/>
              </w:rPr>
            </w:pPr>
          </w:p>
        </w:tc>
      </w:tr>
      <w:tr>
        <w:trPr>
          <w:trHeight w:val="234"/>
        </w:trPr>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5500" w:type="dxa"/>
            <w:vAlign w:val="bottom"/>
          </w:tcPr>
          <w:p>
            <w:pPr>
              <w:ind w:left="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 use only</w:t>
            </w:r>
          </w:p>
        </w:tc>
        <w:tc>
          <w:tcPr>
            <w:tcW w:w="5320" w:type="dxa"/>
            <w:vAlign w:val="bottom"/>
          </w:tcPr>
          <w:p>
            <w:pPr>
              <w:spacing w:after="0"/>
              <w:rPr>
                <w:sz w:val="20"/>
                <w:szCs w:val="20"/>
                <w:color w:val="auto"/>
              </w:rPr>
            </w:pPr>
          </w:p>
        </w:tc>
      </w:tr>
      <w:tr>
        <w:trPr>
          <w:trHeight w:val="205"/>
        </w:trPr>
        <w:tc>
          <w:tcPr>
            <w:tcW w:w="42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tcPr>
          <w:p>
            <w:pPr>
              <w:spacing w:after="0"/>
              <w:rPr>
                <w:sz w:val="17"/>
                <w:szCs w:val="17"/>
                <w:color w:val="auto"/>
              </w:rPr>
            </w:pPr>
          </w:p>
        </w:tc>
      </w:tr>
      <w:tr>
        <w:trPr>
          <w:trHeight w:val="198"/>
        </w:trPr>
        <w:tc>
          <w:tcPr>
            <w:tcW w:w="4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4</w:t>
            </w:r>
          </w:p>
        </w:tc>
        <w:tc>
          <w:tcPr>
            <w:tcW w:w="5500" w:type="dxa"/>
            <w:vAlign w:val="bottom"/>
          </w:tcPr>
          <w:p>
            <w:pPr>
              <w:ind w:left="100"/>
              <w:spacing w:after="0" w:line="198" w:lineRule="exact"/>
              <w:rPr>
                <w:sz w:val="20"/>
                <w:szCs w:val="20"/>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tc>
        <w:tc>
          <w:tcPr>
            <w:tcW w:w="532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5500" w:type="dxa"/>
            <w:vAlign w:val="bottom"/>
          </w:tcPr>
          <w:p>
            <w:pPr>
              <w:ind w:left="100"/>
              <w:spacing w:after="0"/>
              <w:rPr>
                <w:sz w:val="20"/>
                <w:szCs w:val="20"/>
                <w:color w:val="auto"/>
              </w:rPr>
            </w:pPr>
            <w:r>
              <w:rPr>
                <w:rFonts w:ascii="Arial" w:cs="Arial" w:eastAsia="Arial" w:hAnsi="Arial"/>
                <w:sz w:val="18"/>
                <w:szCs w:val="18"/>
                <w:b w:val="1"/>
                <w:bCs w:val="1"/>
                <w:color w:val="auto"/>
              </w:rPr>
              <w:t>None</w:t>
            </w:r>
          </w:p>
        </w:tc>
        <w:tc>
          <w:tcPr>
            <w:tcW w:w="5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520" w:hanging="302"/>
        <w:spacing w:after="0"/>
        <w:tabs>
          <w:tab w:leader="none" w:pos="5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disclosure of legal proceedings is required pursuant to items</w:t>
      </w:r>
      <w:r>
        <w:rPr>
          <w:rFonts w:ascii="Arial" w:cs="Arial" w:eastAsia="Arial" w:hAnsi="Arial"/>
          <w:sz w:val="18"/>
          <w:szCs w:val="18"/>
          <w:b w:val="1"/>
          <w:bCs w:val="1"/>
          <w:color w:val="auto"/>
        </w:rPr>
        <w:t xml:space="preserve"> 2 (d)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hanging="302"/>
        <w:spacing w:after="0"/>
        <w:tabs>
          <w:tab w:leader="none" w:pos="5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 or place of organization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Delaware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62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r>
              <w:rPr>
                <w:rFonts w:ascii="Arial" w:cs="Arial" w:eastAsia="Arial" w:hAnsi="Arial"/>
                <w:sz w:val="18"/>
                <w:szCs w:val="18"/>
                <w:b w:val="1"/>
                <w:bCs w:val="1"/>
                <w:color w:val="auto"/>
              </w:rPr>
              <w:t xml:space="preserve">  (Item 5)</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eneficially</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wned</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ach</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eporting</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r>
              <w:rPr>
                <w:rFonts w:ascii="Arial" w:cs="Arial" w:eastAsia="Arial" w:hAnsi="Arial"/>
                <w:sz w:val="18"/>
                <w:szCs w:val="18"/>
                <w:b w:val="1"/>
                <w:bCs w:val="1"/>
                <w:color w:val="auto"/>
              </w:rPr>
              <w:t xml:space="preserve">  (Item 5)</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erson</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146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620" w:type="dxa"/>
            <w:vAlign w:val="bottom"/>
            <w:vMerge w:val="restart"/>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dispositive power</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ith</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160" w:type="dxa"/>
            <w:vAlign w:val="bottom"/>
            <w:vMerge w:val="continue"/>
          </w:tcPr>
          <w:p>
            <w:pPr>
              <w:spacing w:after="0"/>
              <w:rPr>
                <w:sz w:val="13"/>
                <w:szCs w:val="13"/>
                <w:color w:val="auto"/>
              </w:rPr>
            </w:pPr>
          </w:p>
        </w:tc>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520" w:hanging="512"/>
        <w:spacing w:after="0"/>
        <w:tabs>
          <w:tab w:leader="none" w:pos="5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ggregate amount beneficially owned by each reporting person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r>
        <w:rPr>
          <w:rFonts w:ascii="Arial" w:cs="Arial" w:eastAsia="Arial" w:hAnsi="Arial"/>
          <w:sz w:val="18"/>
          <w:szCs w:val="18"/>
          <w:b w:val="1"/>
          <w:bCs w:val="1"/>
          <w:color w:val="auto"/>
        </w:rPr>
        <w:t xml:space="preserv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the aggregate amount in row</w:t>
      </w:r>
      <w:r>
        <w:rPr>
          <w:rFonts w:ascii="Arial" w:cs="Arial" w:eastAsia="Arial" w:hAnsi="Arial"/>
          <w:sz w:val="18"/>
          <w:szCs w:val="18"/>
          <w:b w:val="1"/>
          <w:bCs w:val="1"/>
          <w:color w:val="auto"/>
        </w:rPr>
        <w:t xml:space="preserve"> (11) </w:t>
      </w:r>
      <w:r>
        <w:rPr>
          <w:rFonts w:ascii="Arial" w:cs="Arial" w:eastAsia="Arial" w:hAnsi="Arial"/>
          <w:sz w:val="12"/>
          <w:szCs w:val="12"/>
          <w:b w:val="1"/>
          <w:bCs w:val="1"/>
          <w:color w:val="auto"/>
        </w:rPr>
        <w:t>excludes certain shares</w:t>
      </w:r>
    </w:p>
    <w:p>
      <w:pPr>
        <w:ind w:left="520" w:hanging="512"/>
        <w:spacing w:after="0" w:line="181" w:lineRule="auto"/>
        <w:tabs>
          <w:tab w:leader="none" w:pos="520" w:val="left"/>
        </w:tabs>
        <w:numPr>
          <w:ilvl w:val="0"/>
          <w:numId w:val="34"/>
        </w:numPr>
        <w:rPr>
          <w:rFonts w:ascii="Arial" w:cs="Arial" w:eastAsia="Arial" w:hAnsi="Arial"/>
          <w:sz w:val="22"/>
          <w:szCs w:val="22"/>
          <w:b w:val="1"/>
          <w:bCs w:val="1"/>
          <w:color w:val="auto"/>
          <w:vertAlign w:val="subscript"/>
        </w:rPr>
      </w:pPr>
      <w:r>
        <w:rPr>
          <w:rFonts w:ascii="Arial" w:cs="Arial" w:eastAsia="Arial" w:hAnsi="Arial"/>
          <w:sz w:val="12"/>
          <w:szCs w:val="12"/>
          <w:b w:val="1"/>
          <w:bCs w:val="1"/>
          <w:color w:val="auto"/>
        </w:rPr>
        <w:t>(SEE INSTRUCTIONS) X</w:t>
      </w:r>
    </w:p>
    <w:p>
      <w:pPr>
        <w:spacing w:after="0" w:line="200" w:lineRule="exact"/>
        <w:rPr>
          <w:rFonts w:ascii="Arial" w:cs="Arial" w:eastAsia="Arial" w:hAnsi="Arial"/>
          <w:sz w:val="22"/>
          <w:szCs w:val="22"/>
          <w:b w:val="1"/>
          <w:bCs w:val="1"/>
          <w:color w:val="auto"/>
          <w:vertAlign w:val="subscript"/>
        </w:rPr>
      </w:pPr>
    </w:p>
    <w:p>
      <w:pPr>
        <w:spacing w:after="0" w:line="200" w:lineRule="exact"/>
        <w:rPr>
          <w:rFonts w:ascii="Arial" w:cs="Arial" w:eastAsia="Arial" w:hAnsi="Arial"/>
          <w:sz w:val="22"/>
          <w:szCs w:val="22"/>
          <w:b w:val="1"/>
          <w:bCs w:val="1"/>
          <w:color w:val="auto"/>
          <w:vertAlign w:val="subscript"/>
        </w:rPr>
      </w:pPr>
    </w:p>
    <w:p>
      <w:pPr>
        <w:spacing w:after="0" w:line="223" w:lineRule="exact"/>
        <w:rPr>
          <w:rFonts w:ascii="Arial" w:cs="Arial" w:eastAsia="Arial" w:hAnsi="Arial"/>
          <w:sz w:val="22"/>
          <w:szCs w:val="22"/>
          <w:b w:val="1"/>
          <w:bCs w:val="1"/>
          <w:color w:val="auto"/>
          <w:vertAlign w:val="subscript"/>
        </w:rPr>
      </w:pPr>
    </w:p>
    <w:p>
      <w:pPr>
        <w:ind w:left="520" w:hanging="512"/>
        <w:spacing w:after="0"/>
        <w:tabs>
          <w:tab w:leader="none" w:pos="520" w:val="left"/>
        </w:tabs>
        <w:numPr>
          <w:ilvl w:val="0"/>
          <w:numId w:val="34"/>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 represented by amount in row</w:t>
      </w:r>
      <w:r>
        <w:rPr>
          <w:rFonts w:ascii="Arial" w:cs="Arial" w:eastAsia="Arial" w:hAnsi="Arial"/>
          <w:sz w:val="18"/>
          <w:szCs w:val="18"/>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3"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ype of reporting person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(SEE INSTRUCTIONS)</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677864100</w:t>
      </w:r>
    </w:p>
    <w:p>
      <w:pPr>
        <w:spacing w:after="0" w:line="13" w:lineRule="exact"/>
        <w:rPr>
          <w:sz w:val="20"/>
          <w:szCs w:val="20"/>
          <w:color w:val="auto"/>
        </w:rPr>
      </w:pPr>
    </w:p>
    <w:p>
      <w:pPr>
        <w:ind w:left="520" w:hanging="302"/>
        <w:spacing w:after="0"/>
        <w:tabs>
          <w:tab w:leader="none" w:pos="5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ames of reporting persons</w:t>
      </w:r>
    </w:p>
    <w:p>
      <w:pPr>
        <w:spacing w:after="0" w:line="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I.R.S. </w:t>
      </w:r>
      <w:r>
        <w:rPr>
          <w:rFonts w:ascii="Arial" w:cs="Arial" w:eastAsia="Arial" w:hAnsi="Arial"/>
          <w:sz w:val="12"/>
          <w:szCs w:val="12"/>
          <w:b w:val="1"/>
          <w:bCs w:val="1"/>
          <w:color w:val="auto"/>
        </w:rPr>
        <w:t>identification nos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of above persons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entities only</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Associated Capital Group, Inc.</w:t>
            </w:r>
          </w:p>
        </w:tc>
        <w:tc>
          <w:tcPr>
            <w:tcW w:w="4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I.D. N</w:t>
            </w:r>
            <w:r>
              <w:rPr>
                <w:rFonts w:ascii="Arial" w:cs="Arial" w:eastAsia="Arial" w:hAnsi="Arial"/>
                <w:sz w:val="12"/>
                <w:szCs w:val="12"/>
                <w:b w:val="1"/>
                <w:bCs w:val="1"/>
                <w:color w:val="auto"/>
              </w:rPr>
              <w:t>o</w:t>
            </w:r>
            <w:r>
              <w:rPr>
                <w:rFonts w:ascii="Arial" w:cs="Arial" w:eastAsia="Arial" w:hAnsi="Arial"/>
                <w:sz w:val="18"/>
                <w:szCs w:val="18"/>
                <w:b w:val="1"/>
                <w:bCs w:val="1"/>
                <w:color w:val="auto"/>
              </w:rPr>
              <w:t>. 47-3965991</w:t>
            </w:r>
          </w:p>
        </w:tc>
      </w:tr>
      <w:tr>
        <w:trPr>
          <w:trHeight w:val="234"/>
        </w:trPr>
        <w:tc>
          <w:tcPr>
            <w:tcW w:w="420" w:type="dxa"/>
            <w:vAlign w:val="bottom"/>
          </w:tcPr>
          <w:p>
            <w:pPr>
              <w:spacing w:after="0"/>
              <w:rPr>
                <w:sz w:val="20"/>
                <w:szCs w:val="20"/>
                <w:color w:val="auto"/>
              </w:rPr>
            </w:pPr>
          </w:p>
        </w:tc>
        <w:tc>
          <w:tcPr>
            <w:tcW w:w="5880" w:type="dxa"/>
            <w:vAlign w:val="bottom"/>
          </w:tcPr>
          <w:p>
            <w:pPr>
              <w:ind w:left="1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the appropriate box if a member of a group</w:t>
            </w:r>
            <w:r>
              <w:rPr>
                <w:rFonts w:ascii="Arial" w:cs="Arial" w:eastAsia="Arial" w:hAnsi="Arial"/>
                <w:sz w:val="18"/>
                <w:szCs w:val="18"/>
                <w:b w:val="1"/>
                <w:bCs w:val="1"/>
                <w:color w:val="auto"/>
              </w:rPr>
              <w:t xml:space="preserve"> (SEE INSTRUCTIONS)</w:t>
            </w:r>
          </w:p>
        </w:tc>
        <w:tc>
          <w:tcPr>
            <w:tcW w:w="4940" w:type="dxa"/>
            <w:vAlign w:val="bottom"/>
          </w:tcPr>
          <w:p>
            <w:pPr>
              <w:ind w:left="100"/>
              <w:spacing w:after="0"/>
              <w:rPr>
                <w:sz w:val="20"/>
                <w:szCs w:val="20"/>
                <w:color w:val="auto"/>
              </w:rPr>
            </w:pPr>
            <w:r>
              <w:rPr>
                <w:rFonts w:ascii="Arial" w:cs="Arial" w:eastAsia="Arial" w:hAnsi="Arial"/>
                <w:sz w:val="18"/>
                <w:szCs w:val="18"/>
                <w:b w:val="1"/>
                <w:bCs w:val="1"/>
                <w:color w:val="auto"/>
              </w:rPr>
              <w:t>(a)</w:t>
            </w:r>
          </w:p>
        </w:tc>
      </w:tr>
      <w:tr>
        <w:trPr>
          <w:trHeight w:val="637"/>
        </w:trPr>
        <w:tc>
          <w:tcPr>
            <w:tcW w:w="4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(b)</w:t>
            </w:r>
          </w:p>
        </w:tc>
      </w:tr>
      <w:tr>
        <w:trPr>
          <w:trHeight w:val="234"/>
        </w:trPr>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5880" w:type="dxa"/>
            <w:vAlign w:val="bottom"/>
          </w:tcPr>
          <w:p>
            <w:pPr>
              <w:ind w:left="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 use only</w:t>
            </w:r>
          </w:p>
        </w:tc>
        <w:tc>
          <w:tcPr>
            <w:tcW w:w="4940" w:type="dxa"/>
            <w:vAlign w:val="bottom"/>
          </w:tcPr>
          <w:p>
            <w:pPr>
              <w:spacing w:after="0"/>
              <w:rPr>
                <w:sz w:val="20"/>
                <w:szCs w:val="20"/>
                <w:color w:val="auto"/>
              </w:rPr>
            </w:pPr>
          </w:p>
        </w:tc>
      </w:tr>
      <w:tr>
        <w:trPr>
          <w:trHeight w:val="205"/>
        </w:trPr>
        <w:tc>
          <w:tcPr>
            <w:tcW w:w="420" w:type="dxa"/>
            <w:vAlign w:val="bottom"/>
            <w:tcBorders>
              <w:bottom w:val="single" w:sz="8" w:color="auto"/>
            </w:tcBorders>
          </w:tcPr>
          <w:p>
            <w:pPr>
              <w:spacing w:after="0"/>
              <w:rPr>
                <w:sz w:val="17"/>
                <w:szCs w:val="17"/>
                <w:color w:val="auto"/>
              </w:rPr>
            </w:pPr>
          </w:p>
        </w:tc>
        <w:tc>
          <w:tcPr>
            <w:tcW w:w="588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r>
      <w:tr>
        <w:trPr>
          <w:trHeight w:val="198"/>
        </w:trPr>
        <w:tc>
          <w:tcPr>
            <w:tcW w:w="4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4</w:t>
            </w:r>
          </w:p>
        </w:tc>
        <w:tc>
          <w:tcPr>
            <w:tcW w:w="5880" w:type="dxa"/>
            <w:vAlign w:val="bottom"/>
          </w:tcPr>
          <w:p>
            <w:pPr>
              <w:ind w:left="100"/>
              <w:spacing w:after="0" w:line="198" w:lineRule="exact"/>
              <w:rPr>
                <w:sz w:val="20"/>
                <w:szCs w:val="20"/>
                <w:color w:val="auto"/>
              </w:rPr>
            </w:pPr>
            <w:r>
              <w:rPr>
                <w:rFonts w:ascii="Arial" w:cs="Arial" w:eastAsia="Arial" w:hAnsi="Arial"/>
                <w:sz w:val="18"/>
                <w:szCs w:val="18"/>
                <w:b w:val="1"/>
                <w:bCs w:val="1"/>
                <w:color w:val="auto"/>
              </w:rPr>
              <w:t>Source of funds (SEE INSTRUCTIONS)</w:t>
            </w:r>
          </w:p>
        </w:tc>
        <w:tc>
          <w:tcPr>
            <w:tcW w:w="494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5880" w:type="dxa"/>
            <w:vAlign w:val="bottom"/>
          </w:tcPr>
          <w:p>
            <w:pPr>
              <w:ind w:left="100"/>
              <w:spacing w:after="0"/>
              <w:rPr>
                <w:sz w:val="20"/>
                <w:szCs w:val="20"/>
                <w:color w:val="auto"/>
              </w:rPr>
            </w:pPr>
            <w:r>
              <w:rPr>
                <w:rFonts w:ascii="Arial" w:cs="Arial" w:eastAsia="Arial" w:hAnsi="Arial"/>
                <w:sz w:val="18"/>
                <w:szCs w:val="18"/>
                <w:b w:val="1"/>
                <w:bCs w:val="1"/>
                <w:color w:val="auto"/>
              </w:rPr>
              <w:t>None</w:t>
            </w:r>
          </w:p>
        </w:tc>
        <w:tc>
          <w:tcPr>
            <w:tcW w:w="4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520" w:hanging="302"/>
        <w:spacing w:after="0"/>
        <w:tabs>
          <w:tab w:leader="none" w:pos="5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disclosure of legal proceedings is required pursuant to items</w:t>
      </w:r>
      <w:r>
        <w:rPr>
          <w:rFonts w:ascii="Arial" w:cs="Arial" w:eastAsia="Arial" w:hAnsi="Arial"/>
          <w:sz w:val="18"/>
          <w:szCs w:val="18"/>
          <w:b w:val="1"/>
          <w:bCs w:val="1"/>
          <w:color w:val="auto"/>
        </w:rPr>
        <w:t xml:space="preserve"> 2 (d)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hanging="302"/>
        <w:spacing w:after="0"/>
        <w:tabs>
          <w:tab w:leader="none" w:pos="5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 or place of organization</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Delaware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62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r>
              <w:rPr>
                <w:rFonts w:ascii="Arial" w:cs="Arial" w:eastAsia="Arial" w:hAnsi="Arial"/>
                <w:sz w:val="18"/>
                <w:szCs w:val="18"/>
                <w:b w:val="1"/>
                <w:bCs w:val="1"/>
                <w:color w:val="auto"/>
              </w:rPr>
              <w:t xml:space="preserve">  (Item 5)</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eneficially</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wned</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ach</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eporting</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r>
              <w:rPr>
                <w:rFonts w:ascii="Arial" w:cs="Arial" w:eastAsia="Arial" w:hAnsi="Arial"/>
                <w:sz w:val="18"/>
                <w:szCs w:val="18"/>
                <w:b w:val="1"/>
                <w:bCs w:val="1"/>
                <w:color w:val="auto"/>
              </w:rPr>
              <w:t xml:space="preserve">  (Item 5)</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erson</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146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620" w:type="dxa"/>
            <w:vAlign w:val="bottom"/>
            <w:vMerge w:val="restart"/>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dispositive power</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ith</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160" w:type="dxa"/>
            <w:vAlign w:val="bottom"/>
            <w:vMerge w:val="continue"/>
          </w:tcPr>
          <w:p>
            <w:pPr>
              <w:spacing w:after="0"/>
              <w:rPr>
                <w:sz w:val="13"/>
                <w:szCs w:val="13"/>
                <w:color w:val="auto"/>
              </w:rPr>
            </w:pPr>
          </w:p>
        </w:tc>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520" w:hanging="512"/>
        <w:spacing w:after="0"/>
        <w:tabs>
          <w:tab w:leader="none" w:pos="5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ggregate amount beneficially owned by each reporting person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r>
        <w:rPr>
          <w:rFonts w:ascii="Arial" w:cs="Arial" w:eastAsia="Arial" w:hAnsi="Arial"/>
          <w:sz w:val="18"/>
          <w:szCs w:val="18"/>
          <w:b w:val="1"/>
          <w:bCs w:val="1"/>
          <w:color w:val="auto"/>
        </w:rPr>
        <w:t xml:space="preserv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the aggregate amount in row</w:t>
      </w:r>
      <w:r>
        <w:rPr>
          <w:rFonts w:ascii="Arial" w:cs="Arial" w:eastAsia="Arial" w:hAnsi="Arial"/>
          <w:sz w:val="18"/>
          <w:szCs w:val="18"/>
          <w:b w:val="1"/>
          <w:bCs w:val="1"/>
          <w:color w:val="auto"/>
        </w:rPr>
        <w:t xml:space="preserve"> (11) </w:t>
      </w:r>
      <w:r>
        <w:rPr>
          <w:rFonts w:ascii="Arial" w:cs="Arial" w:eastAsia="Arial" w:hAnsi="Arial"/>
          <w:sz w:val="12"/>
          <w:szCs w:val="12"/>
          <w:b w:val="1"/>
          <w:bCs w:val="1"/>
          <w:color w:val="auto"/>
        </w:rPr>
        <w:t>excludes certain shares</w:t>
      </w:r>
    </w:p>
    <w:p>
      <w:pPr>
        <w:spacing w:after="0" w:line="27"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(SEE INSTRUCTIONS) X</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2" w:lineRule="exact"/>
        <w:rPr>
          <w:rFonts w:ascii="Arial" w:cs="Arial" w:eastAsia="Arial" w:hAnsi="Arial"/>
          <w:sz w:val="18"/>
          <w:szCs w:val="18"/>
          <w:b w:val="1"/>
          <w:bCs w:val="1"/>
          <w:color w:val="auto"/>
        </w:rPr>
      </w:pPr>
    </w:p>
    <w:p>
      <w:pPr>
        <w:ind w:left="520" w:hanging="512"/>
        <w:spacing w:after="0"/>
        <w:tabs>
          <w:tab w:leader="none" w:pos="5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 represented by amount in row</w:t>
      </w:r>
      <w:r>
        <w:rPr>
          <w:rFonts w:ascii="Arial" w:cs="Arial" w:eastAsia="Arial" w:hAnsi="Arial"/>
          <w:sz w:val="18"/>
          <w:szCs w:val="18"/>
          <w:b w:val="1"/>
          <w:bCs w:val="1"/>
          <w:color w:val="auto"/>
        </w:rPr>
        <w:t xml:space="preserve"> (11)</w:t>
      </w:r>
    </w:p>
    <w:p>
      <w:pPr>
        <w:spacing w:after="0" w:line="2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0.00%</w:t>
      </w:r>
    </w:p>
    <w:p>
      <w:pPr>
        <w:spacing w:after="0" w:line="252" w:lineRule="exact"/>
        <w:rPr>
          <w:rFonts w:ascii="Arial" w:cs="Arial" w:eastAsia="Arial" w:hAnsi="Arial"/>
          <w:sz w:val="18"/>
          <w:szCs w:val="18"/>
          <w:b w:val="1"/>
          <w:bCs w:val="1"/>
          <w:color w:val="auto"/>
        </w:rPr>
      </w:pPr>
    </w:p>
    <w:p>
      <w:pPr>
        <w:ind w:left="520" w:hanging="512"/>
        <w:spacing w:after="0"/>
        <w:tabs>
          <w:tab w:leader="none" w:pos="5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ype of reporting person</w:t>
      </w:r>
      <w:r>
        <w:rPr>
          <w:rFonts w:ascii="Arial" w:cs="Arial" w:eastAsia="Arial" w:hAnsi="Arial"/>
          <w:sz w:val="18"/>
          <w:szCs w:val="18"/>
          <w:b w:val="1"/>
          <w:bCs w:val="1"/>
          <w:color w:val="auto"/>
        </w:rPr>
        <w:t xml:space="preserve"> (SEE INSTRUCTIONS)</w:t>
      </w:r>
    </w:p>
    <w:p>
      <w:pPr>
        <w:spacing w:after="0" w:line="27"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677864100</w:t>
      </w:r>
    </w:p>
    <w:p>
      <w:pPr>
        <w:spacing w:after="0" w:line="13" w:lineRule="exact"/>
        <w:rPr>
          <w:sz w:val="20"/>
          <w:szCs w:val="20"/>
          <w:color w:val="auto"/>
        </w:rPr>
      </w:pPr>
    </w:p>
    <w:p>
      <w:pPr>
        <w:ind w:left="520" w:hanging="302"/>
        <w:spacing w:after="0"/>
        <w:tabs>
          <w:tab w:leader="none" w:pos="5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ames of reporting persons</w:t>
      </w:r>
    </w:p>
    <w:p>
      <w:pPr>
        <w:spacing w:after="0" w:line="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I.R.S. </w:t>
      </w:r>
      <w:r>
        <w:rPr>
          <w:rFonts w:ascii="Arial" w:cs="Arial" w:eastAsia="Arial" w:hAnsi="Arial"/>
          <w:sz w:val="12"/>
          <w:szCs w:val="12"/>
          <w:b w:val="1"/>
          <w:bCs w:val="1"/>
          <w:color w:val="auto"/>
        </w:rPr>
        <w:t>identification nos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of above persons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entities only</w:t>
      </w:r>
      <w:r>
        <w:rPr>
          <w:rFonts w:ascii="Arial" w:cs="Arial" w:eastAsia="Arial" w:hAnsi="Arial"/>
          <w:sz w:val="18"/>
          <w:szCs w:val="18"/>
          <w:b w:val="1"/>
          <w:bCs w:val="1"/>
          <w:color w:val="auto"/>
        </w:rPr>
        <w:t>)</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220"/>
        <w:spacing w:after="0"/>
        <w:tabs>
          <w:tab w:leader="none" w:pos="500" w:val="left"/>
          <w:tab w:leader="none" w:pos="6000" w:val="left"/>
        </w:tabs>
        <w:rPr>
          <w:sz w:val="20"/>
          <w:szCs w:val="20"/>
          <w:color w:val="auto"/>
        </w:rPr>
      </w:pPr>
      <w:r>
        <w:rPr>
          <w:rFonts w:ascii="Arial" w:cs="Arial" w:eastAsia="Arial" w:hAnsi="Arial"/>
          <w:sz w:val="18"/>
          <w:szCs w:val="18"/>
          <w:b w:val="1"/>
          <w:bCs w:val="1"/>
          <w:color w:val="auto"/>
        </w:rPr>
        <w:t>2</w:t>
        <w:tab/>
        <w:t>C</w:t>
      </w:r>
      <w:r>
        <w:rPr>
          <w:rFonts w:ascii="Arial" w:cs="Arial" w:eastAsia="Arial" w:hAnsi="Arial"/>
          <w:sz w:val="12"/>
          <w:szCs w:val="12"/>
          <w:b w:val="1"/>
          <w:bCs w:val="1"/>
          <w:color w:val="auto"/>
        </w:rPr>
        <w:t>heck the appropriate box if a member of a group</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(SEE INSTRUCTIONS)</w:t>
      </w:r>
      <w:r>
        <w:rPr>
          <w:rFonts w:ascii="Arial" w:cs="Arial" w:eastAsia="Arial" w:hAnsi="Arial"/>
          <w:sz w:val="18"/>
          <w:szCs w:val="18"/>
          <w:b w:val="1"/>
          <w:bCs w:val="1"/>
          <w:color w:val="auto"/>
        </w:rPr>
        <w:tab/>
        <w:t>(a)</w:t>
      </w:r>
    </w:p>
    <w:p>
      <w:pPr>
        <w:spacing w:after="0" w:line="200" w:lineRule="exact"/>
        <w:rPr>
          <w:sz w:val="20"/>
          <w:szCs w:val="20"/>
          <w:color w:val="auto"/>
        </w:rPr>
      </w:pPr>
    </w:p>
    <w:p>
      <w:pPr>
        <w:spacing w:after="0" w:line="241"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520" w:hanging="302"/>
        <w:spacing w:after="0"/>
        <w:tabs>
          <w:tab w:leader="none" w:pos="5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520" w:hanging="302"/>
        <w:spacing w:after="0"/>
        <w:tabs>
          <w:tab w:leader="none" w:pos="5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520" w:hanging="302"/>
        <w:spacing w:after="0"/>
        <w:tabs>
          <w:tab w:leader="none" w:pos="5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disclosure of legal proceedings is required pursuant to items</w:t>
      </w:r>
      <w:r>
        <w:rPr>
          <w:rFonts w:ascii="Arial" w:cs="Arial" w:eastAsia="Arial" w:hAnsi="Arial"/>
          <w:sz w:val="18"/>
          <w:szCs w:val="18"/>
          <w:b w:val="1"/>
          <w:bCs w:val="1"/>
          <w:color w:val="auto"/>
        </w:rPr>
        <w:t xml:space="preserve"> 2 (d)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hanging="302"/>
        <w:spacing w:after="0"/>
        <w:tabs>
          <w:tab w:leader="none" w:pos="5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 or place of organization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62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voting power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eneficially</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voting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wned</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ach</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620" w:type="dxa"/>
            <w:vAlign w:val="bottom"/>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ole dispositive power</w:t>
            </w: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eporting</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241"/>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erson</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146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620" w:type="dxa"/>
            <w:vAlign w:val="bottom"/>
            <w:vMerge w:val="restart"/>
          </w:tcPr>
          <w:p>
            <w:pPr>
              <w:ind w:left="1200"/>
              <w:spacing w:after="0" w:line="198"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hared dispositive power</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ith</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160" w:type="dxa"/>
            <w:vAlign w:val="bottom"/>
            <w:vMerge w:val="continue"/>
          </w:tcPr>
          <w:p>
            <w:pPr>
              <w:spacing w:after="0"/>
              <w:rPr>
                <w:sz w:val="13"/>
                <w:szCs w:val="13"/>
                <w:color w:val="auto"/>
              </w:rPr>
            </w:pPr>
          </w:p>
        </w:tc>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one</w:t>
            </w:r>
          </w:p>
        </w:tc>
        <w:tc>
          <w:tcPr>
            <w:tcW w:w="0" w:type="dxa"/>
            <w:vAlign w:val="bottom"/>
          </w:tcPr>
          <w:p>
            <w:pPr>
              <w:spacing w:after="0"/>
              <w:rPr>
                <w:sz w:val="1"/>
                <w:szCs w:val="1"/>
                <w:color w:val="auto"/>
              </w:rPr>
            </w:pPr>
          </w:p>
        </w:tc>
      </w:tr>
      <w:tr>
        <w:trPr>
          <w:trHeight w:val="63"/>
        </w:trPr>
        <w:tc>
          <w:tcPr>
            <w:tcW w:w="3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520" w:right="5900" w:hanging="512"/>
        <w:spacing w:after="0" w:line="386" w:lineRule="auto"/>
        <w:tabs>
          <w:tab w:leader="none" w:pos="5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ggregate amount beneficially owned by each reporting person</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p>
    <w:p>
      <w:pPr>
        <w:spacing w:after="0" w:line="200" w:lineRule="exact"/>
        <w:rPr>
          <w:rFonts w:ascii="Arial" w:cs="Arial" w:eastAsia="Arial" w:hAnsi="Arial"/>
          <w:sz w:val="18"/>
          <w:szCs w:val="18"/>
          <w:b w:val="1"/>
          <w:bCs w:val="1"/>
          <w:color w:val="auto"/>
        </w:rPr>
      </w:pPr>
    </w:p>
    <w:p>
      <w:pPr>
        <w:spacing w:after="0" w:line="35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heck box if the aggregate amount in row</w:t>
      </w:r>
      <w:r>
        <w:rPr>
          <w:rFonts w:ascii="Arial" w:cs="Arial" w:eastAsia="Arial" w:hAnsi="Arial"/>
          <w:sz w:val="18"/>
          <w:szCs w:val="18"/>
          <w:b w:val="1"/>
          <w:bCs w:val="1"/>
          <w:color w:val="auto"/>
        </w:rPr>
        <w:t xml:space="preserve"> (11) </w:t>
      </w:r>
      <w:r>
        <w:rPr>
          <w:rFonts w:ascii="Arial" w:cs="Arial" w:eastAsia="Arial" w:hAnsi="Arial"/>
          <w:sz w:val="12"/>
          <w:szCs w:val="12"/>
          <w:b w:val="1"/>
          <w:bCs w:val="1"/>
          <w:color w:val="auto"/>
        </w:rPr>
        <w:t>excludes certain shares</w:t>
      </w:r>
    </w:p>
    <w:p>
      <w:pPr>
        <w:spacing w:after="0" w:line="20" w:lineRule="exact"/>
        <w:rPr>
          <w:rFonts w:ascii="Arial" w:cs="Arial" w:eastAsia="Arial" w:hAnsi="Arial"/>
          <w:sz w:val="18"/>
          <w:szCs w:val="18"/>
          <w:b w:val="1"/>
          <w:bCs w:val="1"/>
          <w:color w:val="auto"/>
        </w:rPr>
      </w:pPr>
    </w:p>
    <w:p>
      <w:pPr>
        <w:ind w:left="520" w:hanging="512"/>
        <w:spacing w:after="0" w:line="186" w:lineRule="auto"/>
        <w:tabs>
          <w:tab w:leader="none" w:pos="520" w:val="left"/>
        </w:tabs>
        <w:numPr>
          <w:ilvl w:val="0"/>
          <w:numId w:val="46"/>
        </w:numPr>
        <w:rPr>
          <w:rFonts w:ascii="Arial" w:cs="Arial" w:eastAsia="Arial" w:hAnsi="Arial"/>
          <w:sz w:val="19"/>
          <w:szCs w:val="19"/>
          <w:b w:val="1"/>
          <w:bCs w:val="1"/>
          <w:color w:val="auto"/>
          <w:vertAlign w:val="subscript"/>
        </w:rPr>
      </w:pPr>
      <w:r>
        <w:rPr>
          <w:rFonts w:ascii="Arial" w:cs="Arial" w:eastAsia="Arial" w:hAnsi="Arial"/>
          <w:sz w:val="11"/>
          <w:szCs w:val="11"/>
          <w:b w:val="1"/>
          <w:bCs w:val="1"/>
          <w:color w:val="auto"/>
        </w:rPr>
        <w:t>(SEE INSTRUCTIONS) X</w:t>
      </w:r>
    </w:p>
    <w:p>
      <w:pPr>
        <w:spacing w:after="0" w:line="200" w:lineRule="exact"/>
        <w:rPr>
          <w:rFonts w:ascii="Arial" w:cs="Arial" w:eastAsia="Arial" w:hAnsi="Arial"/>
          <w:sz w:val="19"/>
          <w:szCs w:val="19"/>
          <w:b w:val="1"/>
          <w:bCs w:val="1"/>
          <w:color w:val="auto"/>
          <w:vertAlign w:val="subscript"/>
        </w:rPr>
      </w:pPr>
    </w:p>
    <w:p>
      <w:pPr>
        <w:spacing w:after="0" w:line="200" w:lineRule="exact"/>
        <w:rPr>
          <w:rFonts w:ascii="Arial" w:cs="Arial" w:eastAsia="Arial" w:hAnsi="Arial"/>
          <w:sz w:val="19"/>
          <w:szCs w:val="19"/>
          <w:b w:val="1"/>
          <w:bCs w:val="1"/>
          <w:color w:val="auto"/>
          <w:vertAlign w:val="subscript"/>
        </w:rPr>
      </w:pPr>
    </w:p>
    <w:p>
      <w:pPr>
        <w:spacing w:after="0" w:line="224" w:lineRule="exact"/>
        <w:rPr>
          <w:rFonts w:ascii="Arial" w:cs="Arial" w:eastAsia="Arial" w:hAnsi="Arial"/>
          <w:sz w:val="19"/>
          <w:szCs w:val="19"/>
          <w:b w:val="1"/>
          <w:bCs w:val="1"/>
          <w:color w:val="auto"/>
          <w:vertAlign w:val="subscript"/>
        </w:rPr>
      </w:pPr>
    </w:p>
    <w:p>
      <w:pPr>
        <w:ind w:left="520" w:hanging="512"/>
        <w:spacing w:after="0"/>
        <w:tabs>
          <w:tab w:leader="none" w:pos="520" w:val="left"/>
        </w:tabs>
        <w:numPr>
          <w:ilvl w:val="0"/>
          <w:numId w:val="46"/>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 represented by amount in row</w:t>
      </w:r>
      <w:r>
        <w:rPr>
          <w:rFonts w:ascii="Arial" w:cs="Arial" w:eastAsia="Arial" w:hAnsi="Arial"/>
          <w:sz w:val="18"/>
          <w:szCs w:val="18"/>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5"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ype of reporting person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(SEE INSTRUCTIONS)</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Item 1.</w:t>
            </w:r>
          </w:p>
        </w:tc>
        <w:tc>
          <w:tcPr>
            <w:tcW w:w="1600" w:type="dxa"/>
            <w:vAlign w:val="bottom"/>
          </w:tcPr>
          <w:p>
            <w:pPr>
              <w:spacing w:after="0"/>
              <w:rPr>
                <w:sz w:val="21"/>
                <w:szCs w:val="21"/>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Security and Issuer</w:t>
            </w:r>
          </w:p>
        </w:tc>
        <w:tc>
          <w:tcPr>
            <w:tcW w:w="6240" w:type="dxa"/>
            <w:vAlign w:val="bottom"/>
          </w:tcPr>
          <w:p>
            <w:pPr>
              <w:spacing w:after="0"/>
              <w:rPr>
                <w:sz w:val="21"/>
                <w:szCs w:val="21"/>
                <w:color w:val="auto"/>
              </w:rPr>
            </w:pPr>
          </w:p>
        </w:tc>
      </w:tr>
      <w:tr>
        <w:trPr>
          <w:trHeight w:val="260"/>
        </w:trPr>
        <w:tc>
          <w:tcPr>
            <w:tcW w:w="960" w:type="dxa"/>
            <w:vAlign w:val="bottom"/>
          </w:tcPr>
          <w:p>
            <w:pPr>
              <w:spacing w:after="0"/>
              <w:rPr>
                <w:sz w:val="22"/>
                <w:szCs w:val="22"/>
                <w:color w:val="auto"/>
              </w:rPr>
            </w:pPr>
          </w:p>
        </w:tc>
        <w:tc>
          <w:tcPr>
            <w:tcW w:w="9500" w:type="dxa"/>
            <w:vAlign w:val="bottom"/>
            <w:gridSpan w:val="3"/>
          </w:tcPr>
          <w:p>
            <w:pPr>
              <w:ind w:left="340"/>
              <w:spacing w:after="0"/>
              <w:rPr>
                <w:sz w:val="20"/>
                <w:szCs w:val="20"/>
                <w:color w:val="auto"/>
              </w:rPr>
            </w:pPr>
            <w:r>
              <w:rPr>
                <w:rFonts w:ascii="Arial" w:cs="Arial" w:eastAsia="Arial" w:hAnsi="Arial"/>
                <w:sz w:val="22"/>
                <w:szCs w:val="22"/>
                <w:color w:val="auto"/>
                <w:w w:val="91"/>
              </w:rPr>
              <w:t>This Amendment No. 31 to Schedule 13D on the Common Stock of Oil-Dri Corporation of America (the</w:t>
            </w:r>
          </w:p>
        </w:tc>
      </w:tr>
    </w:tbl>
    <w:p>
      <w:pPr>
        <w:ind w:right="100"/>
        <w:spacing w:after="0" w:line="234" w:lineRule="auto"/>
        <w:rPr>
          <w:sz w:val="20"/>
          <w:szCs w:val="20"/>
          <w:color w:val="auto"/>
        </w:rPr>
      </w:pPr>
      <w:r>
        <w:rPr>
          <w:rFonts w:ascii="Arial" w:cs="Arial" w:eastAsia="Arial" w:hAnsi="Arial"/>
          <w:sz w:val="22"/>
          <w:szCs w:val="22"/>
          <w:color w:val="auto"/>
        </w:rPr>
        <w:t>“Issuer”) is being filed on behalf of the undersigned to amend the Schedule 13D, as amended (the “Schedule 13D”) which was originally filed on November 22, 2000. Unless otherwise indicated, all capitalized terms used herein but not defined herein shall have the same meanings as set forth in the Schedule 13D.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Item 2.</w:t>
            </w:r>
          </w:p>
        </w:tc>
        <w:tc>
          <w:tcPr>
            <w:tcW w:w="1600" w:type="dxa"/>
            <w:vAlign w:val="bottom"/>
          </w:tcPr>
          <w:p>
            <w:pPr>
              <w:spacing w:after="0"/>
              <w:rPr>
                <w:sz w:val="21"/>
                <w:szCs w:val="21"/>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Identity and Background</w:t>
            </w:r>
          </w:p>
        </w:tc>
        <w:tc>
          <w:tcPr>
            <w:tcW w:w="6040" w:type="dxa"/>
            <w:vAlign w:val="bottom"/>
          </w:tcPr>
          <w:p>
            <w:pPr>
              <w:spacing w:after="0"/>
              <w:rPr>
                <w:sz w:val="21"/>
                <w:szCs w:val="21"/>
                <w:color w:val="auto"/>
              </w:rPr>
            </w:pPr>
          </w:p>
        </w:tc>
      </w:tr>
      <w:tr>
        <w:trPr>
          <w:trHeight w:val="242"/>
        </w:trPr>
        <w:tc>
          <w:tcPr>
            <w:tcW w:w="960" w:type="dxa"/>
            <w:vAlign w:val="bottom"/>
          </w:tcPr>
          <w:p>
            <w:pPr>
              <w:spacing w:after="0"/>
              <w:rPr>
                <w:sz w:val="21"/>
                <w:szCs w:val="21"/>
                <w:color w:val="auto"/>
              </w:rPr>
            </w:pPr>
          </w:p>
        </w:tc>
        <w:tc>
          <w:tcPr>
            <w:tcW w:w="9800" w:type="dxa"/>
            <w:vAlign w:val="bottom"/>
            <w:gridSpan w:val="3"/>
          </w:tcPr>
          <w:p>
            <w:pPr>
              <w:ind w:left="340"/>
              <w:spacing w:after="0" w:line="242" w:lineRule="exact"/>
              <w:rPr>
                <w:sz w:val="20"/>
                <w:szCs w:val="20"/>
                <w:color w:val="auto"/>
              </w:rPr>
            </w:pPr>
            <w:r>
              <w:rPr>
                <w:rFonts w:ascii="Arial" w:cs="Arial" w:eastAsia="Arial" w:hAnsi="Arial"/>
                <w:sz w:val="22"/>
                <w:szCs w:val="22"/>
                <w:color w:val="auto"/>
              </w:rPr>
              <w:t>Item 2 to Schedule 13D is amended, in pertinent part, as follows:</w:t>
            </w:r>
          </w:p>
        </w:tc>
      </w:tr>
      <w:tr>
        <w:trPr>
          <w:trHeight w:val="261"/>
        </w:trPr>
        <w:tc>
          <w:tcPr>
            <w:tcW w:w="960" w:type="dxa"/>
            <w:vAlign w:val="bottom"/>
          </w:tcPr>
          <w:p>
            <w:pPr>
              <w:spacing w:after="0"/>
              <w:rPr>
                <w:sz w:val="22"/>
                <w:szCs w:val="22"/>
                <w:color w:val="auto"/>
              </w:rPr>
            </w:pPr>
          </w:p>
        </w:tc>
        <w:tc>
          <w:tcPr>
            <w:tcW w:w="9800" w:type="dxa"/>
            <w:vAlign w:val="bottom"/>
            <w:gridSpan w:val="3"/>
          </w:tcPr>
          <w:p>
            <w:pPr>
              <w:ind w:left="460"/>
              <w:spacing w:after="0"/>
              <w:rPr>
                <w:sz w:val="20"/>
                <w:szCs w:val="20"/>
                <w:color w:val="auto"/>
              </w:rPr>
            </w:pPr>
            <w:r>
              <w:rPr>
                <w:rFonts w:ascii="Arial" w:cs="Arial" w:eastAsia="Arial" w:hAnsi="Arial"/>
                <w:sz w:val="22"/>
                <w:szCs w:val="22"/>
                <w:color w:val="auto"/>
                <w:w w:val="91"/>
              </w:rPr>
              <w:t>This statement is being filed by various entities which except for LICT Corporation (“LICT) and CIBL, Inc.</w:t>
            </w:r>
          </w:p>
        </w:tc>
      </w:tr>
    </w:tbl>
    <w:p>
      <w:pPr>
        <w:ind w:right="420"/>
        <w:spacing w:after="0" w:line="230" w:lineRule="auto"/>
        <w:rPr>
          <w:sz w:val="20"/>
          <w:szCs w:val="20"/>
          <w:color w:val="auto"/>
        </w:rPr>
      </w:pPr>
      <w:r>
        <w:rPr>
          <w:rFonts w:ascii="Arial" w:cs="Arial" w:eastAsia="Arial" w:hAnsi="Arial"/>
          <w:sz w:val="22"/>
          <w:szCs w:val="22"/>
          <w:color w:val="auto"/>
        </w:rPr>
        <w:t>(“CIBL”), engage in various aspects of the securities business, primarily as investment adviser to various institutional and individual clients, including registered investment companies and pension plans, and as general partner or the equivalent of various private investment partnerships or private funds and as a registered broker-dealer. Certain of these entities may also make investments for their own accounts. Mario J. Gabelli (“Mario Gabelli”) is deemed to directly or indirectly control these entities through his ownership interest.</w:t>
      </w:r>
    </w:p>
    <w:p>
      <w:pPr>
        <w:spacing w:after="0" w:line="3" w:lineRule="exact"/>
        <w:rPr>
          <w:sz w:val="20"/>
          <w:szCs w:val="20"/>
          <w:color w:val="auto"/>
        </w:rPr>
      </w:pPr>
    </w:p>
    <w:p>
      <w:pPr>
        <w:ind w:right="180" w:firstLine="1296"/>
        <w:spacing w:after="0" w:line="266" w:lineRule="auto"/>
        <w:rPr>
          <w:sz w:val="20"/>
          <w:szCs w:val="20"/>
          <w:color w:val="auto"/>
        </w:rPr>
      </w:pPr>
      <w:r>
        <w:rPr>
          <w:rFonts w:ascii="Arial" w:cs="Arial" w:eastAsia="Arial" w:hAnsi="Arial"/>
          <w:sz w:val="19"/>
          <w:szCs w:val="19"/>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w:t>
      </w:r>
    </w:p>
    <w:p>
      <w:pPr>
        <w:spacing w:after="0" w:line="6" w:lineRule="exact"/>
        <w:rPr>
          <w:sz w:val="20"/>
          <w:szCs w:val="20"/>
          <w:color w:val="auto"/>
        </w:rPr>
      </w:pPr>
    </w:p>
    <w:p>
      <w:pPr>
        <w:ind w:left="1300" w:right="180" w:hanging="1295"/>
        <w:spacing w:after="0" w:line="266" w:lineRule="auto"/>
        <w:rPr>
          <w:sz w:val="20"/>
          <w:szCs w:val="20"/>
          <w:color w:val="auto"/>
        </w:rPr>
      </w:pPr>
      <w:r>
        <w:rPr>
          <w:rFonts w:ascii="Arial" w:cs="Arial" w:eastAsia="Arial" w:hAnsi="Arial"/>
          <w:sz w:val="19"/>
          <w:szCs w:val="19"/>
          <w:color w:val="auto"/>
        </w:rPr>
        <w:t>13D form rather than on the short-form Schedule 13G and thereby to provide more expansive disclosure than may be necessary. (a), (b) and (c) - This statement is being filed by one or more of the following persons: GGCP, Inc. (“GGCP”),</w:t>
      </w:r>
    </w:p>
    <w:p>
      <w:pPr>
        <w:spacing w:after="0" w:line="2" w:lineRule="exact"/>
        <w:rPr>
          <w:sz w:val="20"/>
          <w:szCs w:val="20"/>
          <w:color w:val="auto"/>
        </w:rPr>
      </w:pPr>
    </w:p>
    <w:p>
      <w:pPr>
        <w:ind w:right="200"/>
        <w:spacing w:after="0" w:line="266" w:lineRule="auto"/>
        <w:rPr>
          <w:sz w:val="20"/>
          <w:szCs w:val="20"/>
          <w:color w:val="auto"/>
        </w:rPr>
      </w:pPr>
      <w:r>
        <w:rPr>
          <w:rFonts w:ascii="Arial" w:cs="Arial" w:eastAsia="Arial" w:hAnsi="Arial"/>
          <w:sz w:val="19"/>
          <w:szCs w:val="19"/>
          <w:color w:val="auto"/>
        </w:rPr>
        <w:t>GGCP Holdings LLC (“GGCP Holdings”), GAMCO Investors, Inc. (“GBL”), Associated Capital Group, Inc. (“AC”), Gabelli Funds, LLC (“Gabelli Funds”), GAMCO Asset Management Inc. (“GAMCO”), Teton Advisors, LLC (“Teton Advisors”), Keeley-Teton Advisors, LLC (“Keeley-Teton”), Gabelli &amp; Company Investment Advisers, Inc. (“GCIA”), Morgan Group Holding Co., (“MGH”), G.research, LLC (“G.research”), MJG Associates, Inc. (“MJG Associates”), Gabelli Securities International (Bermuda) Limited (“GSIL”), Gabelli Foundation, Inc. (“Foundation”), Mario Gabelli, LICT and CIBL. Those of the foregoing persons signing this Schedule 13D are hereinafter referred to as the “Reporting Persons”.</w:t>
      </w:r>
    </w:p>
    <w:p>
      <w:pPr>
        <w:spacing w:after="0" w:line="5" w:lineRule="exact"/>
        <w:rPr>
          <w:sz w:val="20"/>
          <w:szCs w:val="20"/>
          <w:color w:val="auto"/>
        </w:rPr>
      </w:pPr>
    </w:p>
    <w:p>
      <w:pPr>
        <w:ind w:right="200" w:firstLine="1296"/>
        <w:spacing w:after="0" w:line="241" w:lineRule="auto"/>
        <w:rPr>
          <w:sz w:val="20"/>
          <w:szCs w:val="20"/>
          <w:color w:val="auto"/>
        </w:rPr>
      </w:pPr>
      <w:r>
        <w:rPr>
          <w:rFonts w:ascii="Arial" w:cs="Arial" w:eastAsia="Arial" w:hAnsi="Arial"/>
          <w:sz w:val="21"/>
          <w:szCs w:val="21"/>
          <w:color w:val="auto"/>
        </w:rPr>
        <w:t>GGCP makes investments for its own account and is the manager and a member of GGCP Holdings which is the controlling shareholder of GBL and AC. GBL, a public company whose stock is quoted on the OTCQX platform,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w:t>
      </w:r>
    </w:p>
    <w:p>
      <w:pPr>
        <w:spacing w:after="0" w:line="3" w:lineRule="exact"/>
        <w:rPr>
          <w:sz w:val="20"/>
          <w:szCs w:val="20"/>
          <w:color w:val="auto"/>
        </w:rPr>
      </w:pPr>
    </w:p>
    <w:p>
      <w:pPr>
        <w:ind w:right="180" w:firstLine="1296"/>
        <w:spacing w:after="0" w:line="241" w:lineRule="auto"/>
        <w:rPr>
          <w:sz w:val="20"/>
          <w:szCs w:val="20"/>
          <w:color w:val="auto"/>
        </w:rPr>
      </w:pPr>
      <w:r>
        <w:rPr>
          <w:rFonts w:ascii="Arial" w:cs="Arial" w:eastAsia="Arial" w:hAnsi="Arial"/>
          <w:sz w:val="21"/>
          <w:szCs w:val="21"/>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2" w:lineRule="exact"/>
        <w:rPr>
          <w:sz w:val="20"/>
          <w:szCs w:val="20"/>
          <w:color w:val="auto"/>
        </w:rPr>
      </w:pPr>
    </w:p>
    <w:p>
      <w:pPr>
        <w:ind w:right="40" w:firstLine="1296"/>
        <w:spacing w:after="0" w:line="266" w:lineRule="auto"/>
        <w:rPr>
          <w:sz w:val="20"/>
          <w:szCs w:val="20"/>
          <w:color w:val="auto"/>
        </w:rPr>
      </w:pPr>
      <w:r>
        <w:rPr>
          <w:rFonts w:ascii="Arial" w:cs="Arial" w:eastAsia="Arial" w:hAnsi="Arial"/>
          <w:sz w:val="19"/>
          <w:szCs w:val="19"/>
          <w:color w:val="auto"/>
        </w:rPr>
        <w:t>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or its relying advisers, act as a general partner or investment manager of a number of funds or partnerships, including Gabelli Associates Fund, L.P., Gabelli Associates Fund II, L.P., Gabelli Associates Limited, Gabelli Associates Limited II E, Gabelli Intermediate Credit Fund L.P., GAMA Select Plus Master Fund, Ltd., GAMCO Medical Opportunities L.P., and Gabelli Multimedia Partners, L.P.</w:t>
      </w:r>
    </w:p>
    <w:p>
      <w:pPr>
        <w:spacing w:after="0" w:line="5" w:lineRule="exact"/>
        <w:rPr>
          <w:sz w:val="20"/>
          <w:szCs w:val="20"/>
          <w:color w:val="auto"/>
        </w:rPr>
      </w:pPr>
    </w:p>
    <w:p>
      <w:pPr>
        <w:ind w:right="320" w:firstLine="1296"/>
        <w:spacing w:after="0" w:line="230" w:lineRule="auto"/>
        <w:rPr>
          <w:sz w:val="20"/>
          <w:szCs w:val="20"/>
          <w:color w:val="auto"/>
        </w:rPr>
      </w:pPr>
      <w:r>
        <w:rPr>
          <w:rFonts w:ascii="Arial" w:cs="Arial" w:eastAsia="Arial" w:hAnsi="Arial"/>
          <w:sz w:val="22"/>
          <w:szCs w:val="22"/>
          <w:color w:val="auto"/>
        </w:rPr>
        <w:t>G.research is a wholly owned subsidiary of MGH. G.research, is a broker-dealer registered under the Securities Exchange Act of 1934, as amended (“1934 Act”), which may as a part of its business purchase and sell securities for its own account.</w:t>
      </w:r>
    </w:p>
    <w:p>
      <w:pPr>
        <w:spacing w:after="0" w:line="2" w:lineRule="exact"/>
        <w:rPr>
          <w:sz w:val="20"/>
          <w:szCs w:val="20"/>
          <w:color w:val="auto"/>
        </w:rPr>
      </w:pPr>
    </w:p>
    <w:p>
      <w:pPr>
        <w:ind w:right="80" w:firstLine="1296"/>
        <w:spacing w:after="0" w:line="244" w:lineRule="auto"/>
        <w:rPr>
          <w:sz w:val="20"/>
          <w:szCs w:val="20"/>
          <w:color w:val="auto"/>
        </w:rPr>
      </w:pPr>
      <w:r>
        <w:rPr>
          <w:rFonts w:ascii="Arial" w:cs="Arial" w:eastAsia="Arial" w:hAnsi="Arial"/>
          <w:sz w:val="20"/>
          <w:szCs w:val="20"/>
          <w:color w:val="auto"/>
        </w:rPr>
        <w:t xml:space="preserve">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Focused Growth and Income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w:t>
      </w:r>
      <w:r>
        <w:rPr>
          <w:rFonts w:ascii="Arial" w:cs="Arial" w:eastAsia="Arial" w:hAnsi="Arial"/>
          <w:sz w:val="32"/>
          <w:szCs w:val="32"/>
          <w:color w:val="auto"/>
          <w:vertAlign w:val="superscript"/>
        </w:rPr>
        <w:t>Rx</w:t>
      </w:r>
      <w:r>
        <w:rPr>
          <w:rFonts w:ascii="Arial" w:cs="Arial" w:eastAsia="Arial" w:hAnsi="Arial"/>
          <w:sz w:val="20"/>
          <w:szCs w:val="20"/>
          <w:color w:val="auto"/>
        </w:rPr>
        <w:t xml:space="preserve"> Trust, The Gabelli Global Small and Mid Cap Value Trust, Gabelli Value Plus+ Trust, Gabelli Merger Plus+ Trust Plc, The Gabelli Global Financial Services Fund, The Gabelli Global Mini Mites Fund, The Gabelli Media Mogul Fund, The Gabelli Pet Parents’ Fund, The Gabelli U.S. Treasury Money Market Fund, Bancroft Fund Ltd. and Ellsworth Growth &amp; Income Fund Ltd., Gabelli Growth Innovators ETF, Gabelli Love Our Planet &amp; People ETF, Gabelli Automation ETF, Gabelli Commercial Aerospace &amp; Defense ETF (collectively, the “Funds”), which are registered investment companies. Gabelli Funds is also the investment adviser to The GAMCO International SICAV (sub-funds GAMCO Merger Arbitrage and GAMCO All Cap Value), a UCITS III vehicle.</w:t>
      </w:r>
    </w:p>
    <w:p>
      <w:pPr>
        <w:spacing w:after="0" w:line="16" w:lineRule="exact"/>
        <w:rPr>
          <w:sz w:val="20"/>
          <w:szCs w:val="20"/>
          <w:color w:val="auto"/>
        </w:rPr>
      </w:pPr>
    </w:p>
    <w:p>
      <w:pPr>
        <w:ind w:firstLine="1296"/>
        <w:spacing w:after="0" w:line="212" w:lineRule="auto"/>
        <w:rPr>
          <w:sz w:val="20"/>
          <w:szCs w:val="20"/>
          <w:color w:val="auto"/>
        </w:rPr>
      </w:pPr>
      <w:r>
        <w:rPr>
          <w:rFonts w:ascii="Arial" w:cs="Arial" w:eastAsia="Arial" w:hAnsi="Arial"/>
          <w:sz w:val="21"/>
          <w:szCs w:val="21"/>
          <w:color w:val="auto"/>
        </w:rPr>
        <w:t>Teton Advisors, an investment adviser registered under the Advisers Act, provides discretionary advisory services to The TETON Westwood Mighty Mites</w:t>
      </w:r>
      <w:r>
        <w:rPr>
          <w:rFonts w:ascii="Arial" w:cs="Arial" w:eastAsia="Arial" w:hAnsi="Arial"/>
          <w:sz w:val="34"/>
          <w:szCs w:val="34"/>
          <w:color w:val="auto"/>
          <w:vertAlign w:val="superscript"/>
        </w:rPr>
        <w:t>sm</w:t>
      </w:r>
      <w:r>
        <w:rPr>
          <w:rFonts w:ascii="Arial" w:cs="Arial" w:eastAsia="Arial" w:hAnsi="Arial"/>
          <w:sz w:val="21"/>
          <w:szCs w:val="21"/>
          <w:color w:val="auto"/>
        </w:rPr>
        <w:t xml:space="preserve"> Fund, The TETON Convertible Securities Fund, The Teton Westwood Balanced Fund, and The TETON Westwood Equity Fund. The TETON Westwood Mighty Mites Fund and the Teton Convertible Securities Fund are subadvised by Gabelli Funds, and their holdings are included in this filing.</w:t>
      </w:r>
    </w:p>
    <w:p>
      <w:pPr>
        <w:sectPr>
          <w:pgSz w:w="11900" w:h="16838" w:orient="portrait"/>
          <w:cols w:equalWidth="0" w:num="1">
            <w:col w:w="11240"/>
          </w:cols>
          <w:pgMar w:left="320" w:top="89" w:right="339" w:bottom="0" w:gutter="0" w:footer="0" w:header="0"/>
        </w:sectPr>
      </w:pPr>
    </w:p>
    <w:bookmarkStart w:id="9" w:name="page10"/>
    <w:bookmarkEnd w:id="9"/>
    <w:p>
      <w:pPr>
        <w:spacing w:after="0" w:line="60" w:lineRule="exact"/>
        <w:rPr>
          <w:sz w:val="20"/>
          <w:szCs w:val="20"/>
          <w:color w:val="auto"/>
        </w:rPr>
      </w:pPr>
    </w:p>
    <w:p>
      <w:pPr>
        <w:ind w:right="40" w:firstLine="1296"/>
        <w:spacing w:after="0" w:line="273" w:lineRule="auto"/>
        <w:rPr>
          <w:sz w:val="20"/>
          <w:szCs w:val="20"/>
          <w:color w:val="auto"/>
        </w:rPr>
      </w:pPr>
      <w:r>
        <w:rPr>
          <w:rFonts w:ascii="Arial" w:cs="Arial" w:eastAsia="Arial" w:hAnsi="Arial"/>
          <w:sz w:val="19"/>
          <w:szCs w:val="19"/>
          <w:color w:val="auto"/>
        </w:rPr>
        <w:t>Keeley-Teton, an investment adviser registered under the Advisers Act, provides discretionary advisory services to The Teton Westwood Smallcap Equity Fund, The Keeley Small Cap Dividend Value Fund, The Keeley Small-Mid Cap Value Fund, and The Keeley Mid Cap Dividend Value Fund, as well as to institutional and individual clients.</w:t>
      </w:r>
    </w:p>
    <w:p>
      <w:pPr>
        <w:spacing w:after="0" w:line="2" w:lineRule="exact"/>
        <w:rPr>
          <w:sz w:val="20"/>
          <w:szCs w:val="20"/>
          <w:color w:val="auto"/>
        </w:rPr>
      </w:pPr>
    </w:p>
    <w:p>
      <w:pPr>
        <w:ind w:right="160" w:firstLine="1296"/>
        <w:spacing w:after="0" w:line="266" w:lineRule="auto"/>
        <w:rPr>
          <w:sz w:val="20"/>
          <w:szCs w:val="20"/>
          <w:color w:val="auto"/>
        </w:rPr>
      </w:pPr>
      <w:r>
        <w:rPr>
          <w:rFonts w:ascii="Arial" w:cs="Arial" w:eastAsia="Arial" w:hAnsi="Arial"/>
          <w:sz w:val="19"/>
          <w:szCs w:val="19"/>
          <w:color w:val="auto"/>
        </w:rPr>
        <w:t>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w:t>
      </w:r>
    </w:p>
    <w:p>
      <w:pPr>
        <w:spacing w:after="0" w:line="3" w:lineRule="exact"/>
        <w:rPr>
          <w:sz w:val="20"/>
          <w:szCs w:val="20"/>
          <w:color w:val="auto"/>
        </w:rPr>
      </w:pPr>
    </w:p>
    <w:p>
      <w:pPr>
        <w:ind w:right="120" w:firstLine="1296"/>
        <w:spacing w:after="0" w:line="230" w:lineRule="auto"/>
        <w:rPr>
          <w:sz w:val="20"/>
          <w:szCs w:val="20"/>
          <w:color w:val="auto"/>
        </w:rPr>
      </w:pPr>
      <w:r>
        <w:rPr>
          <w:rFonts w:ascii="Arial" w:cs="Arial" w:eastAsia="Arial" w:hAnsi="Arial"/>
          <w:sz w:val="22"/>
          <w:szCs w:val="22"/>
          <w:color w:val="auto"/>
        </w:rPr>
        <w:t>The Foundation is a private foundation. Mario Gabelli is the Chairman, a Trustee and the Investment Manager of the Foundation. Elisa M. Wilson is the President of the Foundation.</w:t>
      </w:r>
    </w:p>
    <w:p>
      <w:pPr>
        <w:spacing w:after="0" w:line="1" w:lineRule="exact"/>
        <w:rPr>
          <w:sz w:val="20"/>
          <w:szCs w:val="20"/>
          <w:color w:val="auto"/>
        </w:rPr>
      </w:pPr>
    </w:p>
    <w:p>
      <w:pPr>
        <w:ind w:right="20" w:firstLine="1296"/>
        <w:spacing w:after="0" w:line="266" w:lineRule="auto"/>
        <w:rPr>
          <w:sz w:val="20"/>
          <w:szCs w:val="20"/>
          <w:color w:val="auto"/>
        </w:rPr>
      </w:pPr>
      <w:r>
        <w:rPr>
          <w:rFonts w:ascii="Arial" w:cs="Arial" w:eastAsia="Arial" w:hAnsi="Arial"/>
          <w:sz w:val="19"/>
          <w:szCs w:val="19"/>
          <w:color w:val="auto"/>
        </w:rPr>
        <w:t>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w:t>
      </w:r>
    </w:p>
    <w:p>
      <w:pPr>
        <w:spacing w:after="0" w:line="3" w:lineRule="exact"/>
        <w:rPr>
          <w:sz w:val="20"/>
          <w:szCs w:val="20"/>
          <w:color w:val="auto"/>
        </w:rPr>
      </w:pPr>
    </w:p>
    <w:p>
      <w:pPr>
        <w:ind w:right="100" w:firstLine="1296"/>
        <w:spacing w:after="0" w:line="266" w:lineRule="auto"/>
        <w:rPr>
          <w:sz w:val="20"/>
          <w:szCs w:val="20"/>
          <w:color w:val="auto"/>
        </w:rPr>
      </w:pPr>
      <w:r>
        <w:rPr>
          <w:rFonts w:ascii="Arial" w:cs="Arial" w:eastAsia="Arial" w:hAnsi="Arial"/>
          <w:sz w:val="19"/>
          <w:szCs w:val="19"/>
          <w:color w:val="auto"/>
        </w:rPr>
        <w:t>CIBL is a holding company with interests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w:t>
      </w:r>
    </w:p>
    <w:p>
      <w:pPr>
        <w:spacing w:after="0" w:line="3" w:lineRule="exact"/>
        <w:rPr>
          <w:sz w:val="20"/>
          <w:szCs w:val="20"/>
          <w:color w:val="auto"/>
        </w:rPr>
      </w:pPr>
    </w:p>
    <w:p>
      <w:pPr>
        <w:ind w:right="160" w:firstLine="1296"/>
        <w:spacing w:after="0" w:line="266" w:lineRule="auto"/>
        <w:rPr>
          <w:sz w:val="20"/>
          <w:szCs w:val="20"/>
          <w:color w:val="auto"/>
        </w:rPr>
      </w:pPr>
      <w:r>
        <w:rPr>
          <w:rFonts w:ascii="Arial" w:cs="Arial" w:eastAsia="Arial" w:hAnsi="Arial"/>
          <w:sz w:val="19"/>
          <w:szCs w:val="19"/>
          <w:color w:val="auto"/>
        </w:rPr>
        <w:t>Mario Gabelli is the controlling stockholder, co-Chief Executive Officer and a director of GGCP and Chairman and Chief Executive Officer of GBL. He is the Executive Chairman of AC. Mario Gabelli is also a member of GGCP Holdings. Mario Gabelli is the controlling shareholder of MGH and indirectly of Teton Advisors and Keeley-Teton Advisors..</w:t>
      </w:r>
    </w:p>
    <w:p>
      <w:pPr>
        <w:ind w:left="1300"/>
        <w:spacing w:after="0" w:line="232" w:lineRule="auto"/>
        <w:rPr>
          <w:sz w:val="20"/>
          <w:szCs w:val="20"/>
          <w:color w:val="auto"/>
        </w:rPr>
      </w:pPr>
      <w:r>
        <w:rPr>
          <w:rFonts w:ascii="Arial" w:cs="Arial" w:eastAsia="Arial" w:hAnsi="Arial"/>
          <w:sz w:val="22"/>
          <w:szCs w:val="22"/>
          <w:color w:val="auto"/>
        </w:rPr>
        <w:t>The Reporting Persons do not admit that they constitute a group.</w:t>
      </w:r>
    </w:p>
    <w:p>
      <w:pPr>
        <w:spacing w:after="0" w:line="1" w:lineRule="exact"/>
        <w:rPr>
          <w:sz w:val="20"/>
          <w:szCs w:val="20"/>
          <w:color w:val="auto"/>
        </w:rPr>
      </w:pPr>
    </w:p>
    <w:p>
      <w:pPr>
        <w:ind w:right="160" w:firstLine="1296"/>
        <w:spacing w:after="0" w:line="269" w:lineRule="auto"/>
        <w:rPr>
          <w:sz w:val="20"/>
          <w:szCs w:val="20"/>
          <w:color w:val="auto"/>
        </w:rPr>
      </w:pPr>
      <w:r>
        <w:rPr>
          <w:rFonts w:ascii="Arial" w:cs="Arial" w:eastAsia="Arial" w:hAnsi="Arial"/>
          <w:sz w:val="19"/>
          <w:szCs w:val="19"/>
          <w:color w:val="auto"/>
        </w:rPr>
        <w:t>GAMCO is a New York corporation and GBL and MGH,are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 business office at One Corporate Center, Rye, New York 10580. Teton Advisors is a Delaware limited liability company having its principal place of business at 189 Mason Street, Greenwich, CT 06830. Keeley-Teton Advisors is a Delaware limited liability company having its principal place of business at 141 W. Jackson Blvd., Chicago, IL 60604.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w:t>
      </w:r>
    </w:p>
    <w:p>
      <w:pPr>
        <w:spacing w:after="0" w:line="220" w:lineRule="exact"/>
        <w:rPr>
          <w:sz w:val="20"/>
          <w:szCs w:val="20"/>
          <w:color w:val="auto"/>
        </w:rPr>
      </w:pPr>
    </w:p>
    <w:p>
      <w:pPr>
        <w:ind w:right="40" w:firstLine="1296"/>
        <w:spacing w:after="0" w:line="230" w:lineRule="auto"/>
        <w:rPr>
          <w:sz w:val="20"/>
          <w:szCs w:val="20"/>
          <w:color w:val="auto"/>
        </w:rPr>
      </w:pPr>
      <w:r>
        <w:rPr>
          <w:rFonts w:ascii="Arial" w:cs="Arial" w:eastAsia="Arial" w:hAnsi="Arial"/>
          <w:sz w:val="22"/>
          <w:szCs w:val="22"/>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1600" w:hanging="296"/>
        <w:spacing w:after="0" w:line="232" w:lineRule="auto"/>
        <w:tabs>
          <w:tab w:leader="none" w:pos="16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 Not applicable.</w:t>
      </w:r>
    </w:p>
    <w:p>
      <w:pPr>
        <w:ind w:left="1600" w:hanging="296"/>
        <w:spacing w:after="0" w:line="230" w:lineRule="auto"/>
        <w:tabs>
          <w:tab w:leader="none" w:pos="16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 Not applicable.</w:t>
      </w:r>
    </w:p>
    <w:p>
      <w:pPr>
        <w:ind w:left="1580" w:hanging="276"/>
        <w:spacing w:after="0"/>
        <w:tabs>
          <w:tab w:leader="none" w:pos="15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 Reference is made to Schedule I hereto.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Item 5.</w:t>
            </w:r>
          </w:p>
        </w:tc>
        <w:tc>
          <w:tcPr>
            <w:tcW w:w="160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22"/>
                <w:szCs w:val="22"/>
                <w:color w:val="auto"/>
              </w:rPr>
              <w:t>Interest In Securities Of The Issuer</w:t>
            </w:r>
          </w:p>
        </w:tc>
      </w:tr>
      <w:tr>
        <w:trPr>
          <w:trHeight w:val="20"/>
        </w:trPr>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0"/>
        </w:trPr>
        <w:tc>
          <w:tcPr>
            <w:tcW w:w="960" w:type="dxa"/>
            <w:vAlign w:val="bottom"/>
          </w:tcPr>
          <w:p>
            <w:pPr>
              <w:spacing w:after="0"/>
              <w:rPr>
                <w:sz w:val="22"/>
                <w:szCs w:val="22"/>
                <w:color w:val="auto"/>
              </w:rPr>
            </w:pPr>
          </w:p>
        </w:tc>
        <w:tc>
          <w:tcPr>
            <w:tcW w:w="5960" w:type="dxa"/>
            <w:vAlign w:val="bottom"/>
            <w:gridSpan w:val="3"/>
          </w:tcPr>
          <w:p>
            <w:pPr>
              <w:ind w:left="340"/>
              <w:spacing w:after="0"/>
              <w:rPr>
                <w:sz w:val="20"/>
                <w:szCs w:val="20"/>
                <w:color w:val="auto"/>
              </w:rPr>
            </w:pPr>
            <w:r>
              <w:rPr>
                <w:rFonts w:ascii="Arial" w:cs="Arial" w:eastAsia="Arial" w:hAnsi="Arial"/>
                <w:sz w:val="22"/>
                <w:szCs w:val="22"/>
                <w:color w:val="auto"/>
                <w:w w:val="88"/>
              </w:rPr>
              <w:t>Item 5 to Schedule 13D is amended, in pertinent part, as follows:</w:t>
            </w:r>
          </w:p>
        </w:tc>
      </w:tr>
    </w:tbl>
    <w:p>
      <w:pPr>
        <w:ind w:right="60" w:firstLine="1304"/>
        <w:spacing w:after="0" w:line="243" w:lineRule="auto"/>
        <w:tabs>
          <w:tab w:leader="none" w:pos="1586"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aggregate number of Securities to which this Schedule 13D relates is 530,406 shares, representing 10.39% of the 5,104,096 shares outstanding as reported by the Issuer in its most recently filed Form 10-Q for the quarterly period ended April 30, 2023. The Reporting Persons beneficially own those Securities as follows:</w:t>
      </w:r>
    </w:p>
    <w:tbl>
      <w:tblPr>
        <w:tblLayout w:type="fixed"/>
        <w:tblInd w:w="0" w:type="dxa"/>
        <w:tblCellMar>
          <w:top w:w="0" w:type="dxa"/>
          <w:left w:w="0" w:type="dxa"/>
          <w:bottom w:w="0" w:type="dxa"/>
          <w:right w:w="0" w:type="dxa"/>
        </w:tblCellMar>
      </w:tblPr>
      <w:tr>
        <w:trPr>
          <w:trHeight w:val="201"/>
        </w:trPr>
        <w:tc>
          <w:tcPr>
            <w:tcW w:w="3220" w:type="dxa"/>
            <w:vAlign w:val="bottom"/>
          </w:tcPr>
          <w:p>
            <w:pPr>
              <w:spacing w:after="0"/>
              <w:rPr>
                <w:sz w:val="17"/>
                <w:szCs w:val="17"/>
                <w:color w:val="auto"/>
              </w:rPr>
            </w:pPr>
          </w:p>
        </w:tc>
        <w:tc>
          <w:tcPr>
            <w:tcW w:w="4440" w:type="dxa"/>
            <w:vAlign w:val="bottom"/>
          </w:tcPr>
          <w:p>
            <w:pPr>
              <w:jc w:val="center"/>
              <w:ind w:left="870"/>
              <w:spacing w:after="0" w:line="201" w:lineRule="exact"/>
              <w:rPr>
                <w:sz w:val="20"/>
                <w:szCs w:val="20"/>
                <w:color w:val="auto"/>
              </w:rPr>
            </w:pPr>
            <w:r>
              <w:rPr>
                <w:rFonts w:ascii="Arial" w:cs="Arial" w:eastAsia="Arial" w:hAnsi="Arial"/>
                <w:sz w:val="18"/>
                <w:szCs w:val="18"/>
                <w:color w:val="auto"/>
                <w:w w:val="88"/>
              </w:rPr>
              <w:t>Shares of</w:t>
            </w:r>
          </w:p>
        </w:tc>
        <w:tc>
          <w:tcPr>
            <w:tcW w:w="358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0"/>
              </w:rPr>
              <w:t>% of Class of</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jc w:val="center"/>
              <w:ind w:left="870"/>
              <w:spacing w:after="0"/>
              <w:rPr>
                <w:sz w:val="20"/>
                <w:szCs w:val="20"/>
                <w:color w:val="auto"/>
              </w:rPr>
            </w:pPr>
            <w:r>
              <w:rPr>
                <w:rFonts w:ascii="Arial" w:cs="Arial" w:eastAsia="Arial" w:hAnsi="Arial"/>
                <w:sz w:val="18"/>
                <w:szCs w:val="18"/>
                <w:color w:val="auto"/>
                <w:w w:val="90"/>
              </w:rPr>
              <w:t>Common Stock</w:t>
            </w:r>
          </w:p>
        </w:tc>
        <w:tc>
          <w:tcPr>
            <w:tcW w:w="358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r>
      <w:tr>
        <w:trPr>
          <w:trHeight w:val="223"/>
        </w:trPr>
        <w:tc>
          <w:tcPr>
            <w:tcW w:w="322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Gabelli Funds</w:t>
            </w:r>
          </w:p>
        </w:tc>
        <w:tc>
          <w:tcPr>
            <w:tcW w:w="4440" w:type="dxa"/>
            <w:vAlign w:val="bottom"/>
          </w:tcPr>
          <w:p>
            <w:pPr>
              <w:jc w:val="center"/>
              <w:ind w:left="870"/>
              <w:spacing w:after="0"/>
              <w:rPr>
                <w:sz w:val="20"/>
                <w:szCs w:val="20"/>
                <w:color w:val="auto"/>
              </w:rPr>
            </w:pPr>
            <w:r>
              <w:rPr>
                <w:rFonts w:ascii="Arial" w:cs="Arial" w:eastAsia="Arial" w:hAnsi="Arial"/>
                <w:sz w:val="18"/>
                <w:szCs w:val="18"/>
                <w:color w:val="auto"/>
                <w:w w:val="87"/>
              </w:rPr>
              <w:t>85,700</w:t>
            </w:r>
          </w:p>
        </w:tc>
        <w:tc>
          <w:tcPr>
            <w:tcW w:w="3580" w:type="dxa"/>
            <w:vAlign w:val="bottom"/>
          </w:tcPr>
          <w:p>
            <w:pPr>
              <w:jc w:val="center"/>
              <w:ind w:right="130"/>
              <w:spacing w:after="0"/>
              <w:rPr>
                <w:sz w:val="20"/>
                <w:szCs w:val="20"/>
                <w:color w:val="auto"/>
              </w:rPr>
            </w:pPr>
            <w:r>
              <w:rPr>
                <w:rFonts w:ascii="Arial" w:cs="Arial" w:eastAsia="Arial" w:hAnsi="Arial"/>
                <w:sz w:val="18"/>
                <w:szCs w:val="18"/>
                <w:color w:val="auto"/>
                <w:w w:val="93"/>
              </w:rPr>
              <w:t>1.68%</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GAMCO</w:t>
            </w:r>
          </w:p>
        </w:tc>
        <w:tc>
          <w:tcPr>
            <w:tcW w:w="4440" w:type="dxa"/>
            <w:vAlign w:val="bottom"/>
          </w:tcPr>
          <w:p>
            <w:pPr>
              <w:jc w:val="center"/>
              <w:ind w:left="870"/>
              <w:spacing w:after="0"/>
              <w:rPr>
                <w:sz w:val="20"/>
                <w:szCs w:val="20"/>
                <w:color w:val="auto"/>
              </w:rPr>
            </w:pPr>
            <w:r>
              <w:rPr>
                <w:rFonts w:ascii="Arial" w:cs="Arial" w:eastAsia="Arial" w:hAnsi="Arial"/>
                <w:sz w:val="18"/>
                <w:szCs w:val="18"/>
                <w:color w:val="auto"/>
                <w:w w:val="92"/>
              </w:rPr>
              <w:t>429,706</w:t>
            </w:r>
          </w:p>
        </w:tc>
        <w:tc>
          <w:tcPr>
            <w:tcW w:w="3580" w:type="dxa"/>
            <w:vAlign w:val="bottom"/>
          </w:tcPr>
          <w:p>
            <w:pPr>
              <w:jc w:val="center"/>
              <w:ind w:right="130"/>
              <w:spacing w:after="0"/>
              <w:rPr>
                <w:sz w:val="20"/>
                <w:szCs w:val="20"/>
                <w:color w:val="auto"/>
              </w:rPr>
            </w:pPr>
            <w:r>
              <w:rPr>
                <w:rFonts w:ascii="Arial" w:cs="Arial" w:eastAsia="Arial" w:hAnsi="Arial"/>
                <w:sz w:val="18"/>
                <w:szCs w:val="18"/>
                <w:color w:val="auto"/>
                <w:w w:val="93"/>
              </w:rPr>
              <w:t>8.42%</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Teton Advisors</w:t>
            </w:r>
          </w:p>
        </w:tc>
        <w:tc>
          <w:tcPr>
            <w:tcW w:w="4440" w:type="dxa"/>
            <w:vAlign w:val="bottom"/>
          </w:tcPr>
          <w:p>
            <w:pPr>
              <w:jc w:val="center"/>
              <w:ind w:left="870"/>
              <w:spacing w:after="0"/>
              <w:rPr>
                <w:sz w:val="20"/>
                <w:szCs w:val="20"/>
                <w:color w:val="auto"/>
              </w:rPr>
            </w:pPr>
            <w:r>
              <w:rPr>
                <w:rFonts w:ascii="Arial" w:cs="Arial" w:eastAsia="Arial" w:hAnsi="Arial"/>
                <w:sz w:val="18"/>
                <w:szCs w:val="18"/>
                <w:color w:val="auto"/>
                <w:w w:val="87"/>
              </w:rPr>
              <w:t>15,000</w:t>
            </w:r>
          </w:p>
        </w:tc>
        <w:tc>
          <w:tcPr>
            <w:tcW w:w="3580" w:type="dxa"/>
            <w:vAlign w:val="bottom"/>
          </w:tcPr>
          <w:p>
            <w:pPr>
              <w:jc w:val="center"/>
              <w:ind w:right="130"/>
              <w:spacing w:after="0"/>
              <w:rPr>
                <w:sz w:val="20"/>
                <w:szCs w:val="20"/>
                <w:color w:val="auto"/>
              </w:rPr>
            </w:pPr>
            <w:r>
              <w:rPr>
                <w:rFonts w:ascii="Arial" w:cs="Arial" w:eastAsia="Arial" w:hAnsi="Arial"/>
                <w:sz w:val="18"/>
                <w:szCs w:val="18"/>
                <w:color w:val="auto"/>
                <w:w w:val="93"/>
              </w:rPr>
              <w:t>0.29%</w:t>
            </w:r>
          </w:p>
        </w:tc>
      </w:tr>
    </w:tbl>
    <w:p>
      <w:pPr>
        <w:spacing w:after="0" w:line="195"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Mario Gabelli is deemed to have beneficial ownership of the Securities owned beneficially by each of the foregoing persons. AC, GBL and GGCP are deemed to have beneficial ownership of the Securities owned beneficially by each of the foregoing persons other than Mario Gabelli and the Foundation.</w:t>
      </w:r>
    </w:p>
    <w:p>
      <w:pPr>
        <w:spacing w:after="0" w:line="1" w:lineRule="exact"/>
        <w:rPr>
          <w:sz w:val="20"/>
          <w:szCs w:val="20"/>
          <w:color w:val="auto"/>
        </w:rPr>
      </w:pPr>
    </w:p>
    <w:p>
      <w:pPr>
        <w:jc w:val="both"/>
        <w:ind w:right="40" w:firstLine="1304"/>
        <w:spacing w:after="0" w:line="266" w:lineRule="auto"/>
        <w:tabs>
          <w:tab w:leader="none" w:pos="1602" w:val="left"/>
        </w:tabs>
        <w:numPr>
          <w:ilvl w:val="0"/>
          <w:numId w:val="50"/>
        </w:numPr>
        <w:rPr>
          <w:rFonts w:ascii="Arial" w:cs="Arial" w:eastAsia="Arial" w:hAnsi="Arial"/>
          <w:sz w:val="19"/>
          <w:szCs w:val="19"/>
          <w:color w:val="auto"/>
        </w:rPr>
      </w:pPr>
      <w:r>
        <w:rPr>
          <w:rFonts w:ascii="Arial" w:cs="Arial" w:eastAsia="Arial" w:hAnsi="Arial"/>
          <w:sz w:val="19"/>
          <w:szCs w:val="19"/>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5,300 of the</w:t>
      </w:r>
    </w:p>
    <w:p>
      <w:pPr>
        <w:spacing w:after="0" w:line="3"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auto"/>
        </w:rPr>
        <w:t>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p>
      <w:pPr>
        <w:spacing w:after="0" w:line="5" w:lineRule="exact"/>
        <w:rPr>
          <w:sz w:val="20"/>
          <w:szCs w:val="20"/>
          <w:color w:val="auto"/>
        </w:rPr>
      </w:pPr>
    </w:p>
    <w:p>
      <w:pPr>
        <w:ind w:right="180" w:firstLine="1304"/>
        <w:spacing w:after="0" w:line="234" w:lineRule="auto"/>
        <w:tabs>
          <w:tab w:leader="none" w:pos="159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ectPr>
          <w:pgSz w:w="11900" w:h="16898" w:orient="portrait"/>
          <w:cols w:equalWidth="0" w:num="1">
            <w:col w:w="11240"/>
          </w:cols>
          <w:pgMar w:left="320" w:top="118" w:right="339" w:bottom="0" w:gutter="0" w:footer="0" w:header="0"/>
        </w:sectPr>
      </w:pPr>
    </w:p>
    <w:bookmarkStart w:id="10" w:name="page11"/>
    <w:bookmarkEnd w:id="10"/>
    <w:p>
      <w:pPr>
        <w:ind w:left="180"/>
        <w:spacing w:after="0"/>
        <w:rPr>
          <w:sz w:val="20"/>
          <w:szCs w:val="20"/>
          <w:color w:val="auto"/>
        </w:rPr>
      </w:pPr>
      <w:r>
        <w:rPr>
          <w:rFonts w:ascii="Arial" w:cs="Arial" w:eastAsia="Arial" w:hAnsi="Arial"/>
          <w:sz w:val="22"/>
          <w:szCs w:val="22"/>
          <w:color w:val="auto"/>
        </w:rPr>
        <w:t>(e) Not applicable.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 w:name="page12"/>
    <w:bookmarkEnd w:id="11"/>
    <w:p>
      <w:pPr>
        <w:spacing w:after="0"/>
        <w:rPr>
          <w:sz w:val="20"/>
          <w:szCs w:val="20"/>
          <w:color w:val="auto"/>
        </w:rPr>
      </w:pPr>
      <w:r>
        <w:rPr>
          <w:rFonts w:ascii="Arial" w:cs="Arial" w:eastAsia="Arial" w:hAnsi="Arial"/>
          <w:sz w:val="22"/>
          <w:szCs w:val="22"/>
          <w:u w:val="single" w:color="auto"/>
          <w:color w:val="auto"/>
        </w:rPr>
        <w:t>Signature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w:t>
      </w:r>
    </w:p>
    <w:p>
      <w:pPr>
        <w:spacing w:after="0" w:line="231" w:lineRule="auto"/>
        <w:rPr>
          <w:sz w:val="20"/>
          <w:szCs w:val="20"/>
          <w:color w:val="auto"/>
        </w:rPr>
      </w:pPr>
      <w:r>
        <w:rPr>
          <w:rFonts w:ascii="Arial" w:cs="Arial" w:eastAsia="Arial" w:hAnsi="Arial"/>
          <w:sz w:val="22"/>
          <w:szCs w:val="22"/>
          <w:color w:val="auto"/>
        </w:rPr>
        <w:t>statement is true, complete and correct.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Dated: July 31, 2023</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GGCP,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MARIO J. GABELLI</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David Goldman</w:t>
      </w:r>
    </w:p>
    <w:p>
      <w:pPr>
        <w:ind w:left="4160"/>
        <w:spacing w:after="0" w:line="238" w:lineRule="auto"/>
        <w:rPr>
          <w:sz w:val="20"/>
          <w:szCs w:val="20"/>
          <w:color w:val="auto"/>
        </w:rPr>
      </w:pPr>
      <w:r>
        <w:rPr>
          <w:rFonts w:ascii="Arial" w:cs="Arial" w:eastAsia="Arial" w:hAnsi="Arial"/>
          <w:sz w:val="22"/>
          <w:szCs w:val="22"/>
          <w:color w:val="auto"/>
        </w:rPr>
        <w:t>David Goldman</w:t>
      </w:r>
    </w:p>
    <w:p>
      <w:pPr>
        <w:ind w:left="4160"/>
        <w:spacing w:after="0"/>
        <w:rPr>
          <w:sz w:val="20"/>
          <w:szCs w:val="20"/>
          <w:color w:val="auto"/>
        </w:rPr>
      </w:pPr>
      <w:r>
        <w:rPr>
          <w:rFonts w:ascii="Arial" w:cs="Arial" w:eastAsia="Arial" w:hAnsi="Arial"/>
          <w:sz w:val="22"/>
          <w:szCs w:val="22"/>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TETON ADVISORS, LLC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GABELLI FUNDS, LLC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David Goldman</w:t>
      </w:r>
    </w:p>
    <w:p>
      <w:pPr>
        <w:ind w:left="4160"/>
        <w:spacing w:after="0" w:line="238" w:lineRule="auto"/>
        <w:rPr>
          <w:sz w:val="20"/>
          <w:szCs w:val="20"/>
          <w:color w:val="auto"/>
        </w:rPr>
      </w:pPr>
      <w:r>
        <w:rPr>
          <w:rFonts w:ascii="Arial" w:cs="Arial" w:eastAsia="Arial" w:hAnsi="Arial"/>
          <w:sz w:val="22"/>
          <w:szCs w:val="22"/>
          <w:color w:val="auto"/>
        </w:rPr>
        <w:t>David Goldman</w:t>
      </w:r>
    </w:p>
    <w:p>
      <w:pPr>
        <w:ind w:left="4160"/>
        <w:spacing w:after="0" w:line="230" w:lineRule="auto"/>
        <w:rPr>
          <w:sz w:val="20"/>
          <w:szCs w:val="20"/>
          <w:color w:val="auto"/>
        </w:rPr>
      </w:pPr>
      <w:r>
        <w:rPr>
          <w:rFonts w:ascii="Arial" w:cs="Arial" w:eastAsia="Arial" w:hAnsi="Arial"/>
          <w:sz w:val="22"/>
          <w:szCs w:val="22"/>
          <w:color w:val="auto"/>
        </w:rPr>
        <w:t>General Counsel - Gabelli Funds, LLC</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Counsel – Teton Advisors, LLC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GAMCO INVESTORS,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Peter D. Goldstein</w:t>
      </w:r>
    </w:p>
    <w:p>
      <w:pPr>
        <w:ind w:left="4160"/>
        <w:spacing w:after="0" w:line="238" w:lineRule="auto"/>
        <w:rPr>
          <w:sz w:val="20"/>
          <w:szCs w:val="20"/>
          <w:color w:val="auto"/>
        </w:rPr>
      </w:pPr>
      <w:r>
        <w:rPr>
          <w:rFonts w:ascii="Arial" w:cs="Arial" w:eastAsia="Arial" w:hAnsi="Arial"/>
          <w:sz w:val="22"/>
          <w:szCs w:val="22"/>
          <w:color w:val="auto"/>
        </w:rPr>
        <w:t>Peter D. Goldstein</w:t>
      </w:r>
    </w:p>
    <w:p>
      <w:pPr>
        <w:ind w:left="4120"/>
        <w:spacing w:after="0"/>
        <w:rPr>
          <w:sz w:val="20"/>
          <w:szCs w:val="20"/>
          <w:color w:val="auto"/>
        </w:rPr>
      </w:pPr>
      <w:r>
        <w:rPr>
          <w:rFonts w:ascii="Arial" w:cs="Arial" w:eastAsia="Arial" w:hAnsi="Arial"/>
          <w:sz w:val="22"/>
          <w:szCs w:val="22"/>
          <w:color w:val="auto"/>
        </w:rPr>
        <w:t>General Counsel – GAMCO Investors, Inc.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ASSOCIATED CAPITAL GROUP,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GAMCO ASSET MANAGEMENT INC.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Douglas R. Jamieson</w:t>
      </w:r>
    </w:p>
    <w:p>
      <w:pPr>
        <w:ind w:left="4160"/>
        <w:spacing w:after="0" w:line="238" w:lineRule="auto"/>
        <w:rPr>
          <w:sz w:val="20"/>
          <w:szCs w:val="20"/>
          <w:color w:val="auto"/>
        </w:rPr>
      </w:pPr>
      <w:r>
        <w:rPr>
          <w:rFonts w:ascii="Arial" w:cs="Arial" w:eastAsia="Arial" w:hAnsi="Arial"/>
          <w:sz w:val="22"/>
          <w:szCs w:val="22"/>
          <w:color w:val="auto"/>
        </w:rPr>
        <w:t>Douglas R. Jamieson</w:t>
      </w:r>
    </w:p>
    <w:p>
      <w:pPr>
        <w:ind w:left="4320"/>
        <w:spacing w:after="0" w:line="230" w:lineRule="auto"/>
        <w:rPr>
          <w:sz w:val="20"/>
          <w:szCs w:val="20"/>
          <w:color w:val="auto"/>
        </w:rPr>
      </w:pPr>
      <w:r>
        <w:rPr>
          <w:rFonts w:ascii="Arial" w:cs="Arial" w:eastAsia="Arial" w:hAnsi="Arial"/>
          <w:sz w:val="22"/>
          <w:szCs w:val="22"/>
          <w:color w:val="auto"/>
        </w:rPr>
        <w:t>President &amp; Chief Executive Officer – Associated Capital</w:t>
      </w:r>
    </w:p>
    <w:p>
      <w:pPr>
        <w:ind w:left="4540"/>
        <w:spacing w:after="0" w:line="231" w:lineRule="auto"/>
        <w:rPr>
          <w:sz w:val="20"/>
          <w:szCs w:val="20"/>
          <w:color w:val="auto"/>
        </w:rPr>
      </w:pPr>
      <w:r>
        <w:rPr>
          <w:rFonts w:ascii="Arial" w:cs="Arial" w:eastAsia="Arial" w:hAnsi="Arial"/>
          <w:sz w:val="22"/>
          <w:szCs w:val="22"/>
          <w:color w:val="auto"/>
        </w:rPr>
        <w:t>Group, Inc.</w:t>
      </w:r>
    </w:p>
    <w:p>
      <w:pPr>
        <w:ind w:left="4220"/>
        <w:spacing w:after="0"/>
        <w:rPr>
          <w:sz w:val="20"/>
          <w:szCs w:val="20"/>
          <w:color w:val="auto"/>
        </w:rPr>
      </w:pPr>
      <w:r>
        <w:rPr>
          <w:rFonts w:ascii="Arial" w:cs="Arial" w:eastAsia="Arial" w:hAnsi="Arial"/>
          <w:sz w:val="22"/>
          <w:szCs w:val="22"/>
          <w:color w:val="auto"/>
        </w:rPr>
        <w:t>President – GAMCO Asset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 w:name="page13"/>
    <w:bookmarkEnd w:id="12"/>
    <w:p>
      <w:pPr>
        <w:ind w:left="532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chedule</w:t>
      </w:r>
      <w:r>
        <w:rPr>
          <w:rFonts w:ascii="Arial" w:cs="Arial" w:eastAsia="Arial" w:hAnsi="Arial"/>
          <w:sz w:val="22"/>
          <w:szCs w:val="22"/>
          <w:color w:val="auto"/>
        </w:rPr>
        <w:t xml:space="preserve"> I</w:t>
      </w:r>
    </w:p>
    <w:p>
      <w:pPr>
        <w:ind w:left="2880"/>
        <w:spacing w:after="0" w:line="238" w:lineRule="auto"/>
        <w:rPr>
          <w:sz w:val="20"/>
          <w:szCs w:val="20"/>
          <w:color w:val="auto"/>
        </w:rPr>
      </w:pPr>
      <w:r>
        <w:rPr>
          <w:rFonts w:ascii="Arial" w:cs="Arial" w:eastAsia="Arial" w:hAnsi="Arial"/>
          <w:sz w:val="22"/>
          <w:szCs w:val="22"/>
          <w:color w:val="auto"/>
        </w:rPr>
        <w:t>Information with Respect to Executive</w:t>
      </w:r>
    </w:p>
    <w:p>
      <w:pPr>
        <w:ind w:left="3800"/>
        <w:spacing w:after="0" w:line="230" w:lineRule="auto"/>
        <w:rPr>
          <w:sz w:val="20"/>
          <w:szCs w:val="20"/>
          <w:color w:val="auto"/>
        </w:rPr>
      </w:pPr>
      <w:r>
        <w:rPr>
          <w:rFonts w:ascii="Arial" w:cs="Arial" w:eastAsia="Arial" w:hAnsi="Arial"/>
          <w:sz w:val="22"/>
          <w:szCs w:val="22"/>
          <w:u w:val="single" w:color="auto"/>
          <w:color w:val="auto"/>
        </w:rPr>
        <w:t>Officers and Directors of the Undersigned</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Schedule I to Schedule 13D is amended, in pertinent part, as follows:</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G.research, LLC, Teton Advisors, LLC, or GAMCO Investors, Inc., the business address of each of which is One Corporate Center, Rye, New York 10580, or Gabelli &amp; Company Investment Advisers, Inc. or Associated Capital Group, Inc., the business address of each of which is 191 Mason Street, Greenwich, CT 06830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 w:name="page14"/>
    <w:bookmarkEnd w:id="13"/>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GAMCO Investors,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688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ind w:left="660"/>
              <w:spacing w:after="0"/>
              <w:rPr>
                <w:sz w:val="20"/>
                <w:szCs w:val="20"/>
                <w:color w:val="auto"/>
              </w:rPr>
            </w:pPr>
            <w:r>
              <w:rPr>
                <w:rFonts w:ascii="Arial" w:cs="Arial" w:eastAsia="Arial" w:hAnsi="Arial"/>
                <w:sz w:val="18"/>
                <w:szCs w:val="18"/>
                <w:color w:val="auto"/>
              </w:rPr>
              <w:t>Raymond C. Avansino</w:t>
            </w:r>
          </w:p>
        </w:tc>
        <w:tc>
          <w:tcPr>
            <w:tcW w:w="6860" w:type="dxa"/>
            <w:vAlign w:val="bottom"/>
          </w:tcPr>
          <w:p>
            <w:pPr>
              <w:spacing w:after="0"/>
              <w:rPr>
                <w:sz w:val="20"/>
                <w:szCs w:val="20"/>
                <w:color w:val="auto"/>
              </w:rPr>
            </w:pPr>
            <w:r>
              <w:rPr>
                <w:rFonts w:ascii="Arial" w:cs="Arial" w:eastAsia="Arial" w:hAnsi="Arial"/>
                <w:sz w:val="18"/>
                <w:szCs w:val="18"/>
                <w:color w:val="auto"/>
              </w:rPr>
              <w:t>Chairman &amp; Chief Executive Officer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E.L. Wiegand Foundation</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165 West Liberty Street</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Reno, NV 89501</w:t>
            </w:r>
          </w:p>
        </w:tc>
        <w:tc>
          <w:tcPr>
            <w:tcW w:w="0" w:type="dxa"/>
            <w:vAlign w:val="bottom"/>
          </w:tcPr>
          <w:p>
            <w:pPr>
              <w:spacing w:after="0"/>
              <w:rPr>
                <w:sz w:val="1"/>
                <w:szCs w:val="1"/>
                <w:color w:val="auto"/>
              </w:rPr>
            </w:pPr>
          </w:p>
        </w:tc>
      </w:tr>
      <w:tr>
        <w:trPr>
          <w:trHeight w:val="418"/>
        </w:trPr>
        <w:tc>
          <w:tcPr>
            <w:tcW w:w="3900" w:type="dxa"/>
            <w:vAlign w:val="bottom"/>
          </w:tcPr>
          <w:p>
            <w:pPr>
              <w:ind w:left="640"/>
              <w:spacing w:after="0"/>
              <w:rPr>
                <w:sz w:val="20"/>
                <w:szCs w:val="20"/>
                <w:color w:val="auto"/>
              </w:rPr>
            </w:pPr>
            <w:r>
              <w:rPr>
                <w:rFonts w:ascii="Arial" w:cs="Arial" w:eastAsia="Arial" w:hAnsi="Arial"/>
                <w:sz w:val="18"/>
                <w:szCs w:val="18"/>
                <w:color w:val="auto"/>
              </w:rPr>
              <w:t>Leslie B. Daniels</w:t>
            </w:r>
          </w:p>
        </w:tc>
        <w:tc>
          <w:tcPr>
            <w:tcW w:w="6860" w:type="dxa"/>
            <w:vAlign w:val="bottom"/>
          </w:tcPr>
          <w:p>
            <w:pPr>
              <w:spacing w:after="0"/>
              <w:rPr>
                <w:sz w:val="20"/>
                <w:szCs w:val="20"/>
                <w:color w:val="auto"/>
              </w:rPr>
            </w:pPr>
            <w:r>
              <w:rPr>
                <w:rFonts w:ascii="Arial" w:cs="Arial" w:eastAsia="Arial" w:hAnsi="Arial"/>
                <w:sz w:val="18"/>
                <w:szCs w:val="18"/>
                <w:color w:val="auto"/>
              </w:rPr>
              <w:t>Operating Partner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AE Industrial Partners, LP</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2500 N. Military Trail, Suite 470</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Boca Raton, FL 33431</w:t>
            </w:r>
          </w:p>
        </w:tc>
        <w:tc>
          <w:tcPr>
            <w:tcW w:w="0" w:type="dxa"/>
            <w:vAlign w:val="bottom"/>
          </w:tcPr>
          <w:p>
            <w:pPr>
              <w:spacing w:after="0"/>
              <w:rPr>
                <w:sz w:val="1"/>
                <w:szCs w:val="1"/>
                <w:color w:val="auto"/>
              </w:rPr>
            </w:pPr>
          </w:p>
        </w:tc>
      </w:tr>
      <w:tr>
        <w:trPr>
          <w:trHeight w:val="418"/>
        </w:trPr>
        <w:tc>
          <w:tcPr>
            <w:tcW w:w="390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8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of GGCP, Inc.</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Chairman &amp; Co-Chief Executive Officer of GAMCO Investors, Inc.</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Executive Chairman of Associated Capital Group, Inc.</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8"/>
              </w:rPr>
              <w:t>Director/Trustee of all registered investment companies advised by Gabelli Funds, LLC.</w:t>
            </w: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 GAMCO Investors, Inc.</w:t>
            </w:r>
          </w:p>
        </w:tc>
        <w:tc>
          <w:tcPr>
            <w:tcW w:w="0" w:type="dxa"/>
            <w:vAlign w:val="bottom"/>
          </w:tcPr>
          <w:p>
            <w:pPr>
              <w:spacing w:after="0"/>
              <w:rPr>
                <w:sz w:val="1"/>
                <w:szCs w:val="1"/>
                <w:color w:val="auto"/>
              </w:rPr>
            </w:pPr>
          </w:p>
        </w:tc>
      </w:tr>
      <w:tr>
        <w:trPr>
          <w:trHeight w:val="216"/>
        </w:trPr>
        <w:tc>
          <w:tcPr>
            <w:tcW w:w="3900" w:type="dxa"/>
            <w:vAlign w:val="bottom"/>
          </w:tcPr>
          <w:p>
            <w:pPr>
              <w:ind w:left="640"/>
              <w:spacing w:after="0"/>
              <w:rPr>
                <w:sz w:val="20"/>
                <w:szCs w:val="20"/>
                <w:color w:val="auto"/>
              </w:rPr>
            </w:pPr>
            <w:r>
              <w:rPr>
                <w:rFonts w:ascii="Arial" w:cs="Arial" w:eastAsia="Arial" w:hAnsi="Arial"/>
                <w:sz w:val="18"/>
                <w:szCs w:val="18"/>
                <w:color w:val="auto"/>
              </w:rPr>
              <w:t>Elisa M. Wilson</w:t>
            </w:r>
          </w:p>
        </w:tc>
        <w:tc>
          <w:tcPr>
            <w:tcW w:w="6860" w:type="dxa"/>
            <w:vAlign w:val="bottom"/>
          </w:tcPr>
          <w:p>
            <w:pPr>
              <w:spacing w:after="0"/>
              <w:rPr>
                <w:sz w:val="20"/>
                <w:szCs w:val="20"/>
                <w:color w:val="auto"/>
              </w:rPr>
            </w:pPr>
            <w:r>
              <w:rPr>
                <w:rFonts w:ascii="Arial" w:cs="Arial" w:eastAsia="Arial" w:hAnsi="Arial"/>
                <w:sz w:val="18"/>
                <w:szCs w:val="18"/>
                <w:color w:val="auto"/>
              </w:rPr>
              <w:t>One Corporate Center</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Rye, NY 10580</w:t>
            </w:r>
          </w:p>
        </w:tc>
        <w:tc>
          <w:tcPr>
            <w:tcW w:w="0" w:type="dxa"/>
            <w:vAlign w:val="bottom"/>
          </w:tcPr>
          <w:p>
            <w:pPr>
              <w:spacing w:after="0"/>
              <w:rPr>
                <w:sz w:val="1"/>
                <w:szCs w:val="1"/>
                <w:color w:val="auto"/>
              </w:rPr>
            </w:pPr>
          </w:p>
        </w:tc>
      </w:tr>
      <w:tr>
        <w:trPr>
          <w:trHeight w:val="634"/>
        </w:trPr>
        <w:tc>
          <w:tcPr>
            <w:tcW w:w="390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6860" w:type="dxa"/>
            <w:vAlign w:val="bottom"/>
          </w:tcPr>
          <w:p>
            <w:pPr>
              <w:spacing w:after="0"/>
              <w:rPr>
                <w:sz w:val="20"/>
                <w:szCs w:val="20"/>
                <w:color w:val="auto"/>
              </w:rPr>
            </w:pPr>
            <w:r>
              <w:rPr>
                <w:rFonts w:ascii="Arial" w:cs="Arial" w:eastAsia="Arial" w:hAnsi="Arial"/>
                <w:sz w:val="18"/>
                <w:szCs w:val="18"/>
                <w:color w:val="auto"/>
              </w:rPr>
              <w:t>Co-Chief Executive Officer of GAMCO Investors, Inc.</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President and Chief Executive Officer of Associated Capital Group, Inc.</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1"/>
              </w:rPr>
              <w:t>President, Chief Operating Officer and Managing Director of GAMCO Asset Management Inc.</w:t>
            </w:r>
          </w:p>
        </w:tc>
        <w:tc>
          <w:tcPr>
            <w:tcW w:w="0" w:type="dxa"/>
            <w:vAlign w:val="bottom"/>
          </w:tcPr>
          <w:p>
            <w:pPr>
              <w:spacing w:after="0"/>
              <w:rPr>
                <w:sz w:val="1"/>
                <w:szCs w:val="1"/>
                <w:color w:val="auto"/>
              </w:rPr>
            </w:pPr>
          </w:p>
        </w:tc>
      </w:tr>
      <w:tr>
        <w:trPr>
          <w:trHeight w:val="418"/>
        </w:trPr>
        <w:tc>
          <w:tcPr>
            <w:tcW w:w="3900" w:type="dxa"/>
            <w:vAlign w:val="bottom"/>
          </w:tcPr>
          <w:p>
            <w:pPr>
              <w:ind w:left="680"/>
              <w:spacing w:after="0"/>
              <w:rPr>
                <w:sz w:val="20"/>
                <w:szCs w:val="20"/>
                <w:color w:val="auto"/>
              </w:rPr>
            </w:pPr>
            <w:r>
              <w:rPr>
                <w:rFonts w:ascii="Arial" w:cs="Arial" w:eastAsia="Arial" w:hAnsi="Arial"/>
                <w:sz w:val="18"/>
                <w:szCs w:val="18"/>
                <w:color w:val="auto"/>
              </w:rPr>
              <w:t>Robert S. Prather</w:t>
            </w:r>
          </w:p>
        </w:tc>
        <w:tc>
          <w:tcPr>
            <w:tcW w:w="68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Heartland Media, LLC</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1843 West Wesley Road</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Atlanta, GA 30327</w:t>
            </w:r>
          </w:p>
        </w:tc>
        <w:tc>
          <w:tcPr>
            <w:tcW w:w="0" w:type="dxa"/>
            <w:vAlign w:val="bottom"/>
          </w:tcPr>
          <w:p>
            <w:pPr>
              <w:spacing w:after="0"/>
              <w:rPr>
                <w:sz w:val="1"/>
                <w:szCs w:val="1"/>
                <w:color w:val="auto"/>
              </w:rPr>
            </w:pPr>
          </w:p>
        </w:tc>
      </w:tr>
      <w:tr>
        <w:trPr>
          <w:trHeight w:val="432"/>
        </w:trPr>
        <w:tc>
          <w:tcPr>
            <w:tcW w:w="3900" w:type="dxa"/>
            <w:vAlign w:val="bottom"/>
          </w:tcPr>
          <w:p>
            <w:pPr>
              <w:ind w:left="680"/>
              <w:spacing w:after="0"/>
              <w:rPr>
                <w:sz w:val="20"/>
                <w:szCs w:val="20"/>
                <w:color w:val="auto"/>
              </w:rPr>
            </w:pPr>
            <w:r>
              <w:rPr>
                <w:rFonts w:ascii="Arial" w:cs="Arial" w:eastAsia="Arial" w:hAnsi="Arial"/>
                <w:sz w:val="18"/>
                <w:szCs w:val="18"/>
                <w:color w:val="auto"/>
              </w:rPr>
              <w:t>Agnes Mullady</w:t>
            </w:r>
          </w:p>
        </w:tc>
        <w:tc>
          <w:tcPr>
            <w:tcW w:w="6860" w:type="dxa"/>
            <w:vAlign w:val="bottom"/>
          </w:tcPr>
          <w:p>
            <w:pPr>
              <w:spacing w:after="0"/>
              <w:rPr>
                <w:sz w:val="20"/>
                <w:szCs w:val="20"/>
                <w:color w:val="auto"/>
              </w:rPr>
            </w:pPr>
            <w:r>
              <w:rPr>
                <w:rFonts w:ascii="Arial" w:cs="Arial" w:eastAsia="Arial" w:hAnsi="Arial"/>
                <w:sz w:val="18"/>
                <w:szCs w:val="18"/>
                <w:color w:val="auto"/>
              </w:rPr>
              <w:t>Former Senior Vice President of GAMCO Investors, Inc.</w:t>
            </w:r>
          </w:p>
        </w:tc>
        <w:tc>
          <w:tcPr>
            <w:tcW w:w="0" w:type="dxa"/>
            <w:vAlign w:val="bottom"/>
          </w:tcPr>
          <w:p>
            <w:pPr>
              <w:spacing w:after="0"/>
              <w:rPr>
                <w:sz w:val="1"/>
                <w:szCs w:val="1"/>
                <w:color w:val="auto"/>
              </w:rPr>
            </w:pPr>
          </w:p>
        </w:tc>
      </w:tr>
      <w:tr>
        <w:trPr>
          <w:trHeight w:val="648"/>
        </w:trPr>
        <w:tc>
          <w:tcPr>
            <w:tcW w:w="3900" w:type="dxa"/>
            <w:vAlign w:val="bottom"/>
          </w:tcPr>
          <w:p>
            <w:pPr>
              <w:ind w:left="680"/>
              <w:spacing w:after="0"/>
              <w:rPr>
                <w:sz w:val="20"/>
                <w:szCs w:val="20"/>
                <w:color w:val="auto"/>
              </w:rPr>
            </w:pPr>
            <w:r>
              <w:rPr>
                <w:rFonts w:ascii="Arial" w:cs="Arial" w:eastAsia="Arial" w:hAnsi="Arial"/>
                <w:sz w:val="18"/>
                <w:szCs w:val="18"/>
                <w:color w:val="auto"/>
              </w:rPr>
              <w:t>Alexis Glick</w:t>
            </w:r>
          </w:p>
        </w:tc>
        <w:tc>
          <w:tcPr>
            <w:tcW w:w="6860" w:type="dxa"/>
            <w:vAlign w:val="bottom"/>
          </w:tcPr>
          <w:p>
            <w:pPr>
              <w:spacing w:after="0"/>
              <w:rPr>
                <w:sz w:val="20"/>
                <w:szCs w:val="20"/>
                <w:color w:val="auto"/>
              </w:rPr>
            </w:pPr>
            <w:r>
              <w:rPr>
                <w:rFonts w:ascii="Arial" w:cs="Arial" w:eastAsia="Arial" w:hAnsi="Arial"/>
                <w:sz w:val="18"/>
                <w:szCs w:val="18"/>
                <w:color w:val="auto"/>
              </w:rPr>
              <w:t>Former Chief Executive Officer of GENYOUth</w:t>
            </w: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Officers:</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860" w:type="dxa"/>
            <w:vAlign w:val="bottom"/>
          </w:tcPr>
          <w:p>
            <w:pPr>
              <w:spacing w:after="0"/>
              <w:rPr>
                <w:sz w:val="20"/>
                <w:szCs w:val="20"/>
                <w:color w:val="auto"/>
              </w:rPr>
            </w:pPr>
            <w:r>
              <w:rPr>
                <w:rFonts w:ascii="Arial" w:cs="Arial" w:eastAsia="Arial" w:hAnsi="Arial"/>
                <w:sz w:val="18"/>
                <w:szCs w:val="18"/>
                <w:color w:val="auto"/>
              </w:rPr>
              <w:t>Chairman, Co-Chief Executive Officer and</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6860" w:type="dxa"/>
            <w:vAlign w:val="bottom"/>
          </w:tcPr>
          <w:p>
            <w:pPr>
              <w:ind w:left="320"/>
              <w:spacing w:after="0"/>
              <w:rPr>
                <w:sz w:val="20"/>
                <w:szCs w:val="20"/>
                <w:color w:val="auto"/>
              </w:rPr>
            </w:pPr>
            <w:r>
              <w:rPr>
                <w:rFonts w:ascii="Arial" w:cs="Arial" w:eastAsia="Arial" w:hAnsi="Arial"/>
                <w:sz w:val="18"/>
                <w:szCs w:val="18"/>
                <w:color w:val="auto"/>
              </w:rPr>
              <w:t>Co-Chief Investment Officer - Value</w:t>
            </w:r>
          </w:p>
        </w:tc>
        <w:tc>
          <w:tcPr>
            <w:tcW w:w="0" w:type="dxa"/>
            <w:vAlign w:val="bottom"/>
          </w:tcPr>
          <w:p>
            <w:pPr>
              <w:spacing w:after="0"/>
              <w:rPr>
                <w:sz w:val="1"/>
                <w:szCs w:val="1"/>
                <w:color w:val="auto"/>
              </w:rPr>
            </w:pPr>
          </w:p>
        </w:tc>
      </w:tr>
      <w:tr>
        <w:trPr>
          <w:trHeight w:val="432"/>
        </w:trPr>
        <w:tc>
          <w:tcPr>
            <w:tcW w:w="390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6860" w:type="dxa"/>
            <w:vAlign w:val="bottom"/>
          </w:tcPr>
          <w:p>
            <w:pPr>
              <w:spacing w:after="0"/>
              <w:rPr>
                <w:sz w:val="20"/>
                <w:szCs w:val="20"/>
                <w:color w:val="auto"/>
              </w:rPr>
            </w:pPr>
            <w:r>
              <w:rPr>
                <w:rFonts w:ascii="Arial" w:cs="Arial" w:eastAsia="Arial" w:hAnsi="Arial"/>
                <w:sz w:val="18"/>
                <w:szCs w:val="18"/>
                <w:color w:val="auto"/>
              </w:rPr>
              <w:t>Co-Chief Executive Officer</w:t>
            </w:r>
          </w:p>
        </w:tc>
        <w:tc>
          <w:tcPr>
            <w:tcW w:w="0" w:type="dxa"/>
            <w:vAlign w:val="bottom"/>
          </w:tcPr>
          <w:p>
            <w:pPr>
              <w:spacing w:after="0"/>
              <w:rPr>
                <w:sz w:val="1"/>
                <w:szCs w:val="1"/>
                <w:color w:val="auto"/>
              </w:rPr>
            </w:pPr>
          </w:p>
        </w:tc>
      </w:tr>
      <w:tr>
        <w:trPr>
          <w:trHeight w:val="432"/>
        </w:trPr>
        <w:tc>
          <w:tcPr>
            <w:tcW w:w="3900" w:type="dxa"/>
            <w:vAlign w:val="bottom"/>
          </w:tcPr>
          <w:p>
            <w:pPr>
              <w:ind w:left="660"/>
              <w:spacing w:after="0"/>
              <w:rPr>
                <w:sz w:val="20"/>
                <w:szCs w:val="20"/>
                <w:color w:val="auto"/>
              </w:rPr>
            </w:pPr>
            <w:r>
              <w:rPr>
                <w:rFonts w:ascii="Arial" w:cs="Arial" w:eastAsia="Arial" w:hAnsi="Arial"/>
                <w:sz w:val="18"/>
                <w:szCs w:val="18"/>
                <w:color w:val="auto"/>
              </w:rPr>
              <w:t>Peter D. Goldstein</w:t>
            </w:r>
          </w:p>
        </w:tc>
        <w:tc>
          <w:tcPr>
            <w:tcW w:w="6860" w:type="dxa"/>
            <w:vAlign w:val="bottom"/>
          </w:tcPr>
          <w:p>
            <w:pPr>
              <w:spacing w:after="0"/>
              <w:rPr>
                <w:sz w:val="20"/>
                <w:szCs w:val="20"/>
                <w:color w:val="auto"/>
              </w:rPr>
            </w:pPr>
            <w:r>
              <w:rPr>
                <w:rFonts w:ascii="Arial" w:cs="Arial" w:eastAsia="Arial" w:hAnsi="Arial"/>
                <w:sz w:val="18"/>
                <w:szCs w:val="18"/>
                <w:color w:val="auto"/>
              </w:rPr>
              <w:t>Senior Vice President, General Counsel &amp; Secretary</w:t>
            </w:r>
          </w:p>
        </w:tc>
        <w:tc>
          <w:tcPr>
            <w:tcW w:w="0" w:type="dxa"/>
            <w:vAlign w:val="bottom"/>
          </w:tcPr>
          <w:p>
            <w:pPr>
              <w:spacing w:after="0"/>
              <w:rPr>
                <w:sz w:val="1"/>
                <w:szCs w:val="1"/>
                <w:color w:val="auto"/>
              </w:rPr>
            </w:pPr>
          </w:p>
        </w:tc>
      </w:tr>
      <w:tr>
        <w:trPr>
          <w:trHeight w:val="432"/>
        </w:trPr>
        <w:tc>
          <w:tcPr>
            <w:tcW w:w="3900" w:type="dxa"/>
            <w:vAlign w:val="bottom"/>
          </w:tcPr>
          <w:p>
            <w:pPr>
              <w:ind w:left="660"/>
              <w:spacing w:after="0"/>
              <w:rPr>
                <w:sz w:val="20"/>
                <w:szCs w:val="20"/>
                <w:color w:val="auto"/>
              </w:rPr>
            </w:pPr>
            <w:r>
              <w:rPr>
                <w:rFonts w:ascii="Arial" w:cs="Arial" w:eastAsia="Arial" w:hAnsi="Arial"/>
                <w:sz w:val="18"/>
                <w:szCs w:val="18"/>
                <w:color w:val="auto"/>
              </w:rPr>
              <w:t>Kieran Caterina</w:t>
            </w:r>
          </w:p>
        </w:tc>
        <w:tc>
          <w:tcPr>
            <w:tcW w:w="6860" w:type="dxa"/>
            <w:vAlign w:val="bottom"/>
          </w:tcPr>
          <w:p>
            <w:pPr>
              <w:spacing w:after="0"/>
              <w:rPr>
                <w:sz w:val="20"/>
                <w:szCs w:val="20"/>
                <w:color w:val="auto"/>
              </w:rPr>
            </w:pPr>
            <w:r>
              <w:rPr>
                <w:rFonts w:ascii="Arial" w:cs="Arial" w:eastAsia="Arial" w:hAnsi="Arial"/>
                <w:sz w:val="18"/>
                <w:szCs w:val="18"/>
                <w:color w:val="auto"/>
              </w:rPr>
              <w:t>Senior Vice President, Chief Accounting Officer and Principal Financial Officer</w:t>
            </w:r>
          </w:p>
        </w:tc>
        <w:tc>
          <w:tcPr>
            <w:tcW w:w="0" w:type="dxa"/>
            <w:vAlign w:val="bottom"/>
          </w:tcPr>
          <w:p>
            <w:pPr>
              <w:spacing w:after="0"/>
              <w:rPr>
                <w:sz w:val="1"/>
                <w:szCs w:val="1"/>
                <w:color w:val="auto"/>
              </w:rPr>
            </w:pPr>
          </w:p>
        </w:tc>
      </w:tr>
      <w:tr>
        <w:trPr>
          <w:trHeight w:val="634"/>
        </w:trPr>
        <w:tc>
          <w:tcPr>
            <w:tcW w:w="3900" w:type="dxa"/>
            <w:vAlign w:val="bottom"/>
          </w:tcPr>
          <w:p>
            <w:pPr>
              <w:spacing w:after="0"/>
              <w:rPr>
                <w:sz w:val="20"/>
                <w:szCs w:val="20"/>
                <w:color w:val="auto"/>
              </w:rPr>
            </w:pPr>
            <w:r>
              <w:rPr>
                <w:rFonts w:ascii="Arial" w:cs="Arial" w:eastAsia="Arial" w:hAnsi="Arial"/>
                <w:sz w:val="18"/>
                <w:szCs w:val="18"/>
                <w:color w:val="auto"/>
              </w:rPr>
              <w:t>GAMCO Asset Management Inc.</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Directors:</w:t>
            </w: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tcPr>
          <w:p>
            <w:pPr>
              <w:spacing w:after="0"/>
              <w:rPr>
                <w:sz w:val="19"/>
                <w:szCs w:val="19"/>
                <w:color w:val="auto"/>
              </w:rPr>
            </w:pPr>
          </w:p>
        </w:tc>
        <w:tc>
          <w:tcPr>
            <w:tcW w:w="6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660"/>
              <w:spacing w:after="0" w:line="201" w:lineRule="exact"/>
              <w:rPr>
                <w:sz w:val="20"/>
                <w:szCs w:val="20"/>
                <w:color w:val="auto"/>
              </w:rPr>
            </w:pPr>
            <w:r>
              <w:rPr>
                <w:rFonts w:ascii="Arial" w:cs="Arial" w:eastAsia="Arial" w:hAnsi="Arial"/>
                <w:sz w:val="18"/>
                <w:szCs w:val="18"/>
                <w:color w:val="auto"/>
              </w:rPr>
              <w:t>Douglas R. Jamieson</w:t>
            </w:r>
          </w:p>
        </w:tc>
        <w:tc>
          <w:tcPr>
            <w:tcW w:w="6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660"/>
              <w:spacing w:after="0"/>
              <w:rPr>
                <w:sz w:val="20"/>
                <w:szCs w:val="20"/>
                <w:color w:val="auto"/>
              </w:rPr>
            </w:pPr>
            <w:r>
              <w:rPr>
                <w:rFonts w:ascii="Arial" w:cs="Arial" w:eastAsia="Arial" w:hAnsi="Arial"/>
                <w:sz w:val="18"/>
                <w:szCs w:val="18"/>
                <w:color w:val="auto"/>
              </w:rPr>
              <w:t>Regina M. Pitaro</w:t>
            </w: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640"/>
              <w:spacing w:after="0"/>
              <w:rPr>
                <w:sz w:val="20"/>
                <w:szCs w:val="20"/>
                <w:color w:val="auto"/>
              </w:rPr>
            </w:pPr>
            <w:r>
              <w:rPr>
                <w:rFonts w:ascii="Arial" w:cs="Arial" w:eastAsia="Arial" w:hAnsi="Arial"/>
                <w:sz w:val="18"/>
                <w:szCs w:val="18"/>
                <w:color w:val="auto"/>
              </w:rPr>
              <w:t>Paul Swirbul</w:t>
            </w: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640"/>
              <w:spacing w:after="0"/>
              <w:rPr>
                <w:sz w:val="20"/>
                <w:szCs w:val="20"/>
                <w:color w:val="auto"/>
              </w:rPr>
            </w:pPr>
            <w:r>
              <w:rPr>
                <w:rFonts w:ascii="Arial" w:cs="Arial" w:eastAsia="Arial" w:hAnsi="Arial"/>
                <w:sz w:val="18"/>
                <w:szCs w:val="18"/>
                <w:color w:val="auto"/>
              </w:rPr>
              <w:t>Christopher Desmarais</w:t>
            </w: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Officers:</w:t>
            </w: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0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8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 Value Portfolios</w:t>
            </w:r>
          </w:p>
        </w:tc>
        <w:tc>
          <w:tcPr>
            <w:tcW w:w="0" w:type="dxa"/>
            <w:vAlign w:val="bottom"/>
          </w:tcPr>
          <w:p>
            <w:pPr>
              <w:spacing w:after="0"/>
              <w:rPr>
                <w:sz w:val="1"/>
                <w:szCs w:val="1"/>
                <w:color w:val="auto"/>
              </w:rPr>
            </w:pPr>
          </w:p>
        </w:tc>
      </w:tr>
      <w:tr>
        <w:trPr>
          <w:trHeight w:val="432"/>
        </w:trPr>
        <w:tc>
          <w:tcPr>
            <w:tcW w:w="3900" w:type="dxa"/>
            <w:vAlign w:val="bottom"/>
          </w:tcPr>
          <w:p>
            <w:pPr>
              <w:ind w:left="660"/>
              <w:spacing w:after="0"/>
              <w:rPr>
                <w:sz w:val="20"/>
                <w:szCs w:val="20"/>
                <w:color w:val="auto"/>
              </w:rPr>
            </w:pPr>
            <w:r>
              <w:rPr>
                <w:rFonts w:ascii="Arial" w:cs="Arial" w:eastAsia="Arial" w:hAnsi="Arial"/>
                <w:sz w:val="18"/>
                <w:szCs w:val="18"/>
                <w:color w:val="auto"/>
              </w:rPr>
              <w:t>Douglas R. Jamieson</w:t>
            </w:r>
          </w:p>
        </w:tc>
        <w:tc>
          <w:tcPr>
            <w:tcW w:w="6860" w:type="dxa"/>
            <w:vAlign w:val="bottom"/>
          </w:tcPr>
          <w:p>
            <w:pPr>
              <w:spacing w:after="0"/>
              <w:rPr>
                <w:sz w:val="20"/>
                <w:szCs w:val="20"/>
                <w:color w:val="auto"/>
              </w:rPr>
            </w:pPr>
            <w:r>
              <w:rPr>
                <w:rFonts w:ascii="Arial" w:cs="Arial" w:eastAsia="Arial" w:hAnsi="Arial"/>
                <w:sz w:val="18"/>
                <w:szCs w:val="18"/>
                <w:color w:val="auto"/>
              </w:rPr>
              <w:t>President, Chief Operating Officer and Managing Director</w:t>
            </w:r>
          </w:p>
        </w:tc>
        <w:tc>
          <w:tcPr>
            <w:tcW w:w="0" w:type="dxa"/>
            <w:vAlign w:val="bottom"/>
          </w:tcPr>
          <w:p>
            <w:pPr>
              <w:spacing w:after="0"/>
              <w:rPr>
                <w:sz w:val="1"/>
                <w:szCs w:val="1"/>
                <w:color w:val="auto"/>
              </w:rPr>
            </w:pPr>
          </w:p>
        </w:tc>
      </w:tr>
      <w:tr>
        <w:trPr>
          <w:trHeight w:val="432"/>
        </w:trPr>
        <w:tc>
          <w:tcPr>
            <w:tcW w:w="390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6860" w:type="dxa"/>
            <w:vAlign w:val="bottom"/>
          </w:tcPr>
          <w:p>
            <w:pPr>
              <w:spacing w:after="0"/>
              <w:rPr>
                <w:sz w:val="20"/>
                <w:szCs w:val="20"/>
                <w:color w:val="auto"/>
              </w:rPr>
            </w:pPr>
            <w:r>
              <w:rPr>
                <w:rFonts w:ascii="Arial" w:cs="Arial" w:eastAsia="Arial" w:hAnsi="Arial"/>
                <w:sz w:val="18"/>
                <w:szCs w:val="18"/>
                <w:color w:val="auto"/>
              </w:rPr>
              <w:t>General Counsel, Secretary &amp; Chief Compliance Officer</w:t>
            </w: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Gabelli Funds, LLC</w:t>
            </w: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Officers:</w:t>
            </w: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tcPr>
          <w:p>
            <w:pPr>
              <w:spacing w:after="0"/>
              <w:rPr>
                <w:sz w:val="19"/>
                <w:szCs w:val="19"/>
                <w:color w:val="auto"/>
              </w:rPr>
            </w:pPr>
          </w:p>
        </w:tc>
        <w:tc>
          <w:tcPr>
            <w:tcW w:w="6860" w:type="dxa"/>
            <w:vAlign w:val="bottom"/>
            <w:vMerge w:val="restart"/>
          </w:tcPr>
          <w:p>
            <w:pPr>
              <w:spacing w:after="0"/>
              <w:rPr>
                <w:sz w:val="20"/>
                <w:szCs w:val="20"/>
                <w:color w:val="auto"/>
              </w:rPr>
            </w:pPr>
            <w:r>
              <w:rPr>
                <w:rFonts w:ascii="Arial" w:cs="Arial" w:eastAsia="Arial" w:hAnsi="Arial"/>
                <w:sz w:val="18"/>
                <w:szCs w:val="18"/>
                <w:color w:val="auto"/>
              </w:rPr>
              <w:t>Chief Investment Officer – Value Portfolios</w:t>
            </w:r>
          </w:p>
        </w:tc>
        <w:tc>
          <w:tcPr>
            <w:tcW w:w="0" w:type="dxa"/>
            <w:vAlign w:val="bottom"/>
          </w:tcPr>
          <w:p>
            <w:pPr>
              <w:spacing w:after="0"/>
              <w:rPr>
                <w:sz w:val="1"/>
                <w:szCs w:val="1"/>
                <w:color w:val="auto"/>
              </w:rPr>
            </w:pPr>
          </w:p>
        </w:tc>
      </w:tr>
      <w:tr>
        <w:trPr>
          <w:trHeight w:val="230"/>
        </w:trPr>
        <w:tc>
          <w:tcPr>
            <w:tcW w:w="390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1440" w:right="81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86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w w:val="89"/>
              </w:rPr>
              <w:t>Vice President, Corporate Development and General Counsel</w:t>
            </w:r>
          </w:p>
        </w:tc>
      </w:tr>
      <w:tr>
        <w:trPr>
          <w:trHeight w:val="432"/>
        </w:trPr>
        <w:tc>
          <w:tcPr>
            <w:tcW w:w="3020" w:type="dxa"/>
            <w:vAlign w:val="bottom"/>
          </w:tcPr>
          <w:p>
            <w:pPr>
              <w:ind w:left="680"/>
              <w:spacing w:after="0"/>
              <w:rPr>
                <w:sz w:val="20"/>
                <w:szCs w:val="20"/>
                <w:color w:val="auto"/>
              </w:rPr>
            </w:pPr>
            <w:r>
              <w:rPr>
                <w:rFonts w:ascii="Arial" w:cs="Arial" w:eastAsia="Arial" w:hAnsi="Arial"/>
                <w:sz w:val="18"/>
                <w:szCs w:val="18"/>
                <w:color w:val="auto"/>
              </w:rPr>
              <w:t>Richard Walz</w:t>
            </w:r>
          </w:p>
        </w:tc>
        <w:tc>
          <w:tcPr>
            <w:tcW w:w="86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Chief Compliance Officer</w:t>
            </w:r>
          </w:p>
        </w:tc>
      </w:tr>
      <w:tr>
        <w:trPr>
          <w:trHeight w:val="432"/>
        </w:trPr>
        <w:tc>
          <w:tcPr>
            <w:tcW w:w="3020" w:type="dxa"/>
            <w:vAlign w:val="bottom"/>
          </w:tcPr>
          <w:p>
            <w:pPr>
              <w:ind w:left="680"/>
              <w:spacing w:after="0"/>
              <w:rPr>
                <w:sz w:val="20"/>
                <w:szCs w:val="20"/>
                <w:color w:val="auto"/>
              </w:rPr>
            </w:pPr>
            <w:r>
              <w:rPr>
                <w:rFonts w:ascii="Arial" w:cs="Arial" w:eastAsia="Arial" w:hAnsi="Arial"/>
                <w:sz w:val="18"/>
                <w:szCs w:val="18"/>
                <w:color w:val="auto"/>
              </w:rPr>
              <w:t>Kieran Caterina</w:t>
            </w:r>
          </w:p>
        </w:tc>
        <w:tc>
          <w:tcPr>
            <w:tcW w:w="86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432"/>
        </w:trPr>
        <w:tc>
          <w:tcPr>
            <w:tcW w:w="3020" w:type="dxa"/>
            <w:vAlign w:val="bottom"/>
          </w:tcPr>
          <w:p>
            <w:pPr>
              <w:ind w:left="680"/>
              <w:spacing w:after="0"/>
              <w:rPr>
                <w:sz w:val="20"/>
                <w:szCs w:val="20"/>
                <w:color w:val="auto"/>
              </w:rPr>
            </w:pPr>
            <w:r>
              <w:rPr>
                <w:rFonts w:ascii="Arial" w:cs="Arial" w:eastAsia="Arial" w:hAnsi="Arial"/>
                <w:sz w:val="18"/>
                <w:szCs w:val="18"/>
                <w:color w:val="auto"/>
              </w:rPr>
              <w:t>John Ball</w:t>
            </w:r>
          </w:p>
        </w:tc>
        <w:tc>
          <w:tcPr>
            <w:tcW w:w="86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Senior Vice President, Fund Administration</w:t>
            </w:r>
          </w:p>
        </w:tc>
      </w:tr>
      <w:tr>
        <w:trPr>
          <w:trHeight w:val="634"/>
        </w:trPr>
        <w:tc>
          <w:tcPr>
            <w:tcW w:w="3020" w:type="dxa"/>
            <w:vAlign w:val="bottom"/>
          </w:tcPr>
          <w:p>
            <w:pPr>
              <w:spacing w:after="0"/>
              <w:rPr>
                <w:sz w:val="20"/>
                <w:szCs w:val="20"/>
                <w:color w:val="auto"/>
              </w:rPr>
            </w:pPr>
            <w:r>
              <w:rPr>
                <w:rFonts w:ascii="Arial" w:cs="Arial" w:eastAsia="Arial" w:hAnsi="Arial"/>
                <w:sz w:val="18"/>
                <w:szCs w:val="18"/>
                <w:color w:val="auto"/>
              </w:rPr>
              <w:t>Gabelli Foundation, Inc.</w:t>
            </w:r>
          </w:p>
        </w:tc>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37"/>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Officers:</w:t>
            </w:r>
          </w:p>
        </w:tc>
        <w:tc>
          <w:tcPr>
            <w:tcW w:w="860" w:type="dxa"/>
            <w:vAlign w:val="bottom"/>
            <w:tcBorders>
              <w:bottom w:val="single" w:sz="8" w:color="auto"/>
            </w:tcBorders>
          </w:tcPr>
          <w:p>
            <w:pPr>
              <w:spacing w:after="0"/>
              <w:rPr>
                <w:sz w:val="20"/>
                <w:szCs w:val="20"/>
                <w:color w:val="auto"/>
              </w:rPr>
            </w:pPr>
          </w:p>
        </w:tc>
        <w:tc>
          <w:tcPr>
            <w:tcW w:w="4440" w:type="dxa"/>
            <w:vAlign w:val="bottom"/>
          </w:tcPr>
          <w:p>
            <w:pPr>
              <w:spacing w:after="0"/>
              <w:rPr>
                <w:sz w:val="20"/>
                <w:szCs w:val="20"/>
                <w:color w:val="auto"/>
              </w:rPr>
            </w:pPr>
          </w:p>
        </w:tc>
      </w:tr>
      <w:tr>
        <w:trPr>
          <w:trHeight w:val="230"/>
        </w:trPr>
        <w:tc>
          <w:tcPr>
            <w:tcW w:w="3020" w:type="dxa"/>
            <w:vAlign w:val="bottom"/>
          </w:tcPr>
          <w:p>
            <w:pPr>
              <w:ind w:left="720"/>
              <w:spacing w:after="0"/>
              <w:rPr>
                <w:sz w:val="20"/>
                <w:szCs w:val="20"/>
                <w:color w:val="auto"/>
              </w:rPr>
            </w:pPr>
            <w:r>
              <w:rPr>
                <w:rFonts w:ascii="Arial" w:cs="Arial" w:eastAsia="Arial" w:hAnsi="Arial"/>
                <w:sz w:val="18"/>
                <w:szCs w:val="18"/>
                <w:color w:val="auto"/>
              </w:rPr>
              <w:t>Mario J. Gabelli</w:t>
            </w:r>
          </w:p>
        </w:tc>
        <w:tc>
          <w:tcPr>
            <w:tcW w:w="8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Trustee &amp; Chief Investment Officer</w:t>
            </w:r>
          </w:p>
        </w:tc>
      </w:tr>
      <w:tr>
        <w:trPr>
          <w:trHeight w:val="418"/>
        </w:trPr>
        <w:tc>
          <w:tcPr>
            <w:tcW w:w="3020" w:type="dxa"/>
            <w:vAlign w:val="bottom"/>
          </w:tcPr>
          <w:p>
            <w:pPr>
              <w:ind w:left="720"/>
              <w:spacing w:after="0"/>
              <w:rPr>
                <w:sz w:val="20"/>
                <w:szCs w:val="20"/>
                <w:color w:val="auto"/>
              </w:rPr>
            </w:pPr>
            <w:r>
              <w:rPr>
                <w:rFonts w:ascii="Arial" w:cs="Arial" w:eastAsia="Arial" w:hAnsi="Arial"/>
                <w:sz w:val="18"/>
                <w:szCs w:val="18"/>
                <w:color w:val="auto"/>
              </w:rPr>
              <w:t>Elisa M. Wilson</w:t>
            </w: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President</w:t>
            </w:r>
          </w:p>
        </w:tc>
      </w:tr>
      <w:tr>
        <w:trPr>
          <w:trHeight w:val="432"/>
        </w:trPr>
        <w:tc>
          <w:tcPr>
            <w:tcW w:w="3020" w:type="dxa"/>
            <w:vAlign w:val="bottom"/>
          </w:tcPr>
          <w:p>
            <w:pPr>
              <w:ind w:left="720"/>
              <w:spacing w:after="0"/>
              <w:rPr>
                <w:sz w:val="20"/>
                <w:szCs w:val="20"/>
                <w:color w:val="auto"/>
              </w:rPr>
            </w:pPr>
            <w:r>
              <w:rPr>
                <w:rFonts w:ascii="Arial" w:cs="Arial" w:eastAsia="Arial" w:hAnsi="Arial"/>
                <w:sz w:val="18"/>
                <w:szCs w:val="18"/>
                <w:color w:val="auto"/>
              </w:rPr>
              <w:t>Marc Gabelli</w:t>
            </w: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Trustee</w:t>
            </w:r>
          </w:p>
        </w:tc>
      </w:tr>
      <w:tr>
        <w:trPr>
          <w:trHeight w:val="432"/>
        </w:trPr>
        <w:tc>
          <w:tcPr>
            <w:tcW w:w="3020" w:type="dxa"/>
            <w:vAlign w:val="bottom"/>
          </w:tcPr>
          <w:p>
            <w:pPr>
              <w:ind w:left="720"/>
              <w:spacing w:after="0"/>
              <w:rPr>
                <w:sz w:val="20"/>
                <w:szCs w:val="20"/>
                <w:color w:val="auto"/>
              </w:rPr>
            </w:pPr>
            <w:r>
              <w:rPr>
                <w:rFonts w:ascii="Arial" w:cs="Arial" w:eastAsia="Arial" w:hAnsi="Arial"/>
                <w:sz w:val="18"/>
                <w:szCs w:val="18"/>
                <w:color w:val="auto"/>
              </w:rPr>
              <w:t>Matthew R. Gabelli</w:t>
            </w: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Trustee</w:t>
            </w:r>
          </w:p>
        </w:tc>
      </w:tr>
      <w:tr>
        <w:trPr>
          <w:trHeight w:val="432"/>
        </w:trPr>
        <w:tc>
          <w:tcPr>
            <w:tcW w:w="3020" w:type="dxa"/>
            <w:vAlign w:val="bottom"/>
          </w:tcPr>
          <w:p>
            <w:pPr>
              <w:ind w:left="720"/>
              <w:spacing w:after="0"/>
              <w:rPr>
                <w:sz w:val="20"/>
                <w:szCs w:val="20"/>
                <w:color w:val="auto"/>
              </w:rPr>
            </w:pPr>
            <w:r>
              <w:rPr>
                <w:rFonts w:ascii="Arial" w:cs="Arial" w:eastAsia="Arial" w:hAnsi="Arial"/>
                <w:sz w:val="18"/>
                <w:szCs w:val="18"/>
                <w:color w:val="auto"/>
              </w:rPr>
              <w:t>Michael Gabelli</w:t>
            </w: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GGCP,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0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89"/>
        </w:trPr>
        <w:tc>
          <w:tcPr>
            <w:tcW w:w="4040" w:type="dxa"/>
            <w:vAlign w:val="bottom"/>
          </w:tcPr>
          <w:p>
            <w:pPr>
              <w:ind w:left="460"/>
              <w:spacing w:after="0" w:line="189" w:lineRule="exact"/>
              <w:rPr>
                <w:sz w:val="20"/>
                <w:szCs w:val="20"/>
                <w:color w:val="auto"/>
              </w:rPr>
            </w:pPr>
            <w:r>
              <w:rPr>
                <w:rFonts w:ascii="Arial" w:cs="Arial" w:eastAsia="Arial" w:hAnsi="Arial"/>
                <w:sz w:val="18"/>
                <w:szCs w:val="18"/>
                <w:color w:val="auto"/>
              </w:rPr>
              <w:t>Mario J. Gabelli</w:t>
            </w:r>
          </w:p>
        </w:tc>
        <w:tc>
          <w:tcPr>
            <w:tcW w:w="6360" w:type="dxa"/>
            <w:vAlign w:val="bottom"/>
            <w:gridSpan w:val="2"/>
          </w:tcPr>
          <w:p>
            <w:pPr>
              <w:spacing w:after="0" w:line="189" w:lineRule="exact"/>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404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r>
      <w:tr>
        <w:trPr>
          <w:trHeight w:val="432"/>
        </w:trPr>
        <w:tc>
          <w:tcPr>
            <w:tcW w:w="4040" w:type="dxa"/>
            <w:vAlign w:val="bottom"/>
          </w:tcPr>
          <w:p>
            <w:pPr>
              <w:ind w:left="460"/>
              <w:spacing w:after="0"/>
              <w:rPr>
                <w:sz w:val="20"/>
                <w:szCs w:val="20"/>
                <w:color w:val="auto"/>
              </w:rPr>
            </w:pPr>
            <w:r>
              <w:rPr>
                <w:rFonts w:ascii="Arial" w:cs="Arial" w:eastAsia="Arial" w:hAnsi="Arial"/>
                <w:sz w:val="18"/>
                <w:szCs w:val="18"/>
                <w:color w:val="auto"/>
              </w:rPr>
              <w:t>Marc Gabelli</w:t>
            </w:r>
          </w:p>
        </w:tc>
        <w:tc>
          <w:tcPr>
            <w:tcW w:w="6360" w:type="dxa"/>
            <w:vAlign w:val="bottom"/>
            <w:gridSpan w:val="2"/>
          </w:tcPr>
          <w:p>
            <w:pPr>
              <w:spacing w:after="0"/>
              <w:rPr>
                <w:sz w:val="20"/>
                <w:szCs w:val="20"/>
                <w:color w:val="auto"/>
              </w:rPr>
            </w:pPr>
            <w:r>
              <w:rPr>
                <w:rFonts w:ascii="Arial" w:cs="Arial" w:eastAsia="Arial" w:hAnsi="Arial"/>
                <w:sz w:val="18"/>
                <w:szCs w:val="18"/>
                <w:color w:val="auto"/>
              </w:rPr>
              <w:t>President – GGCP, Inc.</w:t>
            </w:r>
          </w:p>
        </w:tc>
      </w:tr>
      <w:tr>
        <w:trPr>
          <w:trHeight w:val="418"/>
        </w:trPr>
        <w:tc>
          <w:tcPr>
            <w:tcW w:w="4040" w:type="dxa"/>
            <w:vAlign w:val="bottom"/>
          </w:tcPr>
          <w:p>
            <w:pPr>
              <w:ind w:left="460"/>
              <w:spacing w:after="0"/>
              <w:rPr>
                <w:sz w:val="20"/>
                <w:szCs w:val="20"/>
                <w:color w:val="auto"/>
              </w:rPr>
            </w:pPr>
            <w:r>
              <w:rPr>
                <w:rFonts w:ascii="Arial" w:cs="Arial" w:eastAsia="Arial" w:hAnsi="Arial"/>
                <w:sz w:val="18"/>
                <w:szCs w:val="18"/>
                <w:color w:val="auto"/>
              </w:rPr>
              <w:t>Matthew R. Gabelli</w:t>
            </w:r>
          </w:p>
        </w:tc>
        <w:tc>
          <w:tcPr>
            <w:tcW w:w="6360" w:type="dxa"/>
            <w:vAlign w:val="bottom"/>
            <w:gridSpan w:val="2"/>
          </w:tcPr>
          <w:p>
            <w:pPr>
              <w:spacing w:after="0"/>
              <w:rPr>
                <w:sz w:val="20"/>
                <w:szCs w:val="20"/>
                <w:color w:val="auto"/>
              </w:rPr>
            </w:pPr>
            <w:r>
              <w:rPr>
                <w:rFonts w:ascii="Arial" w:cs="Arial" w:eastAsia="Arial" w:hAnsi="Arial"/>
                <w:sz w:val="18"/>
                <w:szCs w:val="18"/>
                <w:color w:val="auto"/>
              </w:rPr>
              <w:t>Vice President – Trading</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G.research, LLC</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04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418"/>
        </w:trPr>
        <w:tc>
          <w:tcPr>
            <w:tcW w:w="4040" w:type="dxa"/>
            <w:vAlign w:val="bottom"/>
          </w:tcPr>
          <w:p>
            <w:pPr>
              <w:ind w:left="460"/>
              <w:spacing w:after="0"/>
              <w:rPr>
                <w:sz w:val="20"/>
                <w:szCs w:val="20"/>
                <w:color w:val="auto"/>
              </w:rPr>
            </w:pPr>
            <w:r>
              <w:rPr>
                <w:rFonts w:ascii="Arial" w:cs="Arial" w:eastAsia="Arial" w:hAnsi="Arial"/>
                <w:sz w:val="18"/>
                <w:szCs w:val="18"/>
                <w:color w:val="auto"/>
              </w:rPr>
              <w:t>Michael Gabelli</w:t>
            </w:r>
          </w:p>
        </w:tc>
        <w:tc>
          <w:tcPr>
            <w:tcW w:w="6360" w:type="dxa"/>
            <w:vAlign w:val="bottom"/>
            <w:gridSpan w:val="2"/>
          </w:tcPr>
          <w:p>
            <w:pPr>
              <w:spacing w:after="0"/>
              <w:rPr>
                <w:sz w:val="20"/>
                <w:szCs w:val="20"/>
                <w:color w:val="auto"/>
              </w:rPr>
            </w:pPr>
            <w:r>
              <w:rPr>
                <w:rFonts w:ascii="Arial" w:cs="Arial" w:eastAsia="Arial" w:hAnsi="Arial"/>
                <w:sz w:val="18"/>
                <w:szCs w:val="18"/>
                <w:color w:val="auto"/>
              </w:rPr>
              <w:t>President &amp; COO</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Gabelli &amp; Partners, LLC</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04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634"/>
        </w:trPr>
        <w:tc>
          <w:tcPr>
            <w:tcW w:w="4040" w:type="dxa"/>
            <w:vAlign w:val="bottom"/>
          </w:tcPr>
          <w:p>
            <w:pPr>
              <w:ind w:left="460"/>
              <w:spacing w:after="0"/>
              <w:rPr>
                <w:sz w:val="20"/>
                <w:szCs w:val="20"/>
                <w:color w:val="auto"/>
              </w:rPr>
            </w:pPr>
            <w:r>
              <w:rPr>
                <w:rFonts w:ascii="Arial" w:cs="Arial" w:eastAsia="Arial" w:hAnsi="Arial"/>
                <w:sz w:val="18"/>
                <w:szCs w:val="18"/>
                <w:color w:val="auto"/>
              </w:rPr>
              <w:t>Frederic V. Salerno</w:t>
            </w:r>
          </w:p>
        </w:tc>
        <w:tc>
          <w:tcPr>
            <w:tcW w:w="6360" w:type="dxa"/>
            <w:vAlign w:val="bottom"/>
            <w:gridSpan w:val="2"/>
          </w:tcPr>
          <w:p>
            <w:pPr>
              <w:spacing w:after="0"/>
              <w:rPr>
                <w:sz w:val="20"/>
                <w:szCs w:val="20"/>
                <w:color w:val="auto"/>
              </w:rPr>
            </w:pPr>
            <w:r>
              <w:rPr>
                <w:rFonts w:ascii="Arial" w:cs="Arial" w:eastAsia="Arial" w:hAnsi="Arial"/>
                <w:sz w:val="18"/>
                <w:szCs w:val="18"/>
                <w:color w:val="auto"/>
              </w:rPr>
              <w:t>Chairman</w:t>
            </w:r>
          </w:p>
        </w:tc>
      </w:tr>
      <w:tr>
        <w:trPr>
          <w:trHeight w:val="216"/>
        </w:trPr>
        <w:tc>
          <w:tcPr>
            <w:tcW w:w="40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Former Vice Chairman and Chief Financial Officer</w:t>
            </w:r>
          </w:p>
        </w:tc>
      </w:tr>
      <w:tr>
        <w:trPr>
          <w:trHeight w:val="230"/>
        </w:trPr>
        <w:tc>
          <w:tcPr>
            <w:tcW w:w="404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Verizon Communications</w:t>
            </w:r>
          </w:p>
        </w:tc>
      </w:tr>
      <w:tr>
        <w:trPr>
          <w:trHeight w:val="648"/>
        </w:trPr>
        <w:tc>
          <w:tcPr>
            <w:tcW w:w="4040" w:type="dxa"/>
            <w:vAlign w:val="bottom"/>
          </w:tcPr>
          <w:p>
            <w:pPr>
              <w:ind w:left="500"/>
              <w:spacing w:after="0"/>
              <w:rPr>
                <w:sz w:val="20"/>
                <w:szCs w:val="20"/>
                <w:color w:val="auto"/>
              </w:rPr>
            </w:pPr>
            <w:r>
              <w:rPr>
                <w:rFonts w:ascii="Arial" w:cs="Arial" w:eastAsia="Arial" w:hAnsi="Arial"/>
                <w:sz w:val="18"/>
                <w:szCs w:val="18"/>
                <w:color w:val="auto"/>
              </w:rPr>
              <w:t>Vincent S. Tese</w:t>
            </w:r>
          </w:p>
        </w:tc>
        <w:tc>
          <w:tcPr>
            <w:tcW w:w="6360" w:type="dxa"/>
            <w:vAlign w:val="bottom"/>
            <w:gridSpan w:val="2"/>
          </w:tcPr>
          <w:p>
            <w:pPr>
              <w:spacing w:after="0"/>
              <w:rPr>
                <w:sz w:val="20"/>
                <w:szCs w:val="20"/>
                <w:color w:val="auto"/>
              </w:rPr>
            </w:pPr>
            <w:r>
              <w:rPr>
                <w:rFonts w:ascii="Arial" w:cs="Arial" w:eastAsia="Arial" w:hAnsi="Arial"/>
                <w:sz w:val="18"/>
                <w:szCs w:val="18"/>
                <w:color w:val="auto"/>
              </w:rPr>
              <w:t>Executive Chairman – FCB Financial Corp</w:t>
            </w:r>
          </w:p>
        </w:tc>
      </w:tr>
      <w:tr>
        <w:trPr>
          <w:trHeight w:val="432"/>
        </w:trPr>
        <w:tc>
          <w:tcPr>
            <w:tcW w:w="4040" w:type="dxa"/>
            <w:vAlign w:val="bottom"/>
          </w:tcPr>
          <w:p>
            <w:pPr>
              <w:ind w:left="500"/>
              <w:spacing w:after="0"/>
              <w:rPr>
                <w:sz w:val="20"/>
                <w:szCs w:val="20"/>
                <w:color w:val="auto"/>
              </w:rPr>
            </w:pPr>
            <w:r>
              <w:rPr>
                <w:rFonts w:ascii="Arial" w:cs="Arial" w:eastAsia="Arial" w:hAnsi="Arial"/>
                <w:sz w:val="18"/>
                <w:szCs w:val="18"/>
                <w:color w:val="auto"/>
              </w:rPr>
              <w:t>Elisa M. Wilson</w:t>
            </w:r>
          </w:p>
        </w:tc>
        <w:tc>
          <w:tcPr>
            <w:tcW w:w="63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Officers:</w:t>
            </w:r>
          </w:p>
        </w:tc>
        <w:tc>
          <w:tcPr>
            <w:tcW w:w="9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16"/>
        </w:trPr>
        <w:tc>
          <w:tcPr>
            <w:tcW w:w="404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gridSpan w:val="2"/>
          </w:tcPr>
          <w:p>
            <w:pPr>
              <w:spacing w:after="0"/>
              <w:rPr>
                <w:sz w:val="20"/>
                <w:szCs w:val="20"/>
                <w:color w:val="auto"/>
              </w:rPr>
            </w:pPr>
            <w:r>
              <w:rPr>
                <w:rFonts w:ascii="Arial" w:cs="Arial" w:eastAsia="Arial" w:hAnsi="Arial"/>
                <w:sz w:val="18"/>
                <w:szCs w:val="18"/>
                <w:color w:val="auto"/>
              </w:rPr>
              <w:t>Chief Executive Officer and Chief Investment Officer</w:t>
            </w:r>
          </w:p>
        </w:tc>
      </w:tr>
      <w:tr>
        <w:trPr>
          <w:trHeight w:val="230"/>
        </w:trPr>
        <w:tc>
          <w:tcPr>
            <w:tcW w:w="4040" w:type="dxa"/>
            <w:vAlign w:val="bottom"/>
          </w:tcPr>
          <w:p>
            <w:pPr>
              <w:ind w:left="640"/>
              <w:spacing w:after="0"/>
              <w:rPr>
                <w:sz w:val="20"/>
                <w:szCs w:val="20"/>
                <w:color w:val="auto"/>
              </w:rPr>
            </w:pPr>
            <w:r>
              <w:rPr>
                <w:rFonts w:ascii="Arial" w:cs="Arial" w:eastAsia="Arial" w:hAnsi="Arial"/>
                <w:sz w:val="18"/>
                <w:szCs w:val="18"/>
                <w:color w:val="auto"/>
              </w:rPr>
              <w:t>Marc Gabelli</w:t>
            </w:r>
          </w:p>
        </w:tc>
        <w:tc>
          <w:tcPr>
            <w:tcW w:w="636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GGCP Holdings LLC</w:t>
            </w:r>
          </w:p>
        </w:tc>
        <w:tc>
          <w:tcPr>
            <w:tcW w:w="9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Members:</w:t>
            </w:r>
          </w:p>
        </w:tc>
        <w:tc>
          <w:tcPr>
            <w:tcW w:w="94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4040" w:type="dxa"/>
            <w:vAlign w:val="bottom"/>
          </w:tcPr>
          <w:p>
            <w:pPr>
              <w:ind w:left="640"/>
              <w:spacing w:after="0"/>
              <w:rPr>
                <w:sz w:val="20"/>
                <w:szCs w:val="20"/>
                <w:color w:val="auto"/>
              </w:rPr>
            </w:pPr>
            <w:r>
              <w:rPr>
                <w:rFonts w:ascii="Arial" w:cs="Arial" w:eastAsia="Arial" w:hAnsi="Arial"/>
                <w:sz w:val="18"/>
                <w:szCs w:val="18"/>
                <w:color w:val="auto"/>
              </w:rPr>
              <w:t>GGCP, Inc.</w:t>
            </w:r>
          </w:p>
        </w:tc>
        <w:tc>
          <w:tcPr>
            <w:tcW w:w="6360" w:type="dxa"/>
            <w:vAlign w:val="bottom"/>
            <w:gridSpan w:val="2"/>
          </w:tcPr>
          <w:p>
            <w:pPr>
              <w:spacing w:after="0"/>
              <w:rPr>
                <w:sz w:val="20"/>
                <w:szCs w:val="20"/>
                <w:color w:val="auto"/>
              </w:rPr>
            </w:pPr>
            <w:r>
              <w:rPr>
                <w:rFonts w:ascii="Arial" w:cs="Arial" w:eastAsia="Arial" w:hAnsi="Arial"/>
                <w:sz w:val="18"/>
                <w:szCs w:val="18"/>
                <w:color w:val="auto"/>
              </w:rPr>
              <w:t>Manager and Member</w:t>
            </w:r>
          </w:p>
        </w:tc>
      </w:tr>
      <w:tr>
        <w:trPr>
          <w:trHeight w:val="439"/>
        </w:trPr>
        <w:tc>
          <w:tcPr>
            <w:tcW w:w="40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Mario J. Gabelli</w:t>
            </w:r>
          </w:p>
        </w:tc>
        <w:tc>
          <w:tcPr>
            <w:tcW w:w="6360" w:type="dxa"/>
            <w:vAlign w:val="bottom"/>
            <w:gridSpan w:val="2"/>
          </w:tcPr>
          <w:p>
            <w:pPr>
              <w:spacing w:after="0"/>
              <w:rPr>
                <w:sz w:val="20"/>
                <w:szCs w:val="20"/>
                <w:color w:val="auto"/>
              </w:rPr>
            </w:pPr>
            <w:r>
              <w:rPr>
                <w:rFonts w:ascii="Arial" w:cs="Arial" w:eastAsia="Arial" w:hAnsi="Arial"/>
                <w:sz w:val="18"/>
                <w:szCs w:val="18"/>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6" w:name="page17"/>
    <w:bookmarkEnd w:id="16"/>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Teton Advisors,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Marc Gabelli</w:t>
            </w:r>
          </w:p>
        </w:tc>
        <w:tc>
          <w:tcPr>
            <w:tcW w:w="462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418"/>
        </w:trPr>
        <w:tc>
          <w:tcPr>
            <w:tcW w:w="4040" w:type="dxa"/>
            <w:vAlign w:val="bottom"/>
          </w:tcPr>
          <w:p>
            <w:pPr>
              <w:ind w:left="680"/>
              <w:spacing w:after="0"/>
              <w:rPr>
                <w:sz w:val="20"/>
                <w:szCs w:val="20"/>
                <w:color w:val="auto"/>
              </w:rPr>
            </w:pPr>
            <w:r>
              <w:rPr>
                <w:rFonts w:ascii="Arial" w:cs="Arial" w:eastAsia="Arial" w:hAnsi="Arial"/>
                <w:sz w:val="18"/>
                <w:szCs w:val="18"/>
                <w:color w:val="auto"/>
              </w:rPr>
              <w:t>Vincent J. Amabile</w:t>
            </w:r>
          </w:p>
        </w:tc>
        <w:tc>
          <w:tcPr>
            <w:tcW w:w="4620" w:type="dxa"/>
            <w:vAlign w:val="bottom"/>
          </w:tcPr>
          <w:p>
            <w:pPr>
              <w:spacing w:after="0"/>
              <w:rPr>
                <w:sz w:val="20"/>
                <w:szCs w:val="20"/>
                <w:color w:val="auto"/>
              </w:rPr>
            </w:pPr>
            <w:r>
              <w:rPr>
                <w:rFonts w:ascii="Arial" w:cs="Arial" w:eastAsia="Arial" w:hAnsi="Arial"/>
                <w:sz w:val="18"/>
                <w:szCs w:val="18"/>
                <w:color w:val="auto"/>
              </w:rPr>
              <w:t>Founder- Amabile Partners</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Stephen G. Bondi, CPA</w:t>
            </w:r>
          </w:p>
        </w:tc>
        <w:tc>
          <w:tcPr>
            <w:tcW w:w="4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Aaron J. Feingold, M.D.</w:t>
            </w:r>
          </w:p>
        </w:tc>
        <w:tc>
          <w:tcPr>
            <w:tcW w:w="4620" w:type="dxa"/>
            <w:vAlign w:val="bottom"/>
          </w:tcPr>
          <w:p>
            <w:pPr>
              <w:spacing w:after="0"/>
              <w:rPr>
                <w:sz w:val="20"/>
                <w:szCs w:val="20"/>
                <w:color w:val="auto"/>
              </w:rPr>
            </w:pPr>
            <w:r>
              <w:rPr>
                <w:rFonts w:ascii="Arial" w:cs="Arial" w:eastAsia="Arial" w:hAnsi="Arial"/>
                <w:sz w:val="18"/>
                <w:szCs w:val="18"/>
                <w:color w:val="auto"/>
              </w:rPr>
              <w:t>President and Founder – Raritan Bay Cardiology Group</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4620" w:type="dxa"/>
            <w:vAlign w:val="bottom"/>
          </w:tcPr>
          <w:p>
            <w:pPr>
              <w:spacing w:after="0"/>
              <w:rPr>
                <w:sz w:val="20"/>
                <w:szCs w:val="20"/>
                <w:color w:val="auto"/>
              </w:rPr>
            </w:pPr>
            <w:r>
              <w:rPr>
                <w:rFonts w:ascii="Arial" w:cs="Arial" w:eastAsia="Arial" w:hAnsi="Arial"/>
                <w:sz w:val="18"/>
                <w:szCs w:val="18"/>
                <w:color w:val="auto"/>
              </w:rPr>
              <w:t>Chairman of Teton Advisors, LLC</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Kevin M. Keeley</w:t>
            </w:r>
          </w:p>
        </w:tc>
        <w:tc>
          <w:tcPr>
            <w:tcW w:w="4620" w:type="dxa"/>
            <w:vAlign w:val="bottom"/>
          </w:tcPr>
          <w:p>
            <w:pPr>
              <w:spacing w:after="0"/>
              <w:rPr>
                <w:sz w:val="20"/>
                <w:szCs w:val="20"/>
                <w:color w:val="auto"/>
              </w:rPr>
            </w:pPr>
            <w:r>
              <w:rPr>
                <w:rFonts w:ascii="Arial" w:cs="Arial" w:eastAsia="Arial" w:hAnsi="Arial"/>
                <w:sz w:val="18"/>
                <w:szCs w:val="18"/>
                <w:color w:val="auto"/>
                <w:w w:val="91"/>
              </w:rPr>
              <w:t>President &amp; Executive Chairman – Keeley Teton Advisors, LLC</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James C. Abbott, CFA, CAIA</w:t>
            </w:r>
          </w:p>
        </w:tc>
        <w:tc>
          <w:tcPr>
            <w:tcW w:w="4620" w:type="dxa"/>
            <w:vAlign w:val="bottom"/>
          </w:tcPr>
          <w:p>
            <w:pPr>
              <w:spacing w:after="0"/>
              <w:rPr>
                <w:sz w:val="20"/>
                <w:szCs w:val="20"/>
                <w:color w:val="auto"/>
              </w:rPr>
            </w:pPr>
            <w:r>
              <w:rPr>
                <w:rFonts w:ascii="Arial" w:cs="Arial" w:eastAsia="Arial" w:hAnsi="Arial"/>
                <w:sz w:val="18"/>
                <w:szCs w:val="18"/>
                <w:color w:val="auto"/>
              </w:rPr>
              <w:t>Former Chairman and CEO of Carillon Tower Advisors</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Herve D. Francois</w:t>
            </w:r>
          </w:p>
        </w:tc>
        <w:tc>
          <w:tcPr>
            <w:tcW w:w="4620" w:type="dxa"/>
            <w:vAlign w:val="bottom"/>
          </w:tcPr>
          <w:p>
            <w:pPr>
              <w:spacing w:after="0"/>
              <w:rPr>
                <w:sz w:val="20"/>
                <w:szCs w:val="20"/>
                <w:color w:val="auto"/>
              </w:rPr>
            </w:pPr>
            <w:r>
              <w:rPr>
                <w:rFonts w:ascii="Arial" w:cs="Arial" w:eastAsia="Arial" w:hAnsi="Arial"/>
                <w:sz w:val="18"/>
                <w:szCs w:val="18"/>
                <w:color w:val="auto"/>
              </w:rPr>
              <w:t>Multifamily real estate investors</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Jason D. Lamb</w:t>
            </w:r>
          </w:p>
        </w:tc>
        <w:tc>
          <w:tcPr>
            <w:tcW w:w="4620" w:type="dxa"/>
            <w:vAlign w:val="bottom"/>
          </w:tcPr>
          <w:p>
            <w:pPr>
              <w:spacing w:after="0"/>
              <w:rPr>
                <w:sz w:val="20"/>
                <w:szCs w:val="20"/>
                <w:color w:val="auto"/>
              </w:rPr>
            </w:pPr>
            <w:r>
              <w:rPr>
                <w:rFonts w:ascii="Arial" w:cs="Arial" w:eastAsia="Arial" w:hAnsi="Arial"/>
                <w:sz w:val="18"/>
                <w:szCs w:val="18"/>
                <w:color w:val="auto"/>
              </w:rPr>
              <w:t>Special advisor to IronNet, Inc.</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Officers:</w:t>
            </w:r>
          </w:p>
        </w:tc>
        <w:tc>
          <w:tcPr>
            <w:tcW w:w="4620" w:type="dxa"/>
            <w:vAlign w:val="bottom"/>
          </w:tcPr>
          <w:p>
            <w:pPr>
              <w:spacing w:after="0"/>
              <w:rPr>
                <w:sz w:val="24"/>
                <w:szCs w:val="24"/>
                <w:color w:val="auto"/>
              </w:rPr>
            </w:pP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Stephen G. Bondi</w:t>
            </w:r>
          </w:p>
        </w:tc>
        <w:tc>
          <w:tcPr>
            <w:tcW w:w="4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Patrick B. Huvane, CPA, CFA</w:t>
            </w:r>
          </w:p>
        </w:tc>
        <w:tc>
          <w:tcPr>
            <w:tcW w:w="4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Casey Haars</w:t>
            </w:r>
          </w:p>
        </w:tc>
        <w:tc>
          <w:tcPr>
            <w:tcW w:w="4620" w:type="dxa"/>
            <w:vAlign w:val="bottom"/>
          </w:tcPr>
          <w:p>
            <w:pPr>
              <w:spacing w:after="0"/>
              <w:rPr>
                <w:sz w:val="20"/>
                <w:szCs w:val="20"/>
                <w:color w:val="auto"/>
              </w:rPr>
            </w:pPr>
            <w:r>
              <w:rPr>
                <w:rFonts w:ascii="Arial" w:cs="Arial" w:eastAsia="Arial" w:hAnsi="Arial"/>
                <w:sz w:val="18"/>
                <w:szCs w:val="18"/>
                <w:color w:val="auto"/>
              </w:rPr>
              <w:t>Controller</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Tiffany Hayden</w:t>
            </w:r>
          </w:p>
        </w:tc>
        <w:tc>
          <w:tcPr>
            <w:tcW w:w="4620" w:type="dxa"/>
            <w:vAlign w:val="bottom"/>
          </w:tcPr>
          <w:p>
            <w:pPr>
              <w:spacing w:after="0"/>
              <w:rPr>
                <w:sz w:val="20"/>
                <w:szCs w:val="20"/>
                <w:color w:val="auto"/>
              </w:rPr>
            </w:pPr>
            <w:r>
              <w:rPr>
                <w:rFonts w:ascii="Arial" w:cs="Arial" w:eastAsia="Arial" w:hAnsi="Arial"/>
                <w:sz w:val="18"/>
                <w:szCs w:val="18"/>
                <w:color w:val="auto"/>
              </w:rPr>
              <w:t>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Associated Capital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Mario J. Gabelli</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r>
      <w:tr>
        <w:trPr>
          <w:trHeight w:val="648"/>
        </w:trPr>
        <w:tc>
          <w:tcPr>
            <w:tcW w:w="3620" w:type="dxa"/>
            <w:vAlign w:val="bottom"/>
          </w:tcPr>
          <w:p>
            <w:pPr>
              <w:ind w:left="640"/>
              <w:spacing w:after="0"/>
              <w:rPr>
                <w:sz w:val="20"/>
                <w:szCs w:val="20"/>
                <w:color w:val="auto"/>
              </w:rPr>
            </w:pPr>
            <w:r>
              <w:rPr>
                <w:rFonts w:ascii="Arial" w:cs="Arial" w:eastAsia="Arial" w:hAnsi="Arial"/>
                <w:sz w:val="18"/>
                <w:szCs w:val="18"/>
                <w:color w:val="auto"/>
              </w:rPr>
              <w:t>Marc Gabelli</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 GGCP, Inc.</w:t>
            </w:r>
          </w:p>
        </w:tc>
      </w:tr>
      <w:tr>
        <w:trPr>
          <w:trHeight w:val="432"/>
        </w:trPr>
        <w:tc>
          <w:tcPr>
            <w:tcW w:w="362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20" w:type="dxa"/>
            <w:vAlign w:val="bottom"/>
          </w:tcPr>
          <w:p>
            <w:pPr>
              <w:ind w:left="640"/>
              <w:spacing w:after="0"/>
              <w:rPr>
                <w:sz w:val="20"/>
                <w:szCs w:val="20"/>
                <w:color w:val="auto"/>
              </w:rPr>
            </w:pPr>
            <w:r>
              <w:rPr>
                <w:rFonts w:ascii="Arial" w:cs="Arial" w:eastAsia="Arial" w:hAnsi="Arial"/>
                <w:sz w:val="18"/>
                <w:szCs w:val="18"/>
                <w:color w:val="auto"/>
              </w:rPr>
              <w:t>Bruce Lisman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Former Chairman - JP Morgan – Global Equity Division</w:t>
            </w:r>
          </w:p>
        </w:tc>
      </w:tr>
      <w:tr>
        <w:trPr>
          <w:trHeight w:val="634"/>
        </w:trPr>
        <w:tc>
          <w:tcPr>
            <w:tcW w:w="3620" w:type="dxa"/>
            <w:vAlign w:val="bottom"/>
          </w:tcPr>
          <w:p>
            <w:pPr>
              <w:ind w:left="660"/>
              <w:spacing w:after="0"/>
              <w:rPr>
                <w:sz w:val="20"/>
                <w:szCs w:val="20"/>
                <w:color w:val="auto"/>
              </w:rPr>
            </w:pPr>
            <w:r>
              <w:rPr>
                <w:rFonts w:ascii="Arial" w:cs="Arial" w:eastAsia="Arial" w:hAnsi="Arial"/>
                <w:sz w:val="18"/>
                <w:szCs w:val="18"/>
                <w:color w:val="auto"/>
              </w:rPr>
              <w:t>Daniel R. Lee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Full House Resorts, Inc.</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4670 South Ford Apache Road, Suite 190</w:t>
            </w:r>
          </w:p>
        </w:tc>
      </w:tr>
      <w:tr>
        <w:trPr>
          <w:trHeight w:val="230"/>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Las Vegas, NV 89147</w:t>
            </w:r>
          </w:p>
        </w:tc>
      </w:tr>
      <w:tr>
        <w:trPr>
          <w:trHeight w:val="418"/>
        </w:trPr>
        <w:tc>
          <w:tcPr>
            <w:tcW w:w="3620" w:type="dxa"/>
            <w:vAlign w:val="bottom"/>
          </w:tcPr>
          <w:p>
            <w:pPr>
              <w:ind w:left="640"/>
              <w:spacing w:after="0"/>
              <w:rPr>
                <w:sz w:val="20"/>
                <w:szCs w:val="20"/>
                <w:color w:val="auto"/>
              </w:rPr>
            </w:pPr>
            <w:r>
              <w:rPr>
                <w:rFonts w:ascii="Arial" w:cs="Arial" w:eastAsia="Arial" w:hAnsi="Arial"/>
                <w:sz w:val="18"/>
                <w:szCs w:val="18"/>
                <w:color w:val="auto"/>
              </w:rPr>
              <w:t>Richard T. Prins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Former Partner</w:t>
            </w:r>
          </w:p>
        </w:tc>
      </w:tr>
      <w:tr>
        <w:trPr>
          <w:trHeight w:val="230"/>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Skadden, Arps, Slate, Meagher &amp; Flom LLP</w:t>
            </w:r>
          </w:p>
        </w:tc>
      </w:tr>
      <w:tr>
        <w:trPr>
          <w:trHeight w:val="634"/>
        </w:trPr>
        <w:tc>
          <w:tcPr>
            <w:tcW w:w="3620" w:type="dxa"/>
            <w:vAlign w:val="bottom"/>
          </w:tcPr>
          <w:p>
            <w:pPr>
              <w:ind w:left="640"/>
              <w:spacing w:after="0"/>
              <w:rPr>
                <w:sz w:val="20"/>
                <w:szCs w:val="20"/>
                <w:color w:val="auto"/>
              </w:rPr>
            </w:pPr>
            <w:r>
              <w:rPr>
                <w:rFonts w:ascii="Arial" w:cs="Arial" w:eastAsia="Arial" w:hAnsi="Arial"/>
                <w:sz w:val="18"/>
                <w:szCs w:val="18"/>
                <w:color w:val="auto"/>
              </w:rPr>
              <w:t>Salvatore F. Sodano</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Vice Chairman – Retired</w:t>
            </w:r>
          </w:p>
        </w:tc>
      </w:tr>
      <w:tr>
        <w:trPr>
          <w:trHeight w:val="230"/>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Broadridge Financial Solutions</w:t>
            </w:r>
          </w:p>
        </w:tc>
      </w:tr>
      <w:tr>
        <w:trPr>
          <w:trHeight w:val="648"/>
        </w:trPr>
        <w:tc>
          <w:tcPr>
            <w:tcW w:w="3620" w:type="dxa"/>
            <w:vAlign w:val="bottom"/>
          </w:tcPr>
          <w:p>
            <w:pPr>
              <w:ind w:left="640"/>
              <w:spacing w:after="0"/>
              <w:rPr>
                <w:sz w:val="20"/>
                <w:szCs w:val="20"/>
                <w:color w:val="auto"/>
              </w:rPr>
            </w:pPr>
            <w:r>
              <w:rPr>
                <w:rFonts w:ascii="Arial" w:cs="Arial" w:eastAsia="Arial" w:hAnsi="Arial"/>
                <w:sz w:val="18"/>
                <w:szCs w:val="18"/>
                <w:color w:val="auto"/>
              </w:rPr>
              <w:t>Frederic V. Salerno</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See above</w:t>
            </w:r>
          </w:p>
        </w:tc>
      </w:tr>
      <w:tr>
        <w:trPr>
          <w:trHeight w:val="648"/>
        </w:trPr>
        <w:tc>
          <w:tcPr>
            <w:tcW w:w="3620" w:type="dxa"/>
            <w:vAlign w:val="bottom"/>
          </w:tcPr>
          <w:p>
            <w:pPr>
              <w:ind w:left="640"/>
              <w:spacing w:after="0"/>
              <w:rPr>
                <w:sz w:val="20"/>
                <w:szCs w:val="20"/>
                <w:color w:val="auto"/>
              </w:rPr>
            </w:pPr>
            <w:r>
              <w:rPr>
                <w:rFonts w:ascii="Arial" w:cs="Arial" w:eastAsia="Arial" w:hAnsi="Arial"/>
                <w:sz w:val="18"/>
                <w:szCs w:val="18"/>
                <w:color w:val="auto"/>
              </w:rPr>
              <w:t>Elisa M. Wilson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Director</w:t>
            </w: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Officers: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62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Douglas R. Jamieson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Patrick Huvane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Interim Co-Chief Financial Officer</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Ian McAdams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Interim Co-Chief Financial Officer</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Peter D. Goldstein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Senior Vice President, Chief Legal Officer &amp; Secretary</w:t>
            </w:r>
          </w:p>
        </w:tc>
      </w:tr>
      <w:tr>
        <w:trPr>
          <w:trHeight w:val="65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Gabelli &amp; Company Investment Advisers, Inc.</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Directors: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418"/>
        </w:trPr>
        <w:tc>
          <w:tcPr>
            <w:tcW w:w="362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661"/>
        </w:trPr>
        <w:tc>
          <w:tcPr>
            <w:tcW w:w="3620" w:type="dxa"/>
            <w:vAlign w:val="bottom"/>
          </w:tcPr>
          <w:p>
            <w:pPr>
              <w:spacing w:after="0"/>
              <w:rPr>
                <w:sz w:val="20"/>
                <w:szCs w:val="20"/>
                <w:color w:val="auto"/>
              </w:rPr>
            </w:pPr>
            <w:r>
              <w:rPr>
                <w:rFonts w:ascii="Arial" w:cs="Arial" w:eastAsia="Arial" w:hAnsi="Arial"/>
                <w:sz w:val="18"/>
                <w:szCs w:val="18"/>
                <w:color w:val="auto"/>
              </w:rPr>
              <w:t>Officers: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62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3620" w:type="dxa"/>
            <w:vAlign w:val="bottom"/>
          </w:tcPr>
          <w:p>
            <w:pPr>
              <w:ind w:left="640"/>
              <w:spacing w:after="0"/>
              <w:rPr>
                <w:sz w:val="20"/>
                <w:szCs w:val="20"/>
                <w:color w:val="auto"/>
              </w:rPr>
            </w:pPr>
            <w:r>
              <w:rPr>
                <w:rFonts w:ascii="Arial" w:cs="Arial" w:eastAsia="Arial" w:hAnsi="Arial"/>
                <w:sz w:val="18"/>
                <w:szCs w:val="18"/>
                <w:color w:val="auto"/>
              </w:rPr>
              <w:t>John Givissis</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Controller</w:t>
            </w:r>
          </w:p>
        </w:tc>
      </w:tr>
      <w:tr>
        <w:trPr>
          <w:trHeight w:val="432"/>
        </w:trPr>
        <w:tc>
          <w:tcPr>
            <w:tcW w:w="3620" w:type="dxa"/>
            <w:vAlign w:val="bottom"/>
          </w:tcPr>
          <w:p>
            <w:pPr>
              <w:ind w:left="640"/>
              <w:spacing w:after="0"/>
              <w:rPr>
                <w:sz w:val="20"/>
                <w:szCs w:val="20"/>
                <w:color w:val="auto"/>
              </w:rPr>
            </w:pPr>
            <w:r>
              <w:rPr>
                <w:rFonts w:ascii="Arial" w:cs="Arial" w:eastAsia="Arial" w:hAnsi="Arial"/>
                <w:sz w:val="18"/>
                <w:szCs w:val="18"/>
                <w:color w:val="auto"/>
              </w:rPr>
              <w:t>Craig A. Weynand</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Chief Compliance Officer</w:t>
            </w:r>
          </w:p>
        </w:tc>
      </w:tr>
      <w:tr>
        <w:trPr>
          <w:trHeight w:val="65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G.research, LLC</w:t>
            </w:r>
          </w:p>
        </w:tc>
        <w:tc>
          <w:tcPr>
            <w:tcW w:w="2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Officers: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620" w:type="dxa"/>
            <w:vAlign w:val="bottom"/>
          </w:tcPr>
          <w:p>
            <w:pPr>
              <w:ind w:left="680"/>
              <w:spacing w:after="0"/>
              <w:rPr>
                <w:sz w:val="20"/>
                <w:szCs w:val="20"/>
                <w:color w:val="auto"/>
              </w:rPr>
            </w:pPr>
            <w:r>
              <w:rPr>
                <w:rFonts w:ascii="Arial" w:cs="Arial" w:eastAsia="Arial" w:hAnsi="Arial"/>
                <w:sz w:val="18"/>
                <w:szCs w:val="18"/>
                <w:color w:val="auto"/>
              </w:rPr>
              <w:t>Cornelius V. McGinity</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Office of the Chairman</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Vincent Amabile</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President</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Paul Greenhaw</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Chief Compliance Officer</w:t>
            </w:r>
          </w:p>
        </w:tc>
      </w:tr>
    </w:tbl>
    <w:p>
      <w:pPr>
        <w:sectPr>
          <w:pgSz w:w="11900" w:h="16838" w:orient="portrait"/>
          <w:cols w:equalWidth="0" w:num="1">
            <w:col w:w="10400"/>
          </w:cols>
          <w:pgMar w:left="320" w:top="1440" w:right="1179" w:bottom="0" w:gutter="0" w:footer="0" w:header="0"/>
        </w:sectPr>
      </w:pPr>
    </w:p>
    <w:bookmarkStart w:id="18" w:name="page19"/>
    <w:bookmarkEnd w:id="18"/>
    <w:p>
      <w:pPr>
        <w:spacing w:after="0"/>
        <w:tabs>
          <w:tab w:leader="none" w:pos="3180" w:val="left"/>
        </w:tabs>
        <w:rPr>
          <w:sz w:val="20"/>
          <w:szCs w:val="20"/>
          <w:color w:val="auto"/>
        </w:rPr>
      </w:pPr>
      <w:r>
        <w:rPr>
          <w:rFonts w:ascii="Arial" w:cs="Arial" w:eastAsia="Arial" w:hAnsi="Arial"/>
          <w:sz w:val="18"/>
          <w:szCs w:val="18"/>
          <w:color w:val="auto"/>
        </w:rPr>
        <w:t>Joseph Fernandez</w:t>
      </w:r>
      <w:r>
        <w:rPr>
          <w:sz w:val="20"/>
          <w:szCs w:val="20"/>
          <w:color w:val="auto"/>
        </w:rPr>
        <w:tab/>
      </w:r>
      <w:r>
        <w:rPr>
          <w:rFonts w:ascii="Arial" w:cs="Arial" w:eastAsia="Arial" w:hAnsi="Arial"/>
          <w:sz w:val="16"/>
          <w:szCs w:val="16"/>
          <w:color w:val="auto"/>
        </w:rPr>
        <w:t>Controller and Financial and Operations Principal</w:t>
      </w:r>
    </w:p>
    <w:p>
      <w:pPr>
        <w:sectPr>
          <w:pgSz w:w="11900" w:h="16838" w:orient="portrait"/>
          <w:cols w:equalWidth="0" w:num="1">
            <w:col w:w="9459"/>
          </w:cols>
          <w:pgMar w:left="100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52705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59"/>
          </w:cols>
          <w:pgMar w:left="1000" w:top="341" w:right="1440"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2"/>
          <w:szCs w:val="22"/>
          <w:color w:val="auto"/>
        </w:rPr>
        <w:t>SCHEDULE II</w:t>
      </w:r>
    </w:p>
    <w:p>
      <w:pPr>
        <w:jc w:val="center"/>
        <w:spacing w:after="0" w:line="238" w:lineRule="auto"/>
        <w:rPr>
          <w:sz w:val="20"/>
          <w:szCs w:val="20"/>
          <w:color w:val="auto"/>
        </w:rPr>
      </w:pPr>
      <w:r>
        <w:rPr>
          <w:rFonts w:ascii="Arial" w:cs="Arial" w:eastAsia="Arial" w:hAnsi="Arial"/>
          <w:sz w:val="22"/>
          <w:szCs w:val="22"/>
          <w:color w:val="auto"/>
        </w:rPr>
        <w:t>INFORMATION WITH RESPECT TO</w:t>
      </w:r>
    </w:p>
    <w:p>
      <w:pPr>
        <w:jc w:val="center"/>
        <w:spacing w:after="0" w:line="230" w:lineRule="auto"/>
        <w:rPr>
          <w:sz w:val="20"/>
          <w:szCs w:val="20"/>
          <w:color w:val="auto"/>
        </w:rPr>
      </w:pPr>
      <w:r>
        <w:rPr>
          <w:rFonts w:ascii="Arial" w:cs="Arial" w:eastAsia="Arial" w:hAnsi="Arial"/>
          <w:sz w:val="22"/>
          <w:szCs w:val="22"/>
          <w:color w:val="auto"/>
        </w:rPr>
        <w:t>TRANSACTIONS EFFECTED DURING THE PAST SIXTY DAYS 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SINCE THE MOST RECENT FILING ON SCHEDULE 13D (1)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1"/>
                <w:szCs w:val="21"/>
                <w:color w:val="auto"/>
              </w:rPr>
            </w:pPr>
          </w:p>
        </w:tc>
        <w:tc>
          <w:tcPr>
            <w:tcW w:w="2600" w:type="dxa"/>
            <w:vAlign w:val="bottom"/>
          </w:tcPr>
          <w:p>
            <w:pPr>
              <w:ind w:left="240"/>
              <w:spacing w:after="0"/>
              <w:rPr>
                <w:sz w:val="20"/>
                <w:szCs w:val="20"/>
                <w:color w:val="auto"/>
              </w:rPr>
            </w:pPr>
            <w:r>
              <w:rPr>
                <w:rFonts w:ascii="Arial" w:cs="Arial" w:eastAsia="Arial" w:hAnsi="Arial"/>
                <w:sz w:val="22"/>
                <w:szCs w:val="22"/>
                <w:color w:val="auto"/>
                <w:w w:val="99"/>
              </w:rPr>
              <w:t>SHARES PURCHASED</w:t>
            </w:r>
          </w:p>
        </w:tc>
        <w:tc>
          <w:tcPr>
            <w:tcW w:w="2360" w:type="dxa"/>
            <w:vAlign w:val="bottom"/>
          </w:tcPr>
          <w:p>
            <w:pPr>
              <w:jc w:val="right"/>
              <w:ind w:right="1029"/>
              <w:spacing w:after="0"/>
              <w:rPr>
                <w:sz w:val="20"/>
                <w:szCs w:val="20"/>
                <w:color w:val="auto"/>
              </w:rPr>
            </w:pPr>
            <w:r>
              <w:rPr>
                <w:rFonts w:ascii="Arial" w:cs="Arial" w:eastAsia="Arial" w:hAnsi="Arial"/>
                <w:sz w:val="22"/>
                <w:szCs w:val="22"/>
                <w:color w:val="auto"/>
              </w:rPr>
              <w:t>AVERAGE</w:t>
            </w:r>
          </w:p>
        </w:tc>
        <w:tc>
          <w:tcPr>
            <w:tcW w:w="1720" w:type="dxa"/>
            <w:vAlign w:val="bottom"/>
          </w:tcPr>
          <w:p>
            <w:pPr>
              <w:spacing w:after="0"/>
              <w:rPr>
                <w:sz w:val="21"/>
                <w:szCs w:val="21"/>
                <w:color w:val="auto"/>
              </w:rPr>
            </w:pPr>
          </w:p>
        </w:tc>
      </w:tr>
      <w:tr>
        <w:trPr>
          <w:trHeight w:val="274"/>
        </w:trPr>
        <w:tc>
          <w:tcPr>
            <w:tcW w:w="4560" w:type="dxa"/>
            <w:vAlign w:val="bottom"/>
          </w:tcPr>
          <w:p>
            <w:pPr>
              <w:ind w:left="3040"/>
              <w:spacing w:after="0"/>
              <w:rPr>
                <w:sz w:val="20"/>
                <w:szCs w:val="20"/>
                <w:color w:val="auto"/>
              </w:rPr>
            </w:pPr>
            <w:r>
              <w:rPr>
                <w:rFonts w:ascii="Arial" w:cs="Arial" w:eastAsia="Arial" w:hAnsi="Arial"/>
                <w:sz w:val="22"/>
                <w:szCs w:val="22"/>
                <w:color w:val="auto"/>
              </w:rPr>
              <w:t>DATE</w:t>
            </w:r>
          </w:p>
        </w:tc>
        <w:tc>
          <w:tcPr>
            <w:tcW w:w="2600" w:type="dxa"/>
            <w:vAlign w:val="bottom"/>
          </w:tcPr>
          <w:p>
            <w:pPr>
              <w:ind w:left="1300"/>
              <w:spacing w:after="0"/>
              <w:rPr>
                <w:sz w:val="20"/>
                <w:szCs w:val="20"/>
                <w:color w:val="auto"/>
              </w:rPr>
            </w:pPr>
            <w:r>
              <w:rPr>
                <w:rFonts w:ascii="Arial" w:cs="Arial" w:eastAsia="Arial" w:hAnsi="Arial"/>
                <w:sz w:val="22"/>
                <w:szCs w:val="22"/>
                <w:color w:val="auto"/>
              </w:rPr>
              <w:t>SOLD(-)</w:t>
            </w:r>
          </w:p>
        </w:tc>
        <w:tc>
          <w:tcPr>
            <w:tcW w:w="2360" w:type="dxa"/>
            <w:vAlign w:val="bottom"/>
          </w:tcPr>
          <w:p>
            <w:pPr>
              <w:jc w:val="right"/>
              <w:ind w:right="1229"/>
              <w:spacing w:after="0"/>
              <w:rPr>
                <w:sz w:val="20"/>
                <w:szCs w:val="20"/>
                <w:color w:val="auto"/>
              </w:rPr>
            </w:pPr>
            <w:r>
              <w:rPr>
                <w:rFonts w:ascii="Arial" w:cs="Arial" w:eastAsia="Arial" w:hAnsi="Arial"/>
                <w:sz w:val="22"/>
                <w:szCs w:val="22"/>
                <w:color w:val="auto"/>
              </w:rPr>
              <w:t>PRICE(2)</w:t>
            </w:r>
          </w:p>
        </w:tc>
        <w:tc>
          <w:tcPr>
            <w:tcW w:w="1720" w:type="dxa"/>
            <w:vAlign w:val="bottom"/>
          </w:tcPr>
          <w:p>
            <w:pPr>
              <w:spacing w:after="0"/>
              <w:rPr>
                <w:sz w:val="23"/>
                <w:szCs w:val="23"/>
                <w:color w:val="auto"/>
              </w:rPr>
            </w:pPr>
          </w:p>
        </w:tc>
      </w:tr>
      <w:tr>
        <w:trPr>
          <w:trHeight w:val="486"/>
        </w:trPr>
        <w:tc>
          <w:tcPr>
            <w:tcW w:w="7160" w:type="dxa"/>
            <w:vAlign w:val="bottom"/>
            <w:gridSpan w:val="2"/>
          </w:tcPr>
          <w:p>
            <w:pPr>
              <w:ind w:left="60"/>
              <w:spacing w:after="0"/>
              <w:rPr>
                <w:sz w:val="20"/>
                <w:szCs w:val="20"/>
                <w:color w:val="auto"/>
              </w:rPr>
            </w:pPr>
            <w:r>
              <w:rPr>
                <w:rFonts w:ascii="Arial" w:cs="Arial" w:eastAsia="Arial" w:hAnsi="Arial"/>
                <w:sz w:val="22"/>
                <w:szCs w:val="22"/>
                <w:color w:val="auto"/>
              </w:rPr>
              <w:t>COMMON STOCK-OIL-DRI CORPORATION OF AMERICA</w:t>
            </w:r>
          </w:p>
        </w:tc>
        <w:tc>
          <w:tcPr>
            <w:tcW w:w="2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5"/>
        </w:trPr>
        <w:tc>
          <w:tcPr>
            <w:tcW w:w="4560" w:type="dxa"/>
            <w:vAlign w:val="bottom"/>
          </w:tcPr>
          <w:p>
            <w:pPr>
              <w:spacing w:after="0"/>
              <w:rPr>
                <w:sz w:val="20"/>
                <w:szCs w:val="20"/>
                <w:color w:val="auto"/>
              </w:rPr>
            </w:pPr>
            <w:r>
              <w:rPr>
                <w:rFonts w:ascii="Arial" w:cs="Arial" w:eastAsia="Arial" w:hAnsi="Arial"/>
                <w:sz w:val="18"/>
                <w:szCs w:val="18"/>
                <w:color w:val="auto"/>
              </w:rPr>
              <w:t>ASSOCIATED CAPITAL GROUP, INC.</w:t>
            </w:r>
          </w:p>
        </w:tc>
        <w:tc>
          <w:tcPr>
            <w:tcW w:w="2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0"/>
        </w:trPr>
        <w:tc>
          <w:tcPr>
            <w:tcW w:w="4560" w:type="dxa"/>
            <w:vAlign w:val="bottom"/>
          </w:tcPr>
          <w:p>
            <w:pPr>
              <w:ind w:left="2820"/>
              <w:spacing w:after="0"/>
              <w:rPr>
                <w:sz w:val="20"/>
                <w:szCs w:val="20"/>
                <w:color w:val="auto"/>
              </w:rPr>
            </w:pPr>
            <w:r>
              <w:rPr>
                <w:rFonts w:ascii="Arial" w:cs="Arial" w:eastAsia="Arial" w:hAnsi="Arial"/>
                <w:sz w:val="18"/>
                <w:szCs w:val="18"/>
                <w:color w:val="auto"/>
              </w:rPr>
              <w:t>6/23/2023</w:t>
            </w:r>
          </w:p>
        </w:tc>
        <w:tc>
          <w:tcPr>
            <w:tcW w:w="2600" w:type="dxa"/>
            <w:vAlign w:val="bottom"/>
          </w:tcPr>
          <w:p>
            <w:pPr>
              <w:spacing w:after="0"/>
              <w:rPr>
                <w:sz w:val="20"/>
                <w:szCs w:val="20"/>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-1,500</w:t>
            </w:r>
          </w:p>
        </w:tc>
        <w:tc>
          <w:tcPr>
            <w:tcW w:w="1720" w:type="dxa"/>
            <w:vAlign w:val="bottom"/>
          </w:tcPr>
          <w:p>
            <w:pPr>
              <w:jc w:val="right"/>
              <w:spacing w:after="0"/>
              <w:rPr>
                <w:sz w:val="20"/>
                <w:szCs w:val="20"/>
                <w:color w:val="auto"/>
              </w:rPr>
            </w:pPr>
            <w:r>
              <w:rPr>
                <w:rFonts w:ascii="Arial" w:cs="Arial" w:eastAsia="Arial" w:hAnsi="Arial"/>
                <w:sz w:val="18"/>
                <w:szCs w:val="18"/>
                <w:color w:val="auto"/>
              </w:rPr>
              <w:t>55.2400</w:t>
            </w:r>
          </w:p>
        </w:tc>
      </w:tr>
      <w:tr>
        <w:trPr>
          <w:trHeight w:val="418"/>
        </w:trPr>
        <w:tc>
          <w:tcPr>
            <w:tcW w:w="4560" w:type="dxa"/>
            <w:vAlign w:val="bottom"/>
          </w:tcPr>
          <w:p>
            <w:pPr>
              <w:spacing w:after="0"/>
              <w:rPr>
                <w:sz w:val="20"/>
                <w:szCs w:val="20"/>
                <w:color w:val="auto"/>
              </w:rPr>
            </w:pPr>
            <w:r>
              <w:rPr>
                <w:rFonts w:ascii="Arial" w:cs="Arial" w:eastAsia="Arial" w:hAnsi="Arial"/>
                <w:sz w:val="18"/>
                <w:szCs w:val="18"/>
                <w:color w:val="auto"/>
              </w:rPr>
              <w:t>GABELLI FUNDS, LLC</w:t>
            </w:r>
          </w:p>
        </w:tc>
        <w:tc>
          <w:tcPr>
            <w:tcW w:w="2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4560" w:type="dxa"/>
            <w:vAlign w:val="bottom"/>
          </w:tcPr>
          <w:p>
            <w:pPr>
              <w:ind w:left="760"/>
              <w:spacing w:after="0"/>
              <w:rPr>
                <w:sz w:val="20"/>
                <w:szCs w:val="20"/>
                <w:color w:val="auto"/>
              </w:rPr>
            </w:pPr>
            <w:r>
              <w:rPr>
                <w:rFonts w:ascii="Arial" w:cs="Arial" w:eastAsia="Arial" w:hAnsi="Arial"/>
                <w:sz w:val="18"/>
                <w:szCs w:val="18"/>
                <w:color w:val="auto"/>
              </w:rPr>
              <w:t>GABELLI EQUITY TRUST</w:t>
            </w:r>
          </w:p>
        </w:tc>
        <w:tc>
          <w:tcPr>
            <w:tcW w:w="2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7/28/2023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-500</w:t>
            </w:r>
          </w:p>
        </w:tc>
        <w:tc>
          <w:tcPr>
            <w:tcW w:w="1720" w:type="dxa"/>
            <w:vAlign w:val="bottom"/>
          </w:tcPr>
          <w:p>
            <w:pPr>
              <w:jc w:val="right"/>
              <w:spacing w:after="0"/>
              <w:rPr>
                <w:sz w:val="20"/>
                <w:szCs w:val="20"/>
                <w:color w:val="auto"/>
              </w:rPr>
            </w:pPr>
            <w:r>
              <w:rPr>
                <w:rFonts w:ascii="Arial" w:cs="Arial" w:eastAsia="Arial" w:hAnsi="Arial"/>
                <w:sz w:val="18"/>
                <w:szCs w:val="18"/>
                <w:color w:val="auto"/>
              </w:rPr>
              <w:t>63.6700</w:t>
            </w:r>
          </w:p>
        </w:tc>
      </w:tr>
      <w:tr>
        <w:trPr>
          <w:trHeight w:val="216"/>
        </w:trPr>
        <w:tc>
          <w:tcPr>
            <w:tcW w:w="4560" w:type="dxa"/>
            <w:vAlign w:val="bottom"/>
          </w:tcPr>
          <w:p>
            <w:pPr>
              <w:ind w:left="760"/>
              <w:spacing w:after="0"/>
              <w:rPr>
                <w:sz w:val="20"/>
                <w:szCs w:val="20"/>
                <w:color w:val="auto"/>
              </w:rPr>
            </w:pPr>
            <w:r>
              <w:rPr>
                <w:rFonts w:ascii="Arial" w:cs="Arial" w:eastAsia="Arial" w:hAnsi="Arial"/>
                <w:sz w:val="18"/>
                <w:szCs w:val="18"/>
                <w:color w:val="auto"/>
              </w:rPr>
              <w:t>GABELLI GLOBAL MINI MITES FUND</w:t>
            </w:r>
          </w:p>
        </w:tc>
        <w:tc>
          <w:tcPr>
            <w:tcW w:w="2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6/12/2023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-3,700</w:t>
            </w:r>
          </w:p>
        </w:tc>
        <w:tc>
          <w:tcPr>
            <w:tcW w:w="1720" w:type="dxa"/>
            <w:vAlign w:val="bottom"/>
          </w:tcPr>
          <w:p>
            <w:pPr>
              <w:jc w:val="right"/>
              <w:spacing w:after="0"/>
              <w:rPr>
                <w:sz w:val="20"/>
                <w:szCs w:val="20"/>
                <w:color w:val="auto"/>
              </w:rPr>
            </w:pPr>
            <w:r>
              <w:rPr>
                <w:rFonts w:ascii="Arial" w:cs="Arial" w:eastAsia="Arial" w:hAnsi="Arial"/>
                <w:sz w:val="18"/>
                <w:szCs w:val="18"/>
                <w:color w:val="auto"/>
              </w:rPr>
              <w:t>49.1206</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6/9/2023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-300</w:t>
            </w:r>
          </w:p>
        </w:tc>
        <w:tc>
          <w:tcPr>
            <w:tcW w:w="1720" w:type="dxa"/>
            <w:vAlign w:val="bottom"/>
          </w:tcPr>
          <w:p>
            <w:pPr>
              <w:jc w:val="right"/>
              <w:spacing w:after="0"/>
              <w:rPr>
                <w:sz w:val="20"/>
                <w:szCs w:val="20"/>
                <w:color w:val="auto"/>
              </w:rPr>
            </w:pPr>
            <w:r>
              <w:rPr>
                <w:rFonts w:ascii="Arial" w:cs="Arial" w:eastAsia="Arial" w:hAnsi="Arial"/>
                <w:sz w:val="18"/>
                <w:szCs w:val="18"/>
                <w:color w:val="auto"/>
              </w:rPr>
              <w:t>44.5500</w:t>
            </w:r>
          </w:p>
        </w:tc>
      </w:tr>
      <w:tr>
        <w:trPr>
          <w:trHeight w:val="216"/>
        </w:trPr>
        <w:tc>
          <w:tcPr>
            <w:tcW w:w="4560" w:type="dxa"/>
            <w:vAlign w:val="bottom"/>
          </w:tcPr>
          <w:p>
            <w:pPr>
              <w:ind w:left="760"/>
              <w:spacing w:after="0"/>
              <w:rPr>
                <w:sz w:val="20"/>
                <w:szCs w:val="20"/>
                <w:color w:val="auto"/>
              </w:rPr>
            </w:pPr>
            <w:r>
              <w:rPr>
                <w:rFonts w:ascii="Arial" w:cs="Arial" w:eastAsia="Arial" w:hAnsi="Arial"/>
                <w:sz w:val="18"/>
                <w:szCs w:val="18"/>
                <w:color w:val="auto"/>
              </w:rPr>
              <w:t>GABELLI PET PARENTS FUND</w:t>
            </w:r>
          </w:p>
        </w:tc>
        <w:tc>
          <w:tcPr>
            <w:tcW w:w="2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7/6/2023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-100</w:t>
            </w:r>
          </w:p>
        </w:tc>
        <w:tc>
          <w:tcPr>
            <w:tcW w:w="1720" w:type="dxa"/>
            <w:vAlign w:val="bottom"/>
          </w:tcPr>
          <w:p>
            <w:pPr>
              <w:jc w:val="right"/>
              <w:spacing w:after="0"/>
              <w:rPr>
                <w:sz w:val="20"/>
                <w:szCs w:val="20"/>
                <w:color w:val="auto"/>
              </w:rPr>
            </w:pPr>
            <w:r>
              <w:rPr>
                <w:rFonts w:ascii="Arial" w:cs="Arial" w:eastAsia="Arial" w:hAnsi="Arial"/>
                <w:sz w:val="18"/>
                <w:szCs w:val="18"/>
                <w:color w:val="auto"/>
              </w:rPr>
              <w:t>61.5013</w:t>
            </w:r>
          </w:p>
        </w:tc>
      </w:tr>
      <w:tr>
        <w:trPr>
          <w:trHeight w:val="230"/>
        </w:trPr>
        <w:tc>
          <w:tcPr>
            <w:tcW w:w="4560" w:type="dxa"/>
            <w:vAlign w:val="bottom"/>
          </w:tcPr>
          <w:p>
            <w:pPr>
              <w:ind w:left="2820"/>
              <w:spacing w:after="0"/>
              <w:rPr>
                <w:sz w:val="20"/>
                <w:szCs w:val="20"/>
                <w:color w:val="auto"/>
              </w:rPr>
            </w:pPr>
            <w:r>
              <w:rPr>
                <w:rFonts w:ascii="Arial" w:cs="Arial" w:eastAsia="Arial" w:hAnsi="Arial"/>
                <w:sz w:val="18"/>
                <w:szCs w:val="18"/>
                <w:color w:val="auto"/>
              </w:rPr>
              <w:t>7/5/2023</w:t>
            </w:r>
          </w:p>
        </w:tc>
        <w:tc>
          <w:tcPr>
            <w:tcW w:w="2600" w:type="dxa"/>
            <w:vAlign w:val="bottom"/>
          </w:tcPr>
          <w:p>
            <w:pPr>
              <w:spacing w:after="0"/>
              <w:rPr>
                <w:sz w:val="20"/>
                <w:szCs w:val="20"/>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-100</w:t>
            </w:r>
          </w:p>
        </w:tc>
        <w:tc>
          <w:tcPr>
            <w:tcW w:w="1720" w:type="dxa"/>
            <w:vAlign w:val="bottom"/>
          </w:tcPr>
          <w:p>
            <w:pPr>
              <w:jc w:val="right"/>
              <w:spacing w:after="0"/>
              <w:rPr>
                <w:sz w:val="20"/>
                <w:szCs w:val="20"/>
                <w:color w:val="auto"/>
              </w:rPr>
            </w:pPr>
            <w:r>
              <w:rPr>
                <w:rFonts w:ascii="Arial" w:cs="Arial" w:eastAsia="Arial" w:hAnsi="Arial"/>
                <w:sz w:val="18"/>
                <w:szCs w:val="18"/>
                <w:color w:val="auto"/>
              </w:rPr>
              <w:t>59.9100</w:t>
            </w:r>
          </w:p>
        </w:tc>
      </w:tr>
      <w:tr>
        <w:trPr>
          <w:trHeight w:val="418"/>
        </w:trPr>
        <w:tc>
          <w:tcPr>
            <w:tcW w:w="4560" w:type="dxa"/>
            <w:vAlign w:val="bottom"/>
          </w:tcPr>
          <w:p>
            <w:pPr>
              <w:spacing w:after="0"/>
              <w:rPr>
                <w:sz w:val="20"/>
                <w:szCs w:val="20"/>
                <w:color w:val="auto"/>
              </w:rPr>
            </w:pPr>
            <w:r>
              <w:rPr>
                <w:rFonts w:ascii="Arial" w:cs="Arial" w:eastAsia="Arial" w:hAnsi="Arial"/>
                <w:sz w:val="18"/>
                <w:szCs w:val="18"/>
                <w:color w:val="auto"/>
              </w:rPr>
              <w:t>GAMCO ASSET MANAGEMENT INC.</w:t>
            </w:r>
          </w:p>
        </w:tc>
        <w:tc>
          <w:tcPr>
            <w:tcW w:w="2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7/26/2023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-700</w:t>
            </w:r>
          </w:p>
        </w:tc>
        <w:tc>
          <w:tcPr>
            <w:tcW w:w="1720" w:type="dxa"/>
            <w:vAlign w:val="bottom"/>
          </w:tcPr>
          <w:p>
            <w:pPr>
              <w:jc w:val="right"/>
              <w:spacing w:after="0"/>
              <w:rPr>
                <w:sz w:val="20"/>
                <w:szCs w:val="20"/>
                <w:color w:val="auto"/>
              </w:rPr>
            </w:pPr>
            <w:r>
              <w:rPr>
                <w:rFonts w:ascii="Arial" w:cs="Arial" w:eastAsia="Arial" w:hAnsi="Arial"/>
                <w:sz w:val="18"/>
                <w:szCs w:val="18"/>
                <w:color w:val="auto"/>
              </w:rPr>
              <w:t>63.5096</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7/25/2023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-700</w:t>
            </w:r>
          </w:p>
        </w:tc>
        <w:tc>
          <w:tcPr>
            <w:tcW w:w="1720" w:type="dxa"/>
            <w:vAlign w:val="bottom"/>
          </w:tcPr>
          <w:p>
            <w:pPr>
              <w:jc w:val="right"/>
              <w:spacing w:after="0"/>
              <w:rPr>
                <w:sz w:val="20"/>
                <w:szCs w:val="20"/>
                <w:color w:val="auto"/>
              </w:rPr>
            </w:pPr>
            <w:r>
              <w:rPr>
                <w:rFonts w:ascii="Arial" w:cs="Arial" w:eastAsia="Arial" w:hAnsi="Arial"/>
                <w:sz w:val="18"/>
                <w:szCs w:val="18"/>
                <w:color w:val="auto"/>
              </w:rPr>
              <w:t>62.6800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7/20/2023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-2,000</w:t>
            </w:r>
          </w:p>
        </w:tc>
        <w:tc>
          <w:tcPr>
            <w:tcW w:w="1720" w:type="dxa"/>
            <w:vAlign w:val="bottom"/>
          </w:tcPr>
          <w:p>
            <w:pPr>
              <w:jc w:val="right"/>
              <w:spacing w:after="0"/>
              <w:rPr>
                <w:sz w:val="20"/>
                <w:szCs w:val="20"/>
                <w:color w:val="auto"/>
              </w:rPr>
            </w:pPr>
            <w:r>
              <w:rPr>
                <w:rFonts w:ascii="Arial" w:cs="Arial" w:eastAsia="Arial" w:hAnsi="Arial"/>
                <w:sz w:val="18"/>
                <w:szCs w:val="18"/>
                <w:color w:val="auto"/>
              </w:rPr>
              <w:t>63.3677</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7/19/2023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-4,000</w:t>
            </w:r>
          </w:p>
        </w:tc>
        <w:tc>
          <w:tcPr>
            <w:tcW w:w="1720" w:type="dxa"/>
            <w:vAlign w:val="bottom"/>
          </w:tcPr>
          <w:p>
            <w:pPr>
              <w:jc w:val="right"/>
              <w:spacing w:after="0"/>
              <w:rPr>
                <w:sz w:val="20"/>
                <w:szCs w:val="20"/>
                <w:color w:val="auto"/>
              </w:rPr>
            </w:pPr>
            <w:r>
              <w:rPr>
                <w:rFonts w:ascii="Arial" w:cs="Arial" w:eastAsia="Arial" w:hAnsi="Arial"/>
                <w:sz w:val="18"/>
                <w:szCs w:val="18"/>
                <w:color w:val="auto"/>
              </w:rPr>
              <w:t>62.8210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7/18/2023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-2,000</w:t>
            </w:r>
          </w:p>
        </w:tc>
        <w:tc>
          <w:tcPr>
            <w:tcW w:w="1720" w:type="dxa"/>
            <w:vAlign w:val="bottom"/>
          </w:tcPr>
          <w:p>
            <w:pPr>
              <w:jc w:val="right"/>
              <w:spacing w:after="0"/>
              <w:rPr>
                <w:sz w:val="20"/>
                <w:szCs w:val="20"/>
                <w:color w:val="auto"/>
              </w:rPr>
            </w:pPr>
            <w:r>
              <w:rPr>
                <w:rFonts w:ascii="Arial" w:cs="Arial" w:eastAsia="Arial" w:hAnsi="Arial"/>
                <w:sz w:val="18"/>
                <w:szCs w:val="18"/>
                <w:color w:val="auto"/>
              </w:rPr>
              <w:t>62.0774</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7/14/2023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-200</w:t>
            </w:r>
          </w:p>
        </w:tc>
        <w:tc>
          <w:tcPr>
            <w:tcW w:w="1720" w:type="dxa"/>
            <w:vAlign w:val="bottom"/>
          </w:tcPr>
          <w:p>
            <w:pPr>
              <w:jc w:val="right"/>
              <w:spacing w:after="0"/>
              <w:rPr>
                <w:sz w:val="20"/>
                <w:szCs w:val="20"/>
                <w:color w:val="auto"/>
              </w:rPr>
            </w:pPr>
            <w:r>
              <w:rPr>
                <w:rFonts w:ascii="Arial" w:cs="Arial" w:eastAsia="Arial" w:hAnsi="Arial"/>
                <w:sz w:val="18"/>
                <w:szCs w:val="18"/>
                <w:color w:val="auto"/>
              </w:rPr>
              <w:t>62.4333</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7/13/2023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-3,000</w:t>
            </w:r>
          </w:p>
        </w:tc>
        <w:tc>
          <w:tcPr>
            <w:tcW w:w="1720" w:type="dxa"/>
            <w:vAlign w:val="bottom"/>
          </w:tcPr>
          <w:p>
            <w:pPr>
              <w:jc w:val="right"/>
              <w:spacing w:after="0"/>
              <w:rPr>
                <w:sz w:val="20"/>
                <w:szCs w:val="20"/>
                <w:color w:val="auto"/>
              </w:rPr>
            </w:pPr>
            <w:r>
              <w:rPr>
                <w:rFonts w:ascii="Arial" w:cs="Arial" w:eastAsia="Arial" w:hAnsi="Arial"/>
                <w:sz w:val="18"/>
                <w:szCs w:val="18"/>
                <w:color w:val="auto"/>
              </w:rPr>
              <w:t>62.9997</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7/12/2023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-300</w:t>
            </w:r>
          </w:p>
        </w:tc>
        <w:tc>
          <w:tcPr>
            <w:tcW w:w="1720" w:type="dxa"/>
            <w:vAlign w:val="bottom"/>
          </w:tcPr>
          <w:p>
            <w:pPr>
              <w:jc w:val="right"/>
              <w:spacing w:after="0"/>
              <w:rPr>
                <w:sz w:val="20"/>
                <w:szCs w:val="20"/>
                <w:color w:val="auto"/>
              </w:rPr>
            </w:pPr>
            <w:r>
              <w:rPr>
                <w:rFonts w:ascii="Arial" w:cs="Arial" w:eastAsia="Arial" w:hAnsi="Arial"/>
                <w:sz w:val="18"/>
                <w:szCs w:val="18"/>
                <w:color w:val="auto"/>
              </w:rPr>
              <w:t>62.8800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7/12/2023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-200</w:t>
            </w:r>
          </w:p>
        </w:tc>
        <w:tc>
          <w:tcPr>
            <w:tcW w:w="1720" w:type="dxa"/>
            <w:vAlign w:val="bottom"/>
          </w:tcPr>
          <w:p>
            <w:pPr>
              <w:jc w:val="right"/>
              <w:spacing w:after="0"/>
              <w:rPr>
                <w:sz w:val="20"/>
                <w:szCs w:val="20"/>
                <w:color w:val="auto"/>
              </w:rPr>
            </w:pPr>
            <w:r>
              <w:rPr>
                <w:rFonts w:ascii="Arial" w:cs="Arial" w:eastAsia="Arial" w:hAnsi="Arial"/>
                <w:sz w:val="18"/>
                <w:szCs w:val="18"/>
                <w:color w:val="auto"/>
              </w:rPr>
              <w:t>63.0000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7/11/2023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-800</w:t>
            </w:r>
          </w:p>
        </w:tc>
        <w:tc>
          <w:tcPr>
            <w:tcW w:w="1720" w:type="dxa"/>
            <w:vAlign w:val="bottom"/>
          </w:tcPr>
          <w:p>
            <w:pPr>
              <w:jc w:val="right"/>
              <w:spacing w:after="0"/>
              <w:rPr>
                <w:sz w:val="20"/>
                <w:szCs w:val="20"/>
                <w:color w:val="auto"/>
              </w:rPr>
            </w:pPr>
            <w:r>
              <w:rPr>
                <w:rFonts w:ascii="Arial" w:cs="Arial" w:eastAsia="Arial" w:hAnsi="Arial"/>
                <w:sz w:val="18"/>
                <w:szCs w:val="18"/>
                <w:color w:val="auto"/>
              </w:rPr>
              <w:t>62.2346</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7/6/2023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-100</w:t>
            </w:r>
          </w:p>
        </w:tc>
        <w:tc>
          <w:tcPr>
            <w:tcW w:w="1720" w:type="dxa"/>
            <w:vAlign w:val="bottom"/>
          </w:tcPr>
          <w:p>
            <w:pPr>
              <w:jc w:val="right"/>
              <w:spacing w:after="0"/>
              <w:rPr>
                <w:sz w:val="20"/>
                <w:szCs w:val="20"/>
                <w:color w:val="auto"/>
              </w:rPr>
            </w:pPr>
            <w:r>
              <w:rPr>
                <w:rFonts w:ascii="Arial" w:cs="Arial" w:eastAsia="Arial" w:hAnsi="Arial"/>
                <w:sz w:val="18"/>
                <w:szCs w:val="18"/>
                <w:color w:val="auto"/>
              </w:rPr>
              <w:t>61.3000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7/6/2023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-700</w:t>
            </w:r>
          </w:p>
        </w:tc>
        <w:tc>
          <w:tcPr>
            <w:tcW w:w="1720" w:type="dxa"/>
            <w:vAlign w:val="bottom"/>
          </w:tcPr>
          <w:p>
            <w:pPr>
              <w:jc w:val="right"/>
              <w:spacing w:after="0"/>
              <w:rPr>
                <w:sz w:val="20"/>
                <w:szCs w:val="20"/>
                <w:color w:val="auto"/>
              </w:rPr>
            </w:pPr>
            <w:r>
              <w:rPr>
                <w:rFonts w:ascii="Arial" w:cs="Arial" w:eastAsia="Arial" w:hAnsi="Arial"/>
                <w:sz w:val="18"/>
                <w:szCs w:val="18"/>
                <w:color w:val="auto"/>
              </w:rPr>
              <w:t>62.0000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7/5/2023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-4,700</w:t>
            </w:r>
          </w:p>
        </w:tc>
        <w:tc>
          <w:tcPr>
            <w:tcW w:w="1720" w:type="dxa"/>
            <w:vAlign w:val="bottom"/>
          </w:tcPr>
          <w:p>
            <w:pPr>
              <w:jc w:val="right"/>
              <w:spacing w:after="0"/>
              <w:rPr>
                <w:sz w:val="20"/>
                <w:szCs w:val="20"/>
                <w:color w:val="auto"/>
              </w:rPr>
            </w:pPr>
            <w:r>
              <w:rPr>
                <w:rFonts w:ascii="Arial" w:cs="Arial" w:eastAsia="Arial" w:hAnsi="Arial"/>
                <w:sz w:val="18"/>
                <w:szCs w:val="18"/>
                <w:color w:val="auto"/>
              </w:rPr>
              <w:t>60.0469</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7/3/2023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-800</w:t>
            </w:r>
          </w:p>
        </w:tc>
        <w:tc>
          <w:tcPr>
            <w:tcW w:w="1720" w:type="dxa"/>
            <w:vAlign w:val="bottom"/>
          </w:tcPr>
          <w:p>
            <w:pPr>
              <w:jc w:val="right"/>
              <w:spacing w:after="0"/>
              <w:rPr>
                <w:sz w:val="20"/>
                <w:szCs w:val="20"/>
                <w:color w:val="auto"/>
              </w:rPr>
            </w:pPr>
            <w:r>
              <w:rPr>
                <w:rFonts w:ascii="Arial" w:cs="Arial" w:eastAsia="Arial" w:hAnsi="Arial"/>
                <w:sz w:val="18"/>
                <w:szCs w:val="18"/>
                <w:color w:val="auto"/>
              </w:rPr>
              <w:t>59.1318</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6/30/2023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-2,900</w:t>
            </w:r>
          </w:p>
        </w:tc>
        <w:tc>
          <w:tcPr>
            <w:tcW w:w="1720" w:type="dxa"/>
            <w:vAlign w:val="bottom"/>
          </w:tcPr>
          <w:p>
            <w:pPr>
              <w:jc w:val="right"/>
              <w:spacing w:after="0"/>
              <w:rPr>
                <w:sz w:val="20"/>
                <w:szCs w:val="20"/>
                <w:color w:val="auto"/>
              </w:rPr>
            </w:pPr>
            <w:r>
              <w:rPr>
                <w:rFonts w:ascii="Arial" w:cs="Arial" w:eastAsia="Arial" w:hAnsi="Arial"/>
                <w:sz w:val="18"/>
                <w:szCs w:val="18"/>
                <w:color w:val="auto"/>
              </w:rPr>
              <w:t>59.1269</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6/28/2023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-200</w:t>
            </w:r>
          </w:p>
        </w:tc>
        <w:tc>
          <w:tcPr>
            <w:tcW w:w="1720" w:type="dxa"/>
            <w:vAlign w:val="bottom"/>
          </w:tcPr>
          <w:p>
            <w:pPr>
              <w:jc w:val="right"/>
              <w:spacing w:after="0"/>
              <w:rPr>
                <w:sz w:val="20"/>
                <w:szCs w:val="20"/>
                <w:color w:val="auto"/>
              </w:rPr>
            </w:pPr>
            <w:r>
              <w:rPr>
                <w:rFonts w:ascii="Arial" w:cs="Arial" w:eastAsia="Arial" w:hAnsi="Arial"/>
                <w:sz w:val="18"/>
                <w:szCs w:val="18"/>
                <w:color w:val="auto"/>
              </w:rPr>
              <w:t>58.5322</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6/28/2023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-600</w:t>
            </w:r>
          </w:p>
        </w:tc>
        <w:tc>
          <w:tcPr>
            <w:tcW w:w="1720" w:type="dxa"/>
            <w:vAlign w:val="bottom"/>
          </w:tcPr>
          <w:p>
            <w:pPr>
              <w:jc w:val="right"/>
              <w:spacing w:after="0"/>
              <w:rPr>
                <w:sz w:val="20"/>
                <w:szCs w:val="20"/>
                <w:color w:val="auto"/>
              </w:rPr>
            </w:pPr>
            <w:r>
              <w:rPr>
                <w:rFonts w:ascii="Arial" w:cs="Arial" w:eastAsia="Arial" w:hAnsi="Arial"/>
                <w:sz w:val="18"/>
                <w:szCs w:val="18"/>
                <w:color w:val="auto"/>
              </w:rPr>
              <w:t>58.7657</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6/27/2023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-3,800</w:t>
            </w:r>
          </w:p>
        </w:tc>
        <w:tc>
          <w:tcPr>
            <w:tcW w:w="1720" w:type="dxa"/>
            <w:vAlign w:val="bottom"/>
          </w:tcPr>
          <w:p>
            <w:pPr>
              <w:jc w:val="right"/>
              <w:spacing w:after="0"/>
              <w:rPr>
                <w:sz w:val="20"/>
                <w:szCs w:val="20"/>
                <w:color w:val="auto"/>
              </w:rPr>
            </w:pPr>
            <w:r>
              <w:rPr>
                <w:rFonts w:ascii="Arial" w:cs="Arial" w:eastAsia="Arial" w:hAnsi="Arial"/>
                <w:sz w:val="18"/>
                <w:szCs w:val="18"/>
                <w:color w:val="auto"/>
              </w:rPr>
              <w:t>57.9450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6/27/2023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-200</w:t>
            </w:r>
          </w:p>
        </w:tc>
        <w:tc>
          <w:tcPr>
            <w:tcW w:w="1720" w:type="dxa"/>
            <w:vAlign w:val="bottom"/>
          </w:tcPr>
          <w:p>
            <w:pPr>
              <w:jc w:val="right"/>
              <w:spacing w:after="0"/>
              <w:rPr>
                <w:sz w:val="20"/>
                <w:szCs w:val="20"/>
                <w:color w:val="auto"/>
              </w:rPr>
            </w:pPr>
            <w:r>
              <w:rPr>
                <w:rFonts w:ascii="Arial" w:cs="Arial" w:eastAsia="Arial" w:hAnsi="Arial"/>
                <w:sz w:val="18"/>
                <w:szCs w:val="18"/>
                <w:color w:val="auto"/>
              </w:rPr>
              <w:t>58.1750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6/26/2023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-200</w:t>
            </w:r>
          </w:p>
        </w:tc>
        <w:tc>
          <w:tcPr>
            <w:tcW w:w="1720" w:type="dxa"/>
            <w:vAlign w:val="bottom"/>
          </w:tcPr>
          <w:p>
            <w:pPr>
              <w:jc w:val="right"/>
              <w:spacing w:after="0"/>
              <w:rPr>
                <w:sz w:val="20"/>
                <w:szCs w:val="20"/>
                <w:color w:val="auto"/>
              </w:rPr>
            </w:pPr>
            <w:r>
              <w:rPr>
                <w:rFonts w:ascii="Arial" w:cs="Arial" w:eastAsia="Arial" w:hAnsi="Arial"/>
                <w:sz w:val="18"/>
                <w:szCs w:val="18"/>
                <w:color w:val="auto"/>
              </w:rPr>
              <w:t>56.3500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6/26/2023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-50</w:t>
            </w:r>
          </w:p>
        </w:tc>
        <w:tc>
          <w:tcPr>
            <w:tcW w:w="1720" w:type="dxa"/>
            <w:vAlign w:val="bottom"/>
          </w:tcPr>
          <w:p>
            <w:pPr>
              <w:jc w:val="right"/>
              <w:spacing w:after="0"/>
              <w:rPr>
                <w:sz w:val="20"/>
                <w:szCs w:val="20"/>
                <w:color w:val="auto"/>
              </w:rPr>
            </w:pPr>
            <w:r>
              <w:rPr>
                <w:rFonts w:ascii="Arial" w:cs="Arial" w:eastAsia="Arial" w:hAnsi="Arial"/>
                <w:sz w:val="18"/>
                <w:szCs w:val="18"/>
                <w:color w:val="auto"/>
              </w:rPr>
              <w:t>56.3500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6/26/2023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-150</w:t>
            </w:r>
          </w:p>
        </w:tc>
        <w:tc>
          <w:tcPr>
            <w:tcW w:w="1720" w:type="dxa"/>
            <w:vAlign w:val="bottom"/>
          </w:tcPr>
          <w:p>
            <w:pPr>
              <w:jc w:val="right"/>
              <w:spacing w:after="0"/>
              <w:rPr>
                <w:sz w:val="20"/>
                <w:szCs w:val="20"/>
                <w:color w:val="auto"/>
              </w:rPr>
            </w:pPr>
            <w:r>
              <w:rPr>
                <w:rFonts w:ascii="Arial" w:cs="Arial" w:eastAsia="Arial" w:hAnsi="Arial"/>
                <w:sz w:val="18"/>
                <w:szCs w:val="18"/>
                <w:color w:val="auto"/>
              </w:rPr>
              <w:t>56.3700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6/22/2023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-1,500</w:t>
            </w:r>
          </w:p>
        </w:tc>
        <w:tc>
          <w:tcPr>
            <w:tcW w:w="1720" w:type="dxa"/>
            <w:vAlign w:val="bottom"/>
          </w:tcPr>
          <w:p>
            <w:pPr>
              <w:jc w:val="right"/>
              <w:spacing w:after="0"/>
              <w:rPr>
                <w:sz w:val="20"/>
                <w:szCs w:val="20"/>
                <w:color w:val="auto"/>
              </w:rPr>
            </w:pPr>
            <w:r>
              <w:rPr>
                <w:rFonts w:ascii="Arial" w:cs="Arial" w:eastAsia="Arial" w:hAnsi="Arial"/>
                <w:sz w:val="18"/>
                <w:szCs w:val="18"/>
                <w:color w:val="auto"/>
              </w:rPr>
              <w:t>56.9683</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6/21/2023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-700</w:t>
            </w:r>
          </w:p>
        </w:tc>
        <w:tc>
          <w:tcPr>
            <w:tcW w:w="1720" w:type="dxa"/>
            <w:vAlign w:val="bottom"/>
          </w:tcPr>
          <w:p>
            <w:pPr>
              <w:jc w:val="right"/>
              <w:spacing w:after="0"/>
              <w:rPr>
                <w:sz w:val="20"/>
                <w:szCs w:val="20"/>
                <w:color w:val="auto"/>
              </w:rPr>
            </w:pPr>
            <w:r>
              <w:rPr>
                <w:rFonts w:ascii="Arial" w:cs="Arial" w:eastAsia="Arial" w:hAnsi="Arial"/>
                <w:sz w:val="18"/>
                <w:szCs w:val="18"/>
                <w:color w:val="auto"/>
              </w:rPr>
              <w:t>56.9962</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6/21/2023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-400</w:t>
            </w:r>
          </w:p>
        </w:tc>
        <w:tc>
          <w:tcPr>
            <w:tcW w:w="1720" w:type="dxa"/>
            <w:vAlign w:val="bottom"/>
          </w:tcPr>
          <w:p>
            <w:pPr>
              <w:jc w:val="right"/>
              <w:spacing w:after="0"/>
              <w:rPr>
                <w:sz w:val="20"/>
                <w:szCs w:val="20"/>
                <w:color w:val="auto"/>
              </w:rPr>
            </w:pPr>
            <w:r>
              <w:rPr>
                <w:rFonts w:ascii="Arial" w:cs="Arial" w:eastAsia="Arial" w:hAnsi="Arial"/>
                <w:sz w:val="18"/>
                <w:szCs w:val="18"/>
                <w:color w:val="auto"/>
              </w:rPr>
              <w:t>57.4150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6/20/2023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-100</w:t>
            </w:r>
          </w:p>
        </w:tc>
        <w:tc>
          <w:tcPr>
            <w:tcW w:w="1720" w:type="dxa"/>
            <w:vAlign w:val="bottom"/>
          </w:tcPr>
          <w:p>
            <w:pPr>
              <w:jc w:val="right"/>
              <w:spacing w:after="0"/>
              <w:rPr>
                <w:sz w:val="20"/>
                <w:szCs w:val="20"/>
                <w:color w:val="auto"/>
              </w:rPr>
            </w:pPr>
            <w:r>
              <w:rPr>
                <w:rFonts w:ascii="Arial" w:cs="Arial" w:eastAsia="Arial" w:hAnsi="Arial"/>
                <w:sz w:val="18"/>
                <w:szCs w:val="18"/>
                <w:color w:val="auto"/>
              </w:rPr>
              <w:t>55.0165</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6/20/2023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-100</w:t>
            </w:r>
          </w:p>
        </w:tc>
        <w:tc>
          <w:tcPr>
            <w:tcW w:w="1720" w:type="dxa"/>
            <w:vAlign w:val="bottom"/>
          </w:tcPr>
          <w:p>
            <w:pPr>
              <w:jc w:val="right"/>
              <w:spacing w:after="0"/>
              <w:rPr>
                <w:sz w:val="20"/>
                <w:szCs w:val="20"/>
                <w:color w:val="auto"/>
              </w:rPr>
            </w:pPr>
            <w:r>
              <w:rPr>
                <w:rFonts w:ascii="Arial" w:cs="Arial" w:eastAsia="Arial" w:hAnsi="Arial"/>
                <w:sz w:val="18"/>
                <w:szCs w:val="18"/>
                <w:color w:val="auto"/>
              </w:rPr>
              <w:t>55.0165</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6/20/2023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-200</w:t>
            </w:r>
          </w:p>
        </w:tc>
        <w:tc>
          <w:tcPr>
            <w:tcW w:w="1720" w:type="dxa"/>
            <w:vAlign w:val="bottom"/>
          </w:tcPr>
          <w:p>
            <w:pPr>
              <w:jc w:val="right"/>
              <w:spacing w:after="0"/>
              <w:rPr>
                <w:sz w:val="20"/>
                <w:szCs w:val="20"/>
                <w:color w:val="auto"/>
              </w:rPr>
            </w:pPr>
            <w:r>
              <w:rPr>
                <w:rFonts w:ascii="Arial" w:cs="Arial" w:eastAsia="Arial" w:hAnsi="Arial"/>
                <w:sz w:val="18"/>
                <w:szCs w:val="18"/>
                <w:color w:val="auto"/>
              </w:rPr>
              <w:t>55.5694</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6/20/2023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-1,200</w:t>
            </w:r>
          </w:p>
        </w:tc>
        <w:tc>
          <w:tcPr>
            <w:tcW w:w="1720" w:type="dxa"/>
            <w:vAlign w:val="bottom"/>
          </w:tcPr>
          <w:p>
            <w:pPr>
              <w:jc w:val="right"/>
              <w:spacing w:after="0"/>
              <w:rPr>
                <w:sz w:val="20"/>
                <w:szCs w:val="20"/>
                <w:color w:val="auto"/>
              </w:rPr>
            </w:pPr>
            <w:r>
              <w:rPr>
                <w:rFonts w:ascii="Arial" w:cs="Arial" w:eastAsia="Arial" w:hAnsi="Arial"/>
                <w:sz w:val="18"/>
                <w:szCs w:val="18"/>
                <w:color w:val="auto"/>
              </w:rPr>
              <w:t>55.5694</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6/20/2023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-1,500</w:t>
            </w:r>
          </w:p>
        </w:tc>
        <w:tc>
          <w:tcPr>
            <w:tcW w:w="1720" w:type="dxa"/>
            <w:vAlign w:val="bottom"/>
          </w:tcPr>
          <w:p>
            <w:pPr>
              <w:jc w:val="right"/>
              <w:spacing w:after="0"/>
              <w:rPr>
                <w:sz w:val="20"/>
                <w:szCs w:val="20"/>
                <w:color w:val="auto"/>
              </w:rPr>
            </w:pPr>
            <w:r>
              <w:rPr>
                <w:rFonts w:ascii="Arial" w:cs="Arial" w:eastAsia="Arial" w:hAnsi="Arial"/>
                <w:sz w:val="18"/>
                <w:szCs w:val="18"/>
                <w:color w:val="auto"/>
              </w:rPr>
              <w:t>56.5487</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6/16/2023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-1,100</w:t>
            </w:r>
          </w:p>
        </w:tc>
        <w:tc>
          <w:tcPr>
            <w:tcW w:w="1720" w:type="dxa"/>
            <w:vAlign w:val="bottom"/>
          </w:tcPr>
          <w:p>
            <w:pPr>
              <w:jc w:val="right"/>
              <w:spacing w:after="0"/>
              <w:rPr>
                <w:sz w:val="20"/>
                <w:szCs w:val="20"/>
                <w:color w:val="auto"/>
              </w:rPr>
            </w:pPr>
            <w:r>
              <w:rPr>
                <w:rFonts w:ascii="Arial" w:cs="Arial" w:eastAsia="Arial" w:hAnsi="Arial"/>
                <w:sz w:val="18"/>
                <w:szCs w:val="18"/>
                <w:color w:val="auto"/>
              </w:rPr>
              <w:t>53.6915</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6/15/2023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-200</w:t>
            </w:r>
          </w:p>
        </w:tc>
        <w:tc>
          <w:tcPr>
            <w:tcW w:w="1720" w:type="dxa"/>
            <w:vAlign w:val="bottom"/>
          </w:tcPr>
          <w:p>
            <w:pPr>
              <w:jc w:val="right"/>
              <w:spacing w:after="0"/>
              <w:rPr>
                <w:sz w:val="20"/>
                <w:szCs w:val="20"/>
                <w:color w:val="auto"/>
              </w:rPr>
            </w:pPr>
            <w:r>
              <w:rPr>
                <w:rFonts w:ascii="Arial" w:cs="Arial" w:eastAsia="Arial" w:hAnsi="Arial"/>
                <w:sz w:val="18"/>
                <w:szCs w:val="18"/>
                <w:color w:val="auto"/>
              </w:rPr>
              <w:t>50.3650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6/14/2023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-600</w:t>
            </w:r>
          </w:p>
        </w:tc>
        <w:tc>
          <w:tcPr>
            <w:tcW w:w="1720" w:type="dxa"/>
            <w:vAlign w:val="bottom"/>
          </w:tcPr>
          <w:p>
            <w:pPr>
              <w:jc w:val="right"/>
              <w:spacing w:after="0"/>
              <w:rPr>
                <w:sz w:val="20"/>
                <w:szCs w:val="20"/>
                <w:color w:val="auto"/>
              </w:rPr>
            </w:pPr>
            <w:r>
              <w:rPr>
                <w:rFonts w:ascii="Arial" w:cs="Arial" w:eastAsia="Arial" w:hAnsi="Arial"/>
                <w:sz w:val="18"/>
                <w:szCs w:val="18"/>
                <w:color w:val="auto"/>
              </w:rPr>
              <w:t>50.0250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6/13/2023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-2,000</w:t>
            </w:r>
          </w:p>
        </w:tc>
        <w:tc>
          <w:tcPr>
            <w:tcW w:w="1720" w:type="dxa"/>
            <w:vAlign w:val="bottom"/>
          </w:tcPr>
          <w:p>
            <w:pPr>
              <w:jc w:val="right"/>
              <w:spacing w:after="0"/>
              <w:rPr>
                <w:sz w:val="20"/>
                <w:szCs w:val="20"/>
                <w:color w:val="auto"/>
              </w:rPr>
            </w:pPr>
            <w:r>
              <w:rPr>
                <w:rFonts w:ascii="Arial" w:cs="Arial" w:eastAsia="Arial" w:hAnsi="Arial"/>
                <w:sz w:val="18"/>
                <w:szCs w:val="18"/>
                <w:color w:val="auto"/>
              </w:rPr>
              <w:t>50.1071</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6/12/2023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-2,300</w:t>
            </w:r>
          </w:p>
        </w:tc>
        <w:tc>
          <w:tcPr>
            <w:tcW w:w="1720" w:type="dxa"/>
            <w:vAlign w:val="bottom"/>
          </w:tcPr>
          <w:p>
            <w:pPr>
              <w:jc w:val="right"/>
              <w:spacing w:after="0"/>
              <w:rPr>
                <w:sz w:val="20"/>
                <w:szCs w:val="20"/>
                <w:color w:val="auto"/>
              </w:rPr>
            </w:pPr>
            <w:r>
              <w:rPr>
                <w:rFonts w:ascii="Arial" w:cs="Arial" w:eastAsia="Arial" w:hAnsi="Arial"/>
                <w:sz w:val="18"/>
                <w:szCs w:val="18"/>
                <w:color w:val="auto"/>
              </w:rPr>
              <w:t>50.5599</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6/12/2023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-600</w:t>
            </w:r>
          </w:p>
        </w:tc>
        <w:tc>
          <w:tcPr>
            <w:tcW w:w="1720" w:type="dxa"/>
            <w:vAlign w:val="bottom"/>
          </w:tcPr>
          <w:p>
            <w:pPr>
              <w:jc w:val="right"/>
              <w:spacing w:after="0"/>
              <w:rPr>
                <w:sz w:val="20"/>
                <w:szCs w:val="20"/>
                <w:color w:val="auto"/>
              </w:rPr>
            </w:pPr>
            <w:r>
              <w:rPr>
                <w:rFonts w:ascii="Arial" w:cs="Arial" w:eastAsia="Arial" w:hAnsi="Arial"/>
                <w:sz w:val="18"/>
                <w:szCs w:val="18"/>
                <w:color w:val="auto"/>
              </w:rPr>
              <w:t>51.4583</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6/9/2023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-500</w:t>
            </w:r>
          </w:p>
        </w:tc>
        <w:tc>
          <w:tcPr>
            <w:tcW w:w="1720" w:type="dxa"/>
            <w:vAlign w:val="bottom"/>
          </w:tcPr>
          <w:p>
            <w:pPr>
              <w:jc w:val="right"/>
              <w:spacing w:after="0"/>
              <w:rPr>
                <w:sz w:val="20"/>
                <w:szCs w:val="20"/>
                <w:color w:val="auto"/>
              </w:rPr>
            </w:pPr>
            <w:r>
              <w:rPr>
                <w:rFonts w:ascii="Arial" w:cs="Arial" w:eastAsia="Arial" w:hAnsi="Arial"/>
                <w:sz w:val="18"/>
                <w:szCs w:val="18"/>
                <w:color w:val="auto"/>
              </w:rPr>
              <w:t>44.4112</w:t>
            </w:r>
          </w:p>
        </w:tc>
      </w:tr>
      <w:tr>
        <w:trPr>
          <w:trHeight w:val="230"/>
        </w:trPr>
        <w:tc>
          <w:tcPr>
            <w:tcW w:w="4560" w:type="dxa"/>
            <w:vAlign w:val="bottom"/>
          </w:tcPr>
          <w:p>
            <w:pPr>
              <w:ind w:left="2820"/>
              <w:spacing w:after="0"/>
              <w:rPr>
                <w:sz w:val="20"/>
                <w:szCs w:val="20"/>
                <w:color w:val="auto"/>
              </w:rPr>
            </w:pPr>
            <w:r>
              <w:rPr>
                <w:rFonts w:ascii="Arial" w:cs="Arial" w:eastAsia="Arial" w:hAnsi="Arial"/>
                <w:sz w:val="18"/>
                <w:szCs w:val="18"/>
                <w:color w:val="auto"/>
              </w:rPr>
              <w:t>6/9/2023</w:t>
            </w:r>
          </w:p>
        </w:tc>
        <w:tc>
          <w:tcPr>
            <w:tcW w:w="2600" w:type="dxa"/>
            <w:vAlign w:val="bottom"/>
          </w:tcPr>
          <w:p>
            <w:pPr>
              <w:spacing w:after="0"/>
              <w:rPr>
                <w:sz w:val="20"/>
                <w:szCs w:val="20"/>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-800</w:t>
            </w:r>
          </w:p>
        </w:tc>
        <w:tc>
          <w:tcPr>
            <w:tcW w:w="1720" w:type="dxa"/>
            <w:vAlign w:val="bottom"/>
          </w:tcPr>
          <w:p>
            <w:pPr>
              <w:jc w:val="right"/>
              <w:spacing w:after="0"/>
              <w:rPr>
                <w:sz w:val="20"/>
                <w:szCs w:val="20"/>
                <w:color w:val="auto"/>
              </w:rPr>
            </w:pPr>
            <w:r>
              <w:rPr>
                <w:rFonts w:ascii="Arial" w:cs="Arial" w:eastAsia="Arial" w:hAnsi="Arial"/>
                <w:sz w:val="18"/>
                <w:szCs w:val="18"/>
                <w:color w:val="auto"/>
              </w:rPr>
              <w:t>45.2660</w:t>
            </w:r>
          </w:p>
        </w:tc>
      </w:tr>
      <w:tr>
        <w:trPr>
          <w:trHeight w:val="418"/>
        </w:trPr>
        <w:tc>
          <w:tcPr>
            <w:tcW w:w="4560" w:type="dxa"/>
            <w:vAlign w:val="bottom"/>
          </w:tcPr>
          <w:p>
            <w:pPr>
              <w:spacing w:after="0"/>
              <w:rPr>
                <w:sz w:val="20"/>
                <w:szCs w:val="20"/>
                <w:color w:val="auto"/>
              </w:rPr>
            </w:pPr>
            <w:r>
              <w:rPr>
                <w:rFonts w:ascii="Arial" w:cs="Arial" w:eastAsia="Arial" w:hAnsi="Arial"/>
                <w:sz w:val="18"/>
                <w:szCs w:val="18"/>
                <w:color w:val="auto"/>
              </w:rPr>
              <w:t>TETON ADVISORS, LLC</w:t>
            </w:r>
          </w:p>
        </w:tc>
        <w:tc>
          <w:tcPr>
            <w:tcW w:w="2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4560" w:type="dxa"/>
            <w:vAlign w:val="bottom"/>
          </w:tcPr>
          <w:p>
            <w:pPr>
              <w:ind w:left="760"/>
              <w:spacing w:after="0"/>
              <w:rPr>
                <w:sz w:val="20"/>
                <w:szCs w:val="20"/>
                <w:color w:val="auto"/>
              </w:rPr>
            </w:pPr>
            <w:r>
              <w:rPr>
                <w:rFonts w:ascii="Arial" w:cs="Arial" w:eastAsia="Arial" w:hAnsi="Arial"/>
                <w:sz w:val="18"/>
                <w:szCs w:val="18"/>
                <w:color w:val="auto"/>
              </w:rPr>
              <w:t>TETON WESTWOOD MIGHTY MITES FUND</w:t>
            </w:r>
          </w:p>
        </w:tc>
        <w:tc>
          <w:tcPr>
            <w:tcW w:w="2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7/11/2023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-300</w:t>
            </w:r>
          </w:p>
        </w:tc>
        <w:tc>
          <w:tcPr>
            <w:tcW w:w="1720" w:type="dxa"/>
            <w:vAlign w:val="bottom"/>
          </w:tcPr>
          <w:p>
            <w:pPr>
              <w:jc w:val="right"/>
              <w:spacing w:after="0"/>
              <w:rPr>
                <w:sz w:val="20"/>
                <w:szCs w:val="20"/>
                <w:color w:val="auto"/>
              </w:rPr>
            </w:pPr>
            <w:r>
              <w:rPr>
                <w:rFonts w:ascii="Arial" w:cs="Arial" w:eastAsia="Arial" w:hAnsi="Arial"/>
                <w:sz w:val="18"/>
                <w:szCs w:val="18"/>
                <w:color w:val="auto"/>
              </w:rPr>
              <w:t>62.2346</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6/21/2023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-300</w:t>
            </w:r>
          </w:p>
        </w:tc>
        <w:tc>
          <w:tcPr>
            <w:tcW w:w="1720" w:type="dxa"/>
            <w:vAlign w:val="bottom"/>
          </w:tcPr>
          <w:p>
            <w:pPr>
              <w:jc w:val="right"/>
              <w:spacing w:after="0"/>
              <w:rPr>
                <w:sz w:val="20"/>
                <w:szCs w:val="20"/>
                <w:color w:val="auto"/>
              </w:rPr>
            </w:pPr>
            <w:r>
              <w:rPr>
                <w:rFonts w:ascii="Arial" w:cs="Arial" w:eastAsia="Arial" w:hAnsi="Arial"/>
                <w:sz w:val="18"/>
                <w:szCs w:val="18"/>
                <w:color w:val="auto"/>
              </w:rPr>
              <w:t>57.3300</w:t>
            </w:r>
          </w:p>
        </w:tc>
      </w:tr>
      <w:tr>
        <w:trPr>
          <w:trHeight w:val="216"/>
        </w:trPr>
        <w:tc>
          <w:tcPr>
            <w:tcW w:w="4560" w:type="dxa"/>
            <w:vAlign w:val="bottom"/>
          </w:tcPr>
          <w:p>
            <w:pPr>
              <w:ind w:left="2820"/>
              <w:spacing w:after="0"/>
              <w:rPr>
                <w:sz w:val="20"/>
                <w:szCs w:val="20"/>
                <w:color w:val="auto"/>
              </w:rPr>
            </w:pPr>
            <w:r>
              <w:rPr>
                <w:rFonts w:ascii="Arial" w:cs="Arial" w:eastAsia="Arial" w:hAnsi="Arial"/>
                <w:sz w:val="18"/>
                <w:szCs w:val="18"/>
                <w:color w:val="auto"/>
              </w:rPr>
              <w:t>6/9/2023</w:t>
            </w:r>
          </w:p>
        </w:tc>
        <w:tc>
          <w:tcPr>
            <w:tcW w:w="2600" w:type="dxa"/>
            <w:vAlign w:val="bottom"/>
          </w:tcPr>
          <w:p>
            <w:pPr>
              <w:spacing w:after="0"/>
              <w:rPr>
                <w:sz w:val="18"/>
                <w:szCs w:val="18"/>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-2,000</w:t>
            </w:r>
          </w:p>
        </w:tc>
        <w:tc>
          <w:tcPr>
            <w:tcW w:w="1720" w:type="dxa"/>
            <w:vAlign w:val="bottom"/>
          </w:tcPr>
          <w:p>
            <w:pPr>
              <w:jc w:val="right"/>
              <w:spacing w:after="0"/>
              <w:rPr>
                <w:sz w:val="20"/>
                <w:szCs w:val="20"/>
                <w:color w:val="auto"/>
              </w:rPr>
            </w:pPr>
            <w:r>
              <w:rPr>
                <w:rFonts w:ascii="Arial" w:cs="Arial" w:eastAsia="Arial" w:hAnsi="Arial"/>
                <w:sz w:val="18"/>
                <w:szCs w:val="18"/>
                <w:color w:val="auto"/>
              </w:rPr>
              <w:t>44.5101</w:t>
            </w:r>
          </w:p>
        </w:tc>
      </w:tr>
      <w:tr>
        <w:trPr>
          <w:trHeight w:val="230"/>
        </w:trPr>
        <w:tc>
          <w:tcPr>
            <w:tcW w:w="4560" w:type="dxa"/>
            <w:vAlign w:val="bottom"/>
          </w:tcPr>
          <w:p>
            <w:pPr>
              <w:ind w:left="2820"/>
              <w:spacing w:after="0"/>
              <w:rPr>
                <w:sz w:val="20"/>
                <w:szCs w:val="20"/>
                <w:color w:val="auto"/>
              </w:rPr>
            </w:pPr>
            <w:r>
              <w:rPr>
                <w:rFonts w:ascii="Arial" w:cs="Arial" w:eastAsia="Arial" w:hAnsi="Arial"/>
                <w:sz w:val="18"/>
                <w:szCs w:val="18"/>
                <w:color w:val="auto"/>
              </w:rPr>
              <w:t>6/5/2023</w:t>
            </w:r>
          </w:p>
        </w:tc>
        <w:tc>
          <w:tcPr>
            <w:tcW w:w="2600" w:type="dxa"/>
            <w:vAlign w:val="bottom"/>
          </w:tcPr>
          <w:p>
            <w:pPr>
              <w:spacing w:after="0"/>
              <w:rPr>
                <w:sz w:val="20"/>
                <w:szCs w:val="20"/>
                <w:color w:val="auto"/>
              </w:rPr>
            </w:pPr>
          </w:p>
        </w:tc>
        <w:tc>
          <w:tcPr>
            <w:tcW w:w="2360" w:type="dxa"/>
            <w:vAlign w:val="bottom"/>
          </w:tcPr>
          <w:p>
            <w:pPr>
              <w:jc w:val="right"/>
              <w:ind w:right="1129"/>
              <w:spacing w:after="0"/>
              <w:rPr>
                <w:sz w:val="20"/>
                <w:szCs w:val="20"/>
                <w:color w:val="auto"/>
              </w:rPr>
            </w:pPr>
            <w:r>
              <w:rPr>
                <w:rFonts w:ascii="Arial" w:cs="Arial" w:eastAsia="Arial" w:hAnsi="Arial"/>
                <w:sz w:val="18"/>
                <w:szCs w:val="18"/>
                <w:color w:val="auto"/>
              </w:rPr>
              <w:t>-2,000</w:t>
            </w:r>
          </w:p>
        </w:tc>
        <w:tc>
          <w:tcPr>
            <w:tcW w:w="1720" w:type="dxa"/>
            <w:vAlign w:val="bottom"/>
          </w:tcPr>
          <w:p>
            <w:pPr>
              <w:jc w:val="right"/>
              <w:spacing w:after="0"/>
              <w:rPr>
                <w:sz w:val="20"/>
                <w:szCs w:val="20"/>
                <w:color w:val="auto"/>
              </w:rPr>
            </w:pPr>
            <w:r>
              <w:rPr>
                <w:rFonts w:ascii="Arial" w:cs="Arial" w:eastAsia="Arial" w:hAnsi="Arial"/>
                <w:sz w:val="18"/>
                <w:szCs w:val="18"/>
                <w:color w:val="auto"/>
              </w:rPr>
              <w:t>38.5870</w:t>
            </w:r>
          </w:p>
        </w:tc>
      </w:tr>
    </w:tbl>
    <w:p>
      <w:pPr>
        <w:sectPr>
          <w:pgSz w:w="11900" w:h="16838" w:orient="portrait"/>
          <w:cols w:equalWidth="0" w:num="1">
            <w:col w:w="11240"/>
          </w:cols>
          <w:pgMar w:left="320" w:top="847" w:right="339" w:bottom="231" w:gutter="0" w:footer="0" w:header="0"/>
        </w:sectPr>
      </w:pPr>
    </w:p>
    <w:bookmarkStart w:id="20" w:name="page21"/>
    <w:bookmarkEnd w:id="20"/>
    <w:p>
      <w:pPr>
        <w:ind w:left="212" w:right="2519" w:hanging="212"/>
        <w:spacing w:after="0" w:line="250" w:lineRule="auto"/>
        <w:tabs>
          <w:tab w:leader="none" w:pos="302" w:val="left"/>
        </w:tabs>
        <w:numPr>
          <w:ilvl w:val="0"/>
          <w:numId w:val="52"/>
        </w:numPr>
        <w:rPr>
          <w:rFonts w:ascii="Arial" w:cs="Arial" w:eastAsia="Arial" w:hAnsi="Arial"/>
          <w:sz w:val="22"/>
          <w:szCs w:val="22"/>
          <w:color w:val="auto"/>
        </w:rPr>
      </w:pPr>
      <w:r>
        <w:rPr>
          <w:rFonts w:ascii="Arial" w:cs="Arial" w:eastAsia="Arial" w:hAnsi="Arial"/>
          <w:sz w:val="22"/>
          <w:szCs w:val="22"/>
          <w:color w:val="auto"/>
        </w:rPr>
        <w:t>UNLESS OTHERWISE INDICATED, ALL TRANSACTIONS WERE EFFECTED ON THE NYSE.</w:t>
      </w:r>
    </w:p>
    <w:p>
      <w:pPr>
        <w:spacing w:after="0" w:line="201" w:lineRule="exact"/>
        <w:rPr>
          <w:rFonts w:ascii="Arial" w:cs="Arial" w:eastAsia="Arial" w:hAnsi="Arial"/>
          <w:sz w:val="22"/>
          <w:szCs w:val="22"/>
          <w:color w:val="auto"/>
        </w:rPr>
      </w:pPr>
    </w:p>
    <w:p>
      <w:pPr>
        <w:ind w:left="312" w:hanging="312"/>
        <w:spacing w:after="0"/>
        <w:tabs>
          <w:tab w:leader="none" w:pos="312" w:val="left"/>
        </w:tabs>
        <w:numPr>
          <w:ilvl w:val="0"/>
          <w:numId w:val="52"/>
        </w:numPr>
        <w:rPr>
          <w:rFonts w:ascii="Arial" w:cs="Arial" w:eastAsia="Arial" w:hAnsi="Arial"/>
          <w:sz w:val="22"/>
          <w:szCs w:val="22"/>
          <w:color w:val="auto"/>
        </w:rPr>
      </w:pPr>
      <w:r>
        <w:rPr>
          <w:rFonts w:ascii="Arial" w:cs="Arial" w:eastAsia="Arial" w:hAnsi="Arial"/>
          <w:sz w:val="22"/>
          <w:szCs w:val="22"/>
          <w:color w:val="auto"/>
        </w:rPr>
        <w:t>PRICE EXCLUDES COMMISSION.</w:t>
      </w:r>
    </w:p>
    <w:p>
      <w:pPr>
        <w:spacing w:after="0" w:line="236" w:lineRule="exact"/>
        <w:rPr>
          <w:sz w:val="20"/>
          <w:szCs w:val="20"/>
          <w:color w:val="auto"/>
        </w:rPr>
      </w:pPr>
    </w:p>
    <w:p>
      <w:pPr>
        <w:ind w:left="5552"/>
        <w:spacing w:after="0"/>
        <w:rPr>
          <w:sz w:val="20"/>
          <w:szCs w:val="20"/>
          <w:color w:val="auto"/>
        </w:rPr>
      </w:pPr>
      <w:r>
        <w:rPr>
          <w:rFonts w:ascii="Arial" w:cs="Arial" w:eastAsia="Arial" w:hAnsi="Arial"/>
          <w:sz w:val="14"/>
          <w:szCs w:val="14"/>
          <w:color w:val="auto"/>
        </w:rPr>
        <w:t>16</w:t>
      </w:r>
    </w:p>
    <w:sectPr>
      <w:pgSz w:w="11900" w:h="16838" w:orient="portrait"/>
      <w:cols w:equalWidth="0" w:num="1">
        <w:col w:w="10131"/>
      </w:cols>
      <w:pgMar w:left="328"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3"/>
      <w:numFmt w:val="bullet"/>
      <w:start w:val="1"/>
    </w:lvl>
  </w:abstractNum>
  <w:abstractNum w:abstractNumId="1">
    <w:nsid w:val="54E49EB4"/>
    <w:multiLevelType w:val="hybridMultilevel"/>
    <w:lvl w:ilvl="0">
      <w:lvlJc w:val="left"/>
      <w:lvlText w:val="4"/>
      <w:numFmt w:val="bullet"/>
      <w:start w:val="1"/>
    </w:lvl>
  </w:abstractNum>
  <w:abstractNum w:abstractNumId="2">
    <w:nsid w:val="71F32454"/>
    <w:multiLevelType w:val="hybridMultilevel"/>
    <w:lvl w:ilvl="0">
      <w:lvlJc w:val="left"/>
      <w:lvlText w:val="5"/>
      <w:numFmt w:val="bullet"/>
      <w:start w:val="1"/>
    </w:lvl>
  </w:abstractNum>
  <w:abstractNum w:abstractNumId="3">
    <w:nsid w:val="2CA88611"/>
    <w:multiLevelType w:val="hybridMultilevel"/>
    <w:lvl w:ilvl="0">
      <w:lvlJc w:val="left"/>
      <w:lvlText w:val="6"/>
      <w:numFmt w:val="bullet"/>
      <w:start w:val="1"/>
    </w:lvl>
  </w:abstractNum>
  <w:abstractNum w:abstractNumId="4">
    <w:nsid w:val="836C40E"/>
    <w:multiLevelType w:val="hybridMultilevel"/>
    <w:lvl w:ilvl="0">
      <w:lvlJc w:val="left"/>
      <w:lvlText w:val="%1"/>
      <w:numFmt w:val="decimal"/>
      <w:start w:val="11"/>
    </w:lvl>
  </w:abstractNum>
  <w:abstractNum w:abstractNumId="5">
    <w:nsid w:val="2901D82"/>
    <w:multiLevelType w:val="hybridMultilevel"/>
    <w:lvl w:ilvl="0">
      <w:lvlJc w:val="left"/>
      <w:lvlText w:val="%1"/>
      <w:numFmt w:val="decimal"/>
      <w:start w:val="12"/>
    </w:lvl>
  </w:abstractNum>
  <w:abstractNum w:abstractNumId="6">
    <w:nsid w:val="3A95F874"/>
    <w:multiLevelType w:val="hybridMultilevel"/>
    <w:lvl w:ilvl="0">
      <w:lvlJc w:val="left"/>
      <w:lvlText w:val="%1"/>
      <w:numFmt w:val="decimal"/>
      <w:start w:val="13"/>
    </w:lvl>
  </w:abstractNum>
  <w:abstractNum w:abstractNumId="7">
    <w:nsid w:val="8138641"/>
    <w:multiLevelType w:val="hybridMultilevel"/>
    <w:lvl w:ilvl="0">
      <w:lvlJc w:val="left"/>
      <w:lvlText w:val="%1"/>
      <w:numFmt w:val="decimal"/>
      <w:start w:val="14"/>
    </w:lvl>
  </w:abstractNum>
  <w:abstractNum w:abstractNumId="8">
    <w:nsid w:val="1E7FF521"/>
    <w:multiLevelType w:val="hybridMultilevel"/>
    <w:lvl w:ilvl="0">
      <w:lvlJc w:val="left"/>
      <w:lvlText w:val="1"/>
      <w:numFmt w:val="bullet"/>
      <w:start w:val="1"/>
    </w:lvl>
  </w:abstractNum>
  <w:abstractNum w:abstractNumId="9">
    <w:nsid w:val="7C3DBD3D"/>
    <w:multiLevelType w:val="hybridMultilevel"/>
    <w:lvl w:ilvl="0">
      <w:lvlJc w:val="left"/>
      <w:lvlText w:val="5"/>
      <w:numFmt w:val="bullet"/>
      <w:start w:val="1"/>
    </w:lvl>
  </w:abstractNum>
  <w:abstractNum w:abstractNumId="10">
    <w:nsid w:val="737B8DDC"/>
    <w:multiLevelType w:val="hybridMultilevel"/>
    <w:lvl w:ilvl="0">
      <w:lvlJc w:val="left"/>
      <w:lvlText w:val="6"/>
      <w:numFmt w:val="bullet"/>
      <w:start w:val="1"/>
    </w:lvl>
  </w:abstractNum>
  <w:abstractNum w:abstractNumId="11">
    <w:nsid w:val="6CEAF087"/>
    <w:multiLevelType w:val="hybridMultilevel"/>
    <w:lvl w:ilvl="0">
      <w:lvlJc w:val="left"/>
      <w:lvlText w:val="%1"/>
      <w:numFmt w:val="decimal"/>
      <w:start w:val="11"/>
    </w:lvl>
  </w:abstractNum>
  <w:abstractNum w:abstractNumId="12">
    <w:nsid w:val="22221A70"/>
    <w:multiLevelType w:val="hybridMultilevel"/>
    <w:lvl w:ilvl="0">
      <w:lvlJc w:val="left"/>
      <w:lvlText w:val="%1"/>
      <w:numFmt w:val="decimal"/>
      <w:start w:val="12"/>
    </w:lvl>
  </w:abstractNum>
  <w:abstractNum w:abstractNumId="13">
    <w:nsid w:val="4516DDE9"/>
    <w:multiLevelType w:val="hybridMultilevel"/>
    <w:lvl w:ilvl="0">
      <w:lvlJc w:val="left"/>
      <w:lvlText w:val="%1"/>
      <w:numFmt w:val="decimal"/>
      <w:start w:val="13"/>
    </w:lvl>
  </w:abstractNum>
  <w:abstractNum w:abstractNumId="14">
    <w:nsid w:val="3006C83E"/>
    <w:multiLevelType w:val="hybridMultilevel"/>
    <w:lvl w:ilvl="0">
      <w:lvlJc w:val="left"/>
      <w:lvlText w:val="%1"/>
      <w:numFmt w:val="decimal"/>
      <w:start w:val="14"/>
    </w:lvl>
  </w:abstractNum>
  <w:abstractNum w:abstractNumId="15">
    <w:nsid w:val="614FD4A1"/>
    <w:multiLevelType w:val="hybridMultilevel"/>
    <w:lvl w:ilvl="0">
      <w:lvlJc w:val="left"/>
      <w:lvlText w:val="3"/>
      <w:numFmt w:val="bullet"/>
      <w:start w:val="1"/>
    </w:lvl>
  </w:abstractNum>
  <w:abstractNum w:abstractNumId="16">
    <w:nsid w:val="419AC241"/>
    <w:multiLevelType w:val="hybridMultilevel"/>
    <w:lvl w:ilvl="0">
      <w:lvlJc w:val="left"/>
      <w:lvlText w:val="4"/>
      <w:numFmt w:val="bullet"/>
      <w:start w:val="1"/>
    </w:lvl>
  </w:abstractNum>
  <w:abstractNum w:abstractNumId="17">
    <w:nsid w:val="5577F8E1"/>
    <w:multiLevelType w:val="hybridMultilevel"/>
    <w:lvl w:ilvl="0">
      <w:lvlJc w:val="left"/>
      <w:lvlText w:val="5"/>
      <w:numFmt w:val="bullet"/>
      <w:start w:val="1"/>
    </w:lvl>
  </w:abstractNum>
  <w:abstractNum w:abstractNumId="18">
    <w:nsid w:val="440BADFC"/>
    <w:multiLevelType w:val="hybridMultilevel"/>
    <w:lvl w:ilvl="0">
      <w:lvlJc w:val="left"/>
      <w:lvlText w:val="6"/>
      <w:numFmt w:val="bullet"/>
      <w:start w:val="1"/>
    </w:lvl>
  </w:abstractNum>
  <w:abstractNum w:abstractNumId="19">
    <w:nsid w:val="5072367"/>
    <w:multiLevelType w:val="hybridMultilevel"/>
    <w:lvl w:ilvl="0">
      <w:lvlJc w:val="left"/>
      <w:lvlText w:val="%1"/>
      <w:numFmt w:val="decimal"/>
      <w:start w:val="11"/>
    </w:lvl>
  </w:abstractNum>
  <w:abstractNum w:abstractNumId="20">
    <w:nsid w:val="3804823E"/>
    <w:multiLevelType w:val="hybridMultilevel"/>
    <w:lvl w:ilvl="0">
      <w:lvlJc w:val="left"/>
      <w:lvlText w:val="%1"/>
      <w:numFmt w:val="decimal"/>
      <w:start w:val="12"/>
    </w:lvl>
  </w:abstractNum>
  <w:abstractNum w:abstractNumId="21">
    <w:nsid w:val="77465F01"/>
    <w:multiLevelType w:val="hybridMultilevel"/>
    <w:lvl w:ilvl="0">
      <w:lvlJc w:val="left"/>
      <w:lvlText w:val="%1"/>
      <w:numFmt w:val="decimal"/>
      <w:start w:val="13"/>
    </w:lvl>
  </w:abstractNum>
  <w:abstractNum w:abstractNumId="22">
    <w:nsid w:val="7724C67E"/>
    <w:multiLevelType w:val="hybridMultilevel"/>
    <w:lvl w:ilvl="0">
      <w:lvlJc w:val="left"/>
      <w:lvlText w:val="%1"/>
      <w:numFmt w:val="decimal"/>
      <w:start w:val="14"/>
    </w:lvl>
  </w:abstractNum>
  <w:abstractNum w:abstractNumId="23">
    <w:nsid w:val="5C482A97"/>
    <w:multiLevelType w:val="hybridMultilevel"/>
    <w:lvl w:ilvl="0">
      <w:lvlJc w:val="left"/>
      <w:lvlText w:val="3"/>
      <w:numFmt w:val="bullet"/>
      <w:start w:val="1"/>
    </w:lvl>
  </w:abstractNum>
  <w:abstractNum w:abstractNumId="24">
    <w:nsid w:val="2463B9EA"/>
    <w:multiLevelType w:val="hybridMultilevel"/>
    <w:lvl w:ilvl="0">
      <w:lvlJc w:val="left"/>
      <w:lvlText w:val="4"/>
      <w:numFmt w:val="bullet"/>
      <w:start w:val="1"/>
    </w:lvl>
  </w:abstractNum>
  <w:abstractNum w:abstractNumId="25">
    <w:nsid w:val="5E884ADC"/>
    <w:multiLevelType w:val="hybridMultilevel"/>
    <w:lvl w:ilvl="0">
      <w:lvlJc w:val="left"/>
      <w:lvlText w:val="5"/>
      <w:numFmt w:val="bullet"/>
      <w:start w:val="1"/>
    </w:lvl>
  </w:abstractNum>
  <w:abstractNum w:abstractNumId="26">
    <w:nsid w:val="51EAD36B"/>
    <w:multiLevelType w:val="hybridMultilevel"/>
    <w:lvl w:ilvl="0">
      <w:lvlJc w:val="left"/>
      <w:lvlText w:val="6"/>
      <w:numFmt w:val="bullet"/>
      <w:start w:val="1"/>
    </w:lvl>
  </w:abstractNum>
  <w:abstractNum w:abstractNumId="27">
    <w:nsid w:val="2D517796"/>
    <w:multiLevelType w:val="hybridMultilevel"/>
    <w:lvl w:ilvl="0">
      <w:lvlJc w:val="left"/>
      <w:lvlText w:val="%1"/>
      <w:numFmt w:val="decimal"/>
      <w:start w:val="11"/>
    </w:lvl>
  </w:abstractNum>
  <w:abstractNum w:abstractNumId="28">
    <w:nsid w:val="580BD78F"/>
    <w:multiLevelType w:val="hybridMultilevel"/>
    <w:lvl w:ilvl="0">
      <w:lvlJc w:val="left"/>
      <w:lvlText w:val="%1"/>
      <w:numFmt w:val="decimal"/>
      <w:start w:val="14"/>
    </w:lvl>
  </w:abstractNum>
  <w:abstractNum w:abstractNumId="29">
    <w:nsid w:val="153EA438"/>
    <w:multiLevelType w:val="hybridMultilevel"/>
    <w:lvl w:ilvl="0">
      <w:lvlJc w:val="left"/>
      <w:lvlText w:val="1"/>
      <w:numFmt w:val="bullet"/>
      <w:start w:val="1"/>
    </w:lvl>
  </w:abstractNum>
  <w:abstractNum w:abstractNumId="30">
    <w:nsid w:val="3855585C"/>
    <w:multiLevelType w:val="hybridMultilevel"/>
    <w:lvl w:ilvl="0">
      <w:lvlJc w:val="left"/>
      <w:lvlText w:val="5"/>
      <w:numFmt w:val="bullet"/>
      <w:start w:val="1"/>
    </w:lvl>
  </w:abstractNum>
  <w:abstractNum w:abstractNumId="31">
    <w:nsid w:val="70A64E2A"/>
    <w:multiLevelType w:val="hybridMultilevel"/>
    <w:lvl w:ilvl="0">
      <w:lvlJc w:val="left"/>
      <w:lvlText w:val="6"/>
      <w:numFmt w:val="bullet"/>
      <w:start w:val="1"/>
    </w:lvl>
  </w:abstractNum>
  <w:abstractNum w:abstractNumId="32">
    <w:nsid w:val="6A2342EC"/>
    <w:multiLevelType w:val="hybridMultilevel"/>
    <w:lvl w:ilvl="0">
      <w:lvlJc w:val="left"/>
      <w:lvlText w:val="%1"/>
      <w:numFmt w:val="decimal"/>
      <w:start w:val="11"/>
    </w:lvl>
  </w:abstractNum>
  <w:abstractNum w:abstractNumId="33">
    <w:nsid w:val="2A487CB0"/>
    <w:multiLevelType w:val="hybridMultilevel"/>
    <w:lvl w:ilvl="0">
      <w:lvlJc w:val="left"/>
      <w:lvlText w:val="%1"/>
      <w:numFmt w:val="decimal"/>
      <w:start w:val="12"/>
    </w:lvl>
  </w:abstractNum>
  <w:abstractNum w:abstractNumId="34">
    <w:nsid w:val="1D4ED43B"/>
    <w:multiLevelType w:val="hybridMultilevel"/>
    <w:lvl w:ilvl="0">
      <w:lvlJc w:val="left"/>
      <w:lvlText w:val="%1"/>
      <w:numFmt w:val="decimal"/>
      <w:start w:val="14"/>
    </w:lvl>
  </w:abstractNum>
  <w:abstractNum w:abstractNumId="35">
    <w:nsid w:val="725A06FB"/>
    <w:multiLevelType w:val="hybridMultilevel"/>
    <w:lvl w:ilvl="0">
      <w:lvlJc w:val="left"/>
      <w:lvlText w:val="1"/>
      <w:numFmt w:val="bullet"/>
      <w:start w:val="1"/>
    </w:lvl>
  </w:abstractNum>
  <w:abstractNum w:abstractNumId="36">
    <w:nsid w:val="2CD89A32"/>
    <w:multiLevelType w:val="hybridMultilevel"/>
    <w:lvl w:ilvl="0">
      <w:lvlJc w:val="left"/>
      <w:lvlText w:val="5"/>
      <w:numFmt w:val="bullet"/>
      <w:start w:val="1"/>
    </w:lvl>
  </w:abstractNum>
  <w:abstractNum w:abstractNumId="37">
    <w:nsid w:val="57E4CCAF"/>
    <w:multiLevelType w:val="hybridMultilevel"/>
    <w:lvl w:ilvl="0">
      <w:lvlJc w:val="left"/>
      <w:lvlText w:val="6"/>
      <w:numFmt w:val="bullet"/>
      <w:start w:val="1"/>
    </w:lvl>
  </w:abstractNum>
  <w:abstractNum w:abstractNumId="38">
    <w:nsid w:val="7A6D8D3C"/>
    <w:multiLevelType w:val="hybridMultilevel"/>
    <w:lvl w:ilvl="0">
      <w:lvlJc w:val="left"/>
      <w:lvlText w:val="%1"/>
      <w:numFmt w:val="decimal"/>
      <w:start w:val="11"/>
    </w:lvl>
  </w:abstractNum>
  <w:abstractNum w:abstractNumId="39">
    <w:nsid w:val="4B588F54"/>
    <w:multiLevelType w:val="hybridMultilevel"/>
    <w:lvl w:ilvl="0">
      <w:lvlJc w:val="left"/>
      <w:lvlText w:val="%1"/>
      <w:numFmt w:val="decimal"/>
      <w:start w:val="12"/>
    </w:lvl>
  </w:abstractNum>
  <w:abstractNum w:abstractNumId="40">
    <w:nsid w:val="542289EC"/>
    <w:multiLevelType w:val="hybridMultilevel"/>
    <w:lvl w:ilvl="0">
      <w:lvlJc w:val="left"/>
      <w:lvlText w:val="1"/>
      <w:numFmt w:val="bullet"/>
      <w:start w:val="1"/>
    </w:lvl>
  </w:abstractNum>
  <w:abstractNum w:abstractNumId="41">
    <w:nsid w:val="6DE91B18"/>
    <w:multiLevelType w:val="hybridMultilevel"/>
    <w:lvl w:ilvl="0">
      <w:lvlJc w:val="left"/>
      <w:lvlText w:val="3"/>
      <w:numFmt w:val="bullet"/>
      <w:start w:val="1"/>
    </w:lvl>
  </w:abstractNum>
  <w:abstractNum w:abstractNumId="42">
    <w:nsid w:val="38437FDB"/>
    <w:multiLevelType w:val="hybridMultilevel"/>
    <w:lvl w:ilvl="0">
      <w:lvlJc w:val="left"/>
      <w:lvlText w:val="4"/>
      <w:numFmt w:val="bullet"/>
      <w:start w:val="1"/>
    </w:lvl>
  </w:abstractNum>
  <w:abstractNum w:abstractNumId="43">
    <w:nsid w:val="7644A45C"/>
    <w:multiLevelType w:val="hybridMultilevel"/>
    <w:lvl w:ilvl="0">
      <w:lvlJc w:val="left"/>
      <w:lvlText w:val="5"/>
      <w:numFmt w:val="bullet"/>
      <w:start w:val="1"/>
    </w:lvl>
  </w:abstractNum>
  <w:abstractNum w:abstractNumId="44">
    <w:nsid w:val="32FFF902"/>
    <w:multiLevelType w:val="hybridMultilevel"/>
    <w:lvl w:ilvl="0">
      <w:lvlJc w:val="left"/>
      <w:lvlText w:val="6"/>
      <w:numFmt w:val="bullet"/>
      <w:start w:val="1"/>
    </w:lvl>
  </w:abstractNum>
  <w:abstractNum w:abstractNumId="45">
    <w:nsid w:val="684A481A"/>
    <w:multiLevelType w:val="hybridMultilevel"/>
    <w:lvl w:ilvl="0">
      <w:lvlJc w:val="left"/>
      <w:lvlText w:val="%1"/>
      <w:numFmt w:val="decimal"/>
      <w:start w:val="11"/>
    </w:lvl>
  </w:abstractNum>
  <w:abstractNum w:abstractNumId="46">
    <w:nsid w:val="579478FE"/>
    <w:multiLevelType w:val="hybridMultilevel"/>
    <w:lvl w:ilvl="0">
      <w:lvlJc w:val="left"/>
      <w:lvlText w:val="%1"/>
      <w:numFmt w:val="decimal"/>
      <w:start w:val="14"/>
    </w:lvl>
  </w:abstractNum>
  <w:abstractNum w:abstractNumId="47">
    <w:nsid w:val="749ABB43"/>
    <w:multiLevelType w:val="hybridMultilevel"/>
    <w:lvl w:ilvl="0">
      <w:lvlJc w:val="left"/>
      <w:lvlText w:val="(%1)"/>
      <w:numFmt w:val="lowerLetter"/>
      <w:start w:val="4"/>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2"/>
    </w:lvl>
  </w:abstractNum>
  <w:abstractNum w:abstractNumId="50">
    <w:nsid w:val="79A1DEAA"/>
    <w:multiLevelType w:val="hybridMultilevel"/>
    <w:lvl w:ilvl="0">
      <w:lvlJc w:val="left"/>
      <w:lvlText w:val="(%1)"/>
      <w:numFmt w:val="lowerLetter"/>
      <w:start w:val="3"/>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2023-07-31T15:11:19Z</dcterms:created>
  <dcterms:modified xsi:type="dcterms:W3CDTF">2023-07-31T15:11:19Z</dcterms:modified>
</cp:coreProperties>
</file>