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13D</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 (Amendment No. 30)</w:t>
      </w: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Oil-Dri Corporation of America</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(Name of Issuer)</w:t>
      </w: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Common Stock Par Value $0.10 Per Share</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0" w:lineRule="exact"/>
        <w:rPr>
          <w:sz w:val="24"/>
          <w:szCs w:val="24"/>
          <w:color w:val="auto"/>
        </w:rPr>
      </w:pPr>
    </w:p>
    <w:p>
      <w:pPr>
        <w:spacing w:after="0" w:line="252"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color w:val="auto"/>
        </w:rPr>
        <w:t>_________</w:t>
      </w:r>
      <w:r>
        <w:rPr>
          <w:rFonts w:ascii="Times New Roman" w:cs="Times New Roman" w:eastAsia="Times New Roman" w:hAnsi="Times New Roman"/>
          <w:sz w:val="22"/>
          <w:szCs w:val="22"/>
          <w:u w:val="single" w:color="auto"/>
          <w:color w:val="auto"/>
        </w:rPr>
        <w:t>677864100</w:t>
      </w:r>
      <w:r>
        <w:rPr>
          <w:rFonts w:ascii="Times New Roman" w:cs="Times New Roman" w:eastAsia="Times New Roman" w:hAnsi="Times New Roman"/>
          <w:sz w:val="22"/>
          <w:szCs w:val="22"/>
          <w:color w:val="auto"/>
        </w:rPr>
        <w:t>_________</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(CUSIP Number)</w:t>
      </w: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David Goldman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GAMCO Investors, Inc.</w:t>
      </w:r>
    </w:p>
    <w:p>
      <w:pPr>
        <w:jc w:val="center"/>
        <w:ind w:right="-19"/>
        <w:spacing w:after="0" w:line="230" w:lineRule="auto"/>
        <w:rPr>
          <w:sz w:val="20"/>
          <w:szCs w:val="20"/>
          <w:color w:val="auto"/>
        </w:rPr>
      </w:pPr>
      <w:r>
        <w:rPr>
          <w:rFonts w:ascii="Times New Roman" w:cs="Times New Roman" w:eastAsia="Times New Roman" w:hAnsi="Times New Roman"/>
          <w:sz w:val="22"/>
          <w:szCs w:val="22"/>
          <w:color w:val="auto"/>
        </w:rPr>
        <w:t>One Corporate Center</w:t>
      </w:r>
    </w:p>
    <w:p>
      <w:pPr>
        <w:jc w:val="center"/>
        <w:ind w:right="-19"/>
        <w:spacing w:after="0" w:line="231" w:lineRule="auto"/>
        <w:rPr>
          <w:sz w:val="20"/>
          <w:szCs w:val="20"/>
          <w:color w:val="auto"/>
        </w:rPr>
      </w:pPr>
      <w:r>
        <w:rPr>
          <w:rFonts w:ascii="Times New Roman" w:cs="Times New Roman" w:eastAsia="Times New Roman" w:hAnsi="Times New Roman"/>
          <w:sz w:val="22"/>
          <w:szCs w:val="22"/>
          <w:color w:val="auto"/>
        </w:rPr>
        <w:t>Rye, New York 10580-1435</w:t>
      </w:r>
    </w:p>
    <w:p>
      <w:pPr>
        <w:jc w:val="center"/>
        <w:ind w:right="-19"/>
        <w:spacing w:after="0" w:line="230" w:lineRule="auto"/>
        <w:rPr>
          <w:sz w:val="20"/>
          <w:szCs w:val="20"/>
          <w:color w:val="auto"/>
        </w:rPr>
      </w:pPr>
      <w:r>
        <w:rPr>
          <w:rFonts w:ascii="Times New Roman" w:cs="Times New Roman" w:eastAsia="Times New Roman" w:hAnsi="Times New Roman"/>
          <w:sz w:val="22"/>
          <w:szCs w:val="22"/>
          <w:color w:val="auto"/>
        </w:rPr>
        <w:t>(914) 921-5000</w:t>
      </w:r>
    </w:p>
    <w:p>
      <w:pPr>
        <w:spacing w:after="0" w:line="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(Name, Address and Telephone Number of Person Authorized to Receive Notices and Communications)</w:t>
      </w:r>
    </w:p>
    <w:p>
      <w:pPr>
        <w:spacing w:after="0" w:line="200" w:lineRule="exact"/>
        <w:rPr>
          <w:sz w:val="24"/>
          <w:szCs w:val="24"/>
          <w:color w:val="auto"/>
        </w:rPr>
      </w:pPr>
    </w:p>
    <w:p>
      <w:pPr>
        <w:spacing w:after="0" w:line="252" w:lineRule="exact"/>
        <w:rPr>
          <w:sz w:val="24"/>
          <w:szCs w:val="24"/>
          <w:color w:val="auto"/>
        </w:rPr>
      </w:pPr>
    </w:p>
    <w:p>
      <w:pPr>
        <w:ind w:left="2540"/>
        <w:spacing w:after="0"/>
        <w:rPr>
          <w:sz w:val="20"/>
          <w:szCs w:val="20"/>
          <w:color w:val="auto"/>
        </w:rPr>
      </w:pPr>
      <w:r>
        <w:rPr>
          <w:rFonts w:ascii="Times New Roman" w:cs="Times New Roman" w:eastAsia="Times New Roman" w:hAnsi="Times New Roman"/>
          <w:sz w:val="22"/>
          <w:szCs w:val="22"/>
          <w:color w:val="auto"/>
        </w:rPr>
        <w:t>____________________</w:t>
      </w:r>
      <w:r>
        <w:rPr>
          <w:rFonts w:ascii="Times New Roman" w:cs="Times New Roman" w:eastAsia="Times New Roman" w:hAnsi="Times New Roman"/>
          <w:sz w:val="22"/>
          <w:szCs w:val="22"/>
          <w:u w:val="single" w:color="auto"/>
          <w:color w:val="auto"/>
        </w:rPr>
        <w:t>November 24, 2020</w:t>
      </w:r>
      <w:r>
        <w:rPr>
          <w:rFonts w:ascii="Times New Roman" w:cs="Times New Roman" w:eastAsia="Times New Roman" w:hAnsi="Times New Roman"/>
          <w:sz w:val="22"/>
          <w:szCs w:val="22"/>
          <w:color w:val="auto"/>
        </w:rPr>
        <w:t>_____________________</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0" w:lineRule="exact"/>
        <w:rPr>
          <w:sz w:val="24"/>
          <w:szCs w:val="24"/>
          <w:color w:val="auto"/>
        </w:rPr>
      </w:pPr>
    </w:p>
    <w:p>
      <w:pPr>
        <w:spacing w:after="0" w:line="252"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If the filing person has previously filed a statement on Schedule 13G to report the acquisition that is the subject of this Schedule 13D, and is filing this schedule because of §§ 240.13d-1(e), 240.13d-1(f) or 240.13d-1(g), check the following box .</w:t>
      </w:r>
    </w:p>
    <w:p>
      <w:pPr>
        <w:spacing w:after="0" w:line="3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CUSIP No. 677864100</w:t>
      </w:r>
    </w:p>
    <w:p>
      <w:pPr>
        <w:spacing w:after="0" w:line="20" w:lineRule="exact"/>
        <w:rPr>
          <w:sz w:val="20"/>
          <w:szCs w:val="20"/>
          <w:color w:val="auto"/>
        </w:rPr>
      </w:pPr>
    </w:p>
    <w:p>
      <w:pPr>
        <w:ind w:left="880" w:hanging="478"/>
        <w:spacing w:after="0"/>
        <w:tabs>
          <w:tab w:leader="none" w:pos="88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AMES OF REPORTING PERSONS</w:t>
      </w:r>
    </w:p>
    <w:p>
      <w:pPr>
        <w:spacing w:after="0" w:line="7" w:lineRule="exact"/>
        <w:rPr>
          <w:rFonts w:ascii="Times New Roman" w:cs="Times New Roman" w:eastAsia="Times New Roman" w:hAnsi="Times New Roman"/>
          <w:sz w:val="18"/>
          <w:szCs w:val="18"/>
          <w:b w:val="1"/>
          <w:bCs w:val="1"/>
          <w:color w:val="auto"/>
        </w:rPr>
      </w:pPr>
    </w:p>
    <w:p>
      <w:pPr>
        <w:ind w:left="8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I.R.S. </w:t>
      </w:r>
      <w:r>
        <w:rPr>
          <w:rFonts w:ascii="Times New Roman" w:cs="Times New Roman" w:eastAsia="Times New Roman" w:hAnsi="Times New Roman"/>
          <w:sz w:val="12"/>
          <w:szCs w:val="12"/>
          <w:b w:val="1"/>
          <w:bCs w:val="1"/>
          <w:color w:val="auto"/>
        </w:rPr>
        <w:t>IDENTIFICATION NOS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b w:val="1"/>
          <w:bCs w:val="1"/>
          <w:color w:val="auto"/>
        </w:rPr>
        <w:t>OF ABOVE PERSONS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b w:val="1"/>
          <w:bCs w:val="1"/>
          <w:color w:val="auto"/>
        </w:rPr>
        <w:t>ENTITIES ONLY</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80" w:type="dxa"/>
            <w:vAlign w:val="bottom"/>
            <w:tcBorders>
              <w:bottom w:val="single" w:sz="8" w:color="auto"/>
            </w:tcBorders>
          </w:tcPr>
          <w:p>
            <w:pPr>
              <w:spacing w:after="0"/>
              <w:rPr>
                <w:sz w:val="21"/>
                <w:szCs w:val="21"/>
                <w:color w:val="auto"/>
              </w:rPr>
            </w:pPr>
          </w:p>
        </w:tc>
        <w:tc>
          <w:tcPr>
            <w:tcW w:w="55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Gabelli Funds, LLC</w:t>
            </w:r>
          </w:p>
        </w:tc>
        <w:tc>
          <w:tcPr>
            <w:tcW w:w="5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I.D. 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13-4044523</w:t>
            </w:r>
          </w:p>
        </w:tc>
      </w:tr>
      <w:tr>
        <w:trPr>
          <w:trHeight w:val="238"/>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w:t>
            </w:r>
          </w:p>
        </w:tc>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HECK THE APPROPRIATE BOX IF A MEMBER OF A GROUP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(SEE INSTRUCTIONS)</w:t>
            </w:r>
          </w:p>
        </w:tc>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w:t>
            </w:r>
          </w:p>
        </w:tc>
      </w:tr>
    </w:tbl>
    <w:p>
      <w:pPr>
        <w:spacing w:after="0" w:line="387"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880" w:hanging="478"/>
        <w:spacing w:after="0"/>
        <w:tabs>
          <w:tab w:leader="none" w:pos="8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880" w:hanging="478"/>
        <w:spacing w:after="0"/>
        <w:tabs>
          <w:tab w:leader="none" w:pos="8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OURCE OF FUNDS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(SEE INSTRUCTIONS)</w:t>
      </w:r>
    </w:p>
    <w:p>
      <w:pPr>
        <w:spacing w:after="0" w:line="3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00-Funds of investment advisory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ind w:left="880" w:hanging="478"/>
        <w:spacing w:after="0"/>
        <w:tabs>
          <w:tab w:leader="none" w:pos="8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HECK BOX IF DISCLOSURE OF LEGAL PROCEEDINGS IS REQUIRED PURSUANT TO ITEMS</w:t>
      </w:r>
      <w:r>
        <w:rPr>
          <w:rFonts w:ascii="Times New Roman" w:cs="Times New Roman" w:eastAsia="Times New Roman" w:hAnsi="Times New Roman"/>
          <w:sz w:val="18"/>
          <w:szCs w:val="18"/>
          <w:b w:val="1"/>
          <w:bCs w:val="1"/>
          <w:color w:val="auto"/>
        </w:rPr>
        <w:t xml:space="preserve"> 2 (d) </w:t>
      </w:r>
      <w:r>
        <w:rPr>
          <w:rFonts w:ascii="Times New Roman" w:cs="Times New Roman" w:eastAsia="Times New Roman" w:hAnsi="Times New Roman"/>
          <w:sz w:val="12"/>
          <w:szCs w:val="12"/>
          <w:b w:val="1"/>
          <w:bCs w:val="1"/>
          <w:color w:val="auto"/>
        </w:rPr>
        <w:t>OR</w:t>
      </w:r>
      <w:r>
        <w:rPr>
          <w:rFonts w:ascii="Times New Roman" w:cs="Times New Roman" w:eastAsia="Times New Roman" w:hAnsi="Times New Roman"/>
          <w:sz w:val="18"/>
          <w:szCs w:val="18"/>
          <w:b w:val="1"/>
          <w:bCs w:val="1"/>
          <w:color w:val="auto"/>
        </w:rPr>
        <w:t xml:space="preserve">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880" w:hanging="478"/>
        <w:spacing w:after="0"/>
        <w:tabs>
          <w:tab w:leader="none" w:pos="8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ITIZENSHIP OR PLACE OF ORGANIZATION</w:t>
      </w:r>
    </w:p>
    <w:p>
      <w:pPr>
        <w:spacing w:after="0" w:line="3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New York</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UMBER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p>
        </w:tc>
        <w:tc>
          <w:tcPr>
            <w:tcW w:w="1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7</w:t>
            </w:r>
          </w:p>
        </w:tc>
        <w:tc>
          <w:tcPr>
            <w:tcW w:w="6440" w:type="dxa"/>
            <w:vAlign w:val="bottom"/>
            <w:tcBorders>
              <w:top w:val="single" w:sz="8" w:color="auto"/>
            </w:tcBorders>
          </w:tcPr>
          <w:p>
            <w:pPr>
              <w:ind w:left="114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OLE VOTING POWER</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HARES</w:t>
            </w: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83,300  (Item 5)</w:t>
            </w:r>
          </w:p>
        </w:tc>
        <w:tc>
          <w:tcPr>
            <w:tcW w:w="0" w:type="dxa"/>
            <w:vAlign w:val="bottom"/>
          </w:tcPr>
          <w:p>
            <w:pPr>
              <w:spacing w:after="0"/>
              <w:rPr>
                <w:sz w:val="1"/>
                <w:szCs w:val="1"/>
                <w:color w:val="auto"/>
              </w:rPr>
            </w:pPr>
          </w:p>
        </w:tc>
      </w:tr>
      <w:tr>
        <w:trPr>
          <w:trHeight w:val="245"/>
        </w:trPr>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w:t>
            </w:r>
            <w:r>
              <w:rPr>
                <w:rFonts w:ascii="Times New Roman" w:cs="Times New Roman" w:eastAsia="Times New Roman" w:hAnsi="Times New Roman"/>
                <w:sz w:val="12"/>
                <w:szCs w:val="12"/>
                <w:b w:val="1"/>
                <w:bCs w:val="1"/>
                <w:color w:val="auto"/>
                <w:w w:val="98"/>
              </w:rPr>
              <w:t>ENEFICIALLY</w:t>
            </w:r>
          </w:p>
        </w:tc>
        <w:tc>
          <w:tcPr>
            <w:tcW w:w="1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400" w:type="dxa"/>
            <w:vAlign w:val="bottom"/>
            <w:vMerge w:val="continue"/>
          </w:tcPr>
          <w:p>
            <w:pPr>
              <w:spacing w:after="0"/>
              <w:rPr>
                <w:sz w:val="16"/>
                <w:szCs w:val="16"/>
                <w:color w:val="auto"/>
              </w:rPr>
            </w:pPr>
          </w:p>
        </w:tc>
        <w:tc>
          <w:tcPr>
            <w:tcW w:w="14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 8</w:t>
            </w:r>
          </w:p>
        </w:tc>
        <w:tc>
          <w:tcPr>
            <w:tcW w:w="6440" w:type="dxa"/>
            <w:vAlign w:val="bottom"/>
          </w:tcPr>
          <w:p>
            <w:pPr>
              <w:ind w:left="1140"/>
              <w:spacing w:after="0" w:line="194" w:lineRule="exact"/>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HARED VOTING POWER</w:t>
            </w:r>
          </w:p>
        </w:tc>
        <w:tc>
          <w:tcPr>
            <w:tcW w:w="0" w:type="dxa"/>
            <w:vAlign w:val="bottom"/>
          </w:tcPr>
          <w:p>
            <w:pPr>
              <w:spacing w:after="0"/>
              <w:rPr>
                <w:sz w:val="1"/>
                <w:szCs w:val="1"/>
                <w:color w:val="auto"/>
              </w:rPr>
            </w:pPr>
          </w:p>
        </w:tc>
      </w:tr>
      <w:tr>
        <w:trPr>
          <w:trHeight w:val="216"/>
        </w:trPr>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w:t>
            </w:r>
            <w:r>
              <w:rPr>
                <w:rFonts w:ascii="Times New Roman" w:cs="Times New Roman" w:eastAsia="Times New Roman" w:hAnsi="Times New Roman"/>
                <w:sz w:val="12"/>
                <w:szCs w:val="12"/>
                <w:b w:val="1"/>
                <w:bCs w:val="1"/>
                <w:color w:val="auto"/>
                <w:w w:val="97"/>
              </w:rPr>
              <w:t>WNED</w:t>
            </w: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vMerge w:val="continue"/>
          </w:tcPr>
          <w:p>
            <w:pPr>
              <w:spacing w:after="0"/>
              <w:rPr>
                <w:sz w:val="18"/>
                <w:szCs w:val="18"/>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ONE</w:t>
            </w:r>
          </w:p>
        </w:tc>
        <w:tc>
          <w:tcPr>
            <w:tcW w:w="0" w:type="dxa"/>
            <w:vAlign w:val="bottom"/>
          </w:tcPr>
          <w:p>
            <w:pPr>
              <w:spacing w:after="0"/>
              <w:rPr>
                <w:sz w:val="1"/>
                <w:szCs w:val="1"/>
                <w:color w:val="auto"/>
              </w:rPr>
            </w:pPr>
          </w:p>
        </w:tc>
      </w:tr>
      <w:tr>
        <w:trPr>
          <w:trHeight w:val="245"/>
        </w:trPr>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Y</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ACH</w:t>
            </w:r>
          </w:p>
        </w:tc>
        <w:tc>
          <w:tcPr>
            <w:tcW w:w="1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400" w:type="dxa"/>
            <w:vAlign w:val="bottom"/>
            <w:vMerge w:val="continue"/>
          </w:tcPr>
          <w:p>
            <w:pPr>
              <w:spacing w:after="0"/>
              <w:rPr>
                <w:sz w:val="16"/>
                <w:szCs w:val="16"/>
                <w:color w:val="auto"/>
              </w:rPr>
            </w:pPr>
          </w:p>
        </w:tc>
        <w:tc>
          <w:tcPr>
            <w:tcW w:w="14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 9</w:t>
            </w:r>
          </w:p>
        </w:tc>
        <w:tc>
          <w:tcPr>
            <w:tcW w:w="6440" w:type="dxa"/>
            <w:vAlign w:val="bottom"/>
          </w:tcPr>
          <w:p>
            <w:pPr>
              <w:ind w:left="1140"/>
              <w:spacing w:after="0" w:line="194" w:lineRule="exact"/>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OLE DISPOSITIVE POWER</w:t>
            </w:r>
          </w:p>
        </w:tc>
        <w:tc>
          <w:tcPr>
            <w:tcW w:w="0" w:type="dxa"/>
            <w:vAlign w:val="bottom"/>
          </w:tcPr>
          <w:p>
            <w:pPr>
              <w:spacing w:after="0"/>
              <w:rPr>
                <w:sz w:val="1"/>
                <w:szCs w:val="1"/>
                <w:color w:val="auto"/>
              </w:rPr>
            </w:pPr>
          </w:p>
        </w:tc>
      </w:tr>
      <w:tr>
        <w:trPr>
          <w:trHeight w:val="216"/>
        </w:trPr>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EPORTING</w:t>
            </w: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vMerge w:val="continue"/>
          </w:tcPr>
          <w:p>
            <w:pPr>
              <w:spacing w:after="0"/>
              <w:rPr>
                <w:sz w:val="18"/>
                <w:szCs w:val="18"/>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83,300  (Item 5)</w:t>
            </w:r>
          </w:p>
        </w:tc>
        <w:tc>
          <w:tcPr>
            <w:tcW w:w="0" w:type="dxa"/>
            <w:vAlign w:val="bottom"/>
          </w:tcPr>
          <w:p>
            <w:pPr>
              <w:spacing w:after="0"/>
              <w:rPr>
                <w:sz w:val="1"/>
                <w:szCs w:val="1"/>
                <w:color w:val="auto"/>
              </w:rPr>
            </w:pPr>
          </w:p>
        </w:tc>
      </w:tr>
      <w:tr>
        <w:trPr>
          <w:trHeight w:val="245"/>
        </w:trPr>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ERSON</w:t>
            </w:r>
          </w:p>
        </w:tc>
        <w:tc>
          <w:tcPr>
            <w:tcW w:w="1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3400" w:type="dxa"/>
            <w:vAlign w:val="bottom"/>
            <w:vMerge w:val="continue"/>
          </w:tcPr>
          <w:p>
            <w:pPr>
              <w:spacing w:after="0"/>
              <w:rPr>
                <w:sz w:val="11"/>
                <w:szCs w:val="11"/>
                <w:color w:val="auto"/>
              </w:rPr>
            </w:pPr>
          </w:p>
        </w:tc>
        <w:tc>
          <w:tcPr>
            <w:tcW w:w="1400" w:type="dxa"/>
            <w:vAlign w:val="bottom"/>
            <w:vMerge w:val="restart"/>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:10</w:t>
            </w:r>
          </w:p>
        </w:tc>
        <w:tc>
          <w:tcPr>
            <w:tcW w:w="6440" w:type="dxa"/>
            <w:vAlign w:val="bottom"/>
            <w:vMerge w:val="restart"/>
          </w:tcPr>
          <w:p>
            <w:pPr>
              <w:ind w:left="1140"/>
              <w:spacing w:after="0" w:line="194" w:lineRule="exact"/>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HARED DISPOSITIVE POWER</w:t>
            </w:r>
          </w:p>
        </w:tc>
        <w:tc>
          <w:tcPr>
            <w:tcW w:w="0" w:type="dxa"/>
            <w:vAlign w:val="bottom"/>
          </w:tcPr>
          <w:p>
            <w:pPr>
              <w:spacing w:after="0"/>
              <w:rPr>
                <w:sz w:val="1"/>
                <w:szCs w:val="1"/>
                <w:color w:val="auto"/>
              </w:rPr>
            </w:pPr>
          </w:p>
        </w:tc>
      </w:tr>
      <w:tr>
        <w:trPr>
          <w:trHeight w:val="59"/>
        </w:trPr>
        <w:tc>
          <w:tcPr>
            <w:tcW w:w="340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6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ITH</w:t>
            </w: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400" w:type="dxa"/>
            <w:vAlign w:val="bottom"/>
            <w:vMerge w:val="continue"/>
          </w:tcPr>
          <w:p>
            <w:pPr>
              <w:spacing w:after="0"/>
              <w:rPr>
                <w:sz w:val="13"/>
                <w:szCs w:val="13"/>
                <w:color w:val="auto"/>
              </w:rPr>
            </w:pPr>
          </w:p>
        </w:tc>
        <w:tc>
          <w:tcPr>
            <w:tcW w:w="1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vMerge w:val="restart"/>
          </w:tcPr>
          <w:p>
            <w:pPr>
              <w:ind w:left="114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ONE</w:t>
            </w:r>
          </w:p>
        </w:tc>
        <w:tc>
          <w:tcPr>
            <w:tcW w:w="0" w:type="dxa"/>
            <w:vAlign w:val="bottom"/>
          </w:tcPr>
          <w:p>
            <w:pPr>
              <w:spacing w:after="0"/>
              <w:rPr>
                <w:sz w:val="1"/>
                <w:szCs w:val="1"/>
                <w:color w:val="auto"/>
              </w:rPr>
            </w:pPr>
          </w:p>
        </w:tc>
      </w:tr>
      <w:tr>
        <w:trPr>
          <w:trHeight w:val="59"/>
        </w:trPr>
        <w:tc>
          <w:tcPr>
            <w:tcW w:w="340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6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3400" w:type="dxa"/>
            <w:vAlign w:val="bottom"/>
          </w:tcPr>
          <w:p>
            <w:pPr>
              <w:spacing w:after="0"/>
              <w:rPr>
                <w:sz w:val="20"/>
                <w:szCs w:val="20"/>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880" w:hanging="872"/>
        <w:spacing w:after="0"/>
        <w:tabs>
          <w:tab w:leader="none" w:pos="8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GGREGATE AMOUNT BENEFICIALLY OWNED BY EACH REPORTING PERSON</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83,300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0" w:lineRule="exact"/>
        <w:rPr>
          <w:sz w:val="20"/>
          <w:szCs w:val="20"/>
          <w:color w:val="auto"/>
        </w:rPr>
      </w:pPr>
    </w:p>
    <w:p>
      <w:pPr>
        <w:ind w:left="880" w:hanging="872"/>
        <w:spacing w:after="0"/>
        <w:tabs>
          <w:tab w:leader="none" w:pos="880" w:val="left"/>
        </w:tabs>
        <w:numPr>
          <w:ilvl w:val="0"/>
          <w:numId w:val="7"/>
        </w:numPr>
        <w:rPr>
          <w:rFonts w:ascii="Times New Roman" w:cs="Times New Roman" w:eastAsia="Times New Roman" w:hAnsi="Times New Roman"/>
          <w:sz w:val="29"/>
          <w:szCs w:val="29"/>
          <w:b w:val="1"/>
          <w:bCs w:val="1"/>
          <w:color w:val="auto"/>
          <w:vertAlign w:val="superscript"/>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HECK BOX IF THE AGGREGATE AMOUNT IN ROW</w:t>
      </w:r>
      <w:r>
        <w:rPr>
          <w:rFonts w:ascii="Times New Roman" w:cs="Times New Roman" w:eastAsia="Times New Roman" w:hAnsi="Times New Roman"/>
          <w:sz w:val="18"/>
          <w:szCs w:val="18"/>
          <w:b w:val="1"/>
          <w:bCs w:val="1"/>
          <w:color w:val="auto"/>
        </w:rPr>
        <w:t xml:space="preserve"> (11) </w:t>
      </w:r>
      <w:r>
        <w:rPr>
          <w:rFonts w:ascii="Times New Roman" w:cs="Times New Roman" w:eastAsia="Times New Roman" w:hAnsi="Times New Roman"/>
          <w:sz w:val="12"/>
          <w:szCs w:val="12"/>
          <w:b w:val="1"/>
          <w:bCs w:val="1"/>
          <w:color w:val="auto"/>
        </w:rPr>
        <w:t>EXCLUDES CERTAIN SHARES</w:t>
      </w:r>
    </w:p>
    <w:p>
      <w:pPr>
        <w:ind w:left="880"/>
        <w:spacing w:after="0"/>
        <w:rPr>
          <w:sz w:val="20"/>
          <w:szCs w:val="20"/>
          <w:color w:val="auto"/>
        </w:rPr>
      </w:pPr>
      <w:r>
        <w:rPr>
          <w:rFonts w:ascii="Times New Roman" w:cs="Times New Roman" w:eastAsia="Times New Roman" w:hAnsi="Times New Roman"/>
          <w:sz w:val="14"/>
          <w:szCs w:val="14"/>
          <w:b w:val="1"/>
          <w:bCs w:val="1"/>
          <w:color w:val="auto"/>
        </w:rPr>
        <w:t>(SEE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16" w:lineRule="exact"/>
        <w:rPr>
          <w:sz w:val="20"/>
          <w:szCs w:val="20"/>
          <w:color w:val="auto"/>
        </w:rPr>
      </w:pPr>
    </w:p>
    <w:p>
      <w:pPr>
        <w:ind w:left="880" w:hanging="872"/>
        <w:spacing w:after="0"/>
        <w:tabs>
          <w:tab w:leader="none" w:pos="880" w:val="left"/>
        </w:tabs>
        <w:numPr>
          <w:ilvl w:val="0"/>
          <w:numId w:val="8"/>
        </w:numPr>
        <w:rPr>
          <w:rFonts w:ascii="Times New Roman" w:cs="Times New Roman" w:eastAsia="Times New Roman" w:hAnsi="Times New Roman"/>
          <w:sz w:val="29"/>
          <w:szCs w:val="29"/>
          <w:b w:val="1"/>
          <w:bCs w:val="1"/>
          <w:color w:val="auto"/>
          <w:vertAlign w:val="superscript"/>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ERCENT OF CLASS REPRESENTED BY AMOUNT IN ROW</w:t>
      </w:r>
      <w:r>
        <w:rPr>
          <w:rFonts w:ascii="Times New Roman" w:cs="Times New Roman" w:eastAsia="Times New Roman" w:hAnsi="Times New Roman"/>
          <w:sz w:val="18"/>
          <w:szCs w:val="18"/>
          <w:b w:val="1"/>
          <w:bCs w:val="1"/>
          <w:color w:val="auto"/>
        </w:rPr>
        <w:t xml:space="preserve"> (11)</w:t>
      </w:r>
    </w:p>
    <w:p>
      <w:pPr>
        <w:spacing w:after="0" w:line="1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9" w:lineRule="exact"/>
        <w:rPr>
          <w:sz w:val="20"/>
          <w:szCs w:val="20"/>
          <w:color w:val="auto"/>
        </w:rPr>
      </w:pPr>
    </w:p>
    <w:p>
      <w:pPr>
        <w:ind w:left="880" w:hanging="872"/>
        <w:spacing w:after="0"/>
        <w:tabs>
          <w:tab w:leader="none" w:pos="880" w:val="left"/>
        </w:tabs>
        <w:numPr>
          <w:ilvl w:val="0"/>
          <w:numId w:val="9"/>
        </w:numPr>
        <w:rPr>
          <w:rFonts w:ascii="Times New Roman" w:cs="Times New Roman" w:eastAsia="Times New Roman" w:hAnsi="Times New Roman"/>
          <w:sz w:val="29"/>
          <w:szCs w:val="29"/>
          <w:b w:val="1"/>
          <w:bCs w:val="1"/>
          <w:color w:val="auto"/>
          <w:vertAlign w:val="superscript"/>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YPE OF REPORTING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(SEE INSTRUCTIONS)</w:t>
      </w:r>
    </w:p>
    <w:p>
      <w:pPr>
        <w:spacing w:after="0" w:line="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IA,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CUSIP No. 677864100</w:t>
      </w:r>
    </w:p>
    <w:p>
      <w:pPr>
        <w:spacing w:after="0" w:line="20" w:lineRule="exact"/>
        <w:rPr>
          <w:sz w:val="20"/>
          <w:szCs w:val="20"/>
          <w:color w:val="auto"/>
        </w:rPr>
      </w:pPr>
    </w:p>
    <w:p>
      <w:pPr>
        <w:ind w:left="880" w:hanging="478"/>
        <w:spacing w:after="0"/>
        <w:tabs>
          <w:tab w:leader="none" w:pos="8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AMES OF REPORTING PERSONS</w:t>
      </w:r>
    </w:p>
    <w:p>
      <w:pPr>
        <w:spacing w:after="0" w:line="7" w:lineRule="exact"/>
        <w:rPr>
          <w:rFonts w:ascii="Times New Roman" w:cs="Times New Roman" w:eastAsia="Times New Roman" w:hAnsi="Times New Roman"/>
          <w:sz w:val="18"/>
          <w:szCs w:val="18"/>
          <w:b w:val="1"/>
          <w:bCs w:val="1"/>
          <w:color w:val="auto"/>
        </w:rPr>
      </w:pPr>
    </w:p>
    <w:p>
      <w:pPr>
        <w:ind w:left="8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I.R.S. </w:t>
      </w:r>
      <w:r>
        <w:rPr>
          <w:rFonts w:ascii="Times New Roman" w:cs="Times New Roman" w:eastAsia="Times New Roman" w:hAnsi="Times New Roman"/>
          <w:sz w:val="12"/>
          <w:szCs w:val="12"/>
          <w:b w:val="1"/>
          <w:bCs w:val="1"/>
          <w:color w:val="auto"/>
        </w:rPr>
        <w:t>IDENTIFICATION NOS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b w:val="1"/>
          <w:bCs w:val="1"/>
          <w:color w:val="auto"/>
        </w:rPr>
        <w:t>OF ABOVE PERSONS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b w:val="1"/>
          <w:bCs w:val="1"/>
          <w:color w:val="auto"/>
        </w:rPr>
        <w:t>ENTITIES ONLY</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80" w:type="dxa"/>
            <w:vAlign w:val="bottom"/>
            <w:tcBorders>
              <w:bottom w:val="single" w:sz="8" w:color="auto"/>
            </w:tcBorders>
          </w:tcPr>
          <w:p>
            <w:pPr>
              <w:spacing w:after="0"/>
              <w:rPr>
                <w:sz w:val="21"/>
                <w:szCs w:val="21"/>
                <w:color w:val="auto"/>
              </w:rPr>
            </w:pPr>
          </w:p>
        </w:tc>
        <w:tc>
          <w:tcPr>
            <w:tcW w:w="56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GAMCO Asset Management, Inc.</w:t>
            </w:r>
          </w:p>
        </w:tc>
        <w:tc>
          <w:tcPr>
            <w:tcW w:w="496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b w:val="1"/>
                <w:bCs w:val="1"/>
                <w:color w:val="auto"/>
              </w:rPr>
              <w:t>I.D. 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13-4044521</w:t>
            </w:r>
          </w:p>
        </w:tc>
      </w:tr>
      <w:tr>
        <w:trPr>
          <w:trHeight w:val="238"/>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w:t>
            </w:r>
          </w:p>
        </w:tc>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HECK THE APPROPRIATE BOX IF A MEMBER OF A GROUP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(SEE INSTRUCTIONS)</w:t>
            </w:r>
          </w:p>
        </w:tc>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w:t>
            </w:r>
          </w:p>
        </w:tc>
      </w:tr>
    </w:tbl>
    <w:p>
      <w:pPr>
        <w:spacing w:after="0" w:line="387"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880" w:hanging="478"/>
        <w:spacing w:after="0"/>
        <w:tabs>
          <w:tab w:leader="none" w:pos="8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880" w:hanging="478"/>
        <w:spacing w:after="0"/>
        <w:tabs>
          <w:tab w:leader="none" w:pos="8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OURCE OF FUNDS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(SEE INSTRUCTIONS)</w:t>
      </w:r>
    </w:p>
    <w:p>
      <w:pPr>
        <w:spacing w:after="0" w:line="3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color w:val="auto"/>
        </w:rPr>
        <w:t>00-Funds of investment advisory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ind w:left="880" w:hanging="478"/>
        <w:spacing w:after="0"/>
        <w:tabs>
          <w:tab w:leader="none" w:pos="8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HECK BOX IF DISCLOSURE OF LEGAL PROCEEDINGS IS REQUIRED PURSUANT TO ITEMS</w:t>
      </w:r>
      <w:r>
        <w:rPr>
          <w:rFonts w:ascii="Times New Roman" w:cs="Times New Roman" w:eastAsia="Times New Roman" w:hAnsi="Times New Roman"/>
          <w:sz w:val="18"/>
          <w:szCs w:val="18"/>
          <w:b w:val="1"/>
          <w:bCs w:val="1"/>
          <w:color w:val="auto"/>
        </w:rPr>
        <w:t xml:space="preserve"> 2 (d) </w:t>
      </w:r>
      <w:r>
        <w:rPr>
          <w:rFonts w:ascii="Times New Roman" w:cs="Times New Roman" w:eastAsia="Times New Roman" w:hAnsi="Times New Roman"/>
          <w:sz w:val="12"/>
          <w:szCs w:val="12"/>
          <w:b w:val="1"/>
          <w:bCs w:val="1"/>
          <w:color w:val="auto"/>
        </w:rPr>
        <w:t>OR</w:t>
      </w:r>
      <w:r>
        <w:rPr>
          <w:rFonts w:ascii="Times New Roman" w:cs="Times New Roman" w:eastAsia="Times New Roman" w:hAnsi="Times New Roman"/>
          <w:sz w:val="18"/>
          <w:szCs w:val="18"/>
          <w:b w:val="1"/>
          <w:bCs w:val="1"/>
          <w:color w:val="auto"/>
        </w:rPr>
        <w:t xml:space="preserve">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880" w:hanging="478"/>
        <w:spacing w:after="0"/>
        <w:tabs>
          <w:tab w:leader="none" w:pos="8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ITIZENSHIP OR PLACE OF ORGANIZATION</w:t>
      </w:r>
    </w:p>
    <w:p>
      <w:pPr>
        <w:spacing w:after="0" w:line="3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New York</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UMBER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p>
        </w:tc>
        <w:tc>
          <w:tcPr>
            <w:tcW w:w="1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7</w:t>
            </w:r>
          </w:p>
        </w:tc>
        <w:tc>
          <w:tcPr>
            <w:tcW w:w="6440" w:type="dxa"/>
            <w:vAlign w:val="bottom"/>
            <w:tcBorders>
              <w:top w:val="single" w:sz="8" w:color="auto"/>
            </w:tcBorders>
          </w:tcPr>
          <w:p>
            <w:pPr>
              <w:ind w:left="114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OLE VOTING POWER</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HARES</w:t>
            </w: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467,506 (Item 5)</w:t>
            </w:r>
          </w:p>
        </w:tc>
        <w:tc>
          <w:tcPr>
            <w:tcW w:w="0" w:type="dxa"/>
            <w:vAlign w:val="bottom"/>
          </w:tcPr>
          <w:p>
            <w:pPr>
              <w:spacing w:after="0"/>
              <w:rPr>
                <w:sz w:val="1"/>
                <w:szCs w:val="1"/>
                <w:color w:val="auto"/>
              </w:rPr>
            </w:pPr>
          </w:p>
        </w:tc>
      </w:tr>
      <w:tr>
        <w:trPr>
          <w:trHeight w:val="245"/>
        </w:trPr>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w:t>
            </w:r>
            <w:r>
              <w:rPr>
                <w:rFonts w:ascii="Times New Roman" w:cs="Times New Roman" w:eastAsia="Times New Roman" w:hAnsi="Times New Roman"/>
                <w:sz w:val="12"/>
                <w:szCs w:val="12"/>
                <w:b w:val="1"/>
                <w:bCs w:val="1"/>
                <w:color w:val="auto"/>
                <w:w w:val="98"/>
              </w:rPr>
              <w:t>ENEFICIALLY</w:t>
            </w:r>
          </w:p>
        </w:tc>
        <w:tc>
          <w:tcPr>
            <w:tcW w:w="1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400" w:type="dxa"/>
            <w:vAlign w:val="bottom"/>
            <w:vMerge w:val="continue"/>
          </w:tcPr>
          <w:p>
            <w:pPr>
              <w:spacing w:after="0"/>
              <w:rPr>
                <w:sz w:val="16"/>
                <w:szCs w:val="16"/>
                <w:color w:val="auto"/>
              </w:rPr>
            </w:pPr>
          </w:p>
        </w:tc>
        <w:tc>
          <w:tcPr>
            <w:tcW w:w="14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 8</w:t>
            </w:r>
          </w:p>
        </w:tc>
        <w:tc>
          <w:tcPr>
            <w:tcW w:w="6440" w:type="dxa"/>
            <w:vAlign w:val="bottom"/>
          </w:tcPr>
          <w:p>
            <w:pPr>
              <w:ind w:left="1140"/>
              <w:spacing w:after="0" w:line="194" w:lineRule="exact"/>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HARED VOTING POWER</w:t>
            </w:r>
          </w:p>
        </w:tc>
        <w:tc>
          <w:tcPr>
            <w:tcW w:w="0" w:type="dxa"/>
            <w:vAlign w:val="bottom"/>
          </w:tcPr>
          <w:p>
            <w:pPr>
              <w:spacing w:after="0"/>
              <w:rPr>
                <w:sz w:val="1"/>
                <w:szCs w:val="1"/>
                <w:color w:val="auto"/>
              </w:rPr>
            </w:pPr>
          </w:p>
        </w:tc>
      </w:tr>
      <w:tr>
        <w:trPr>
          <w:trHeight w:val="216"/>
        </w:trPr>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w:t>
            </w:r>
            <w:r>
              <w:rPr>
                <w:rFonts w:ascii="Times New Roman" w:cs="Times New Roman" w:eastAsia="Times New Roman" w:hAnsi="Times New Roman"/>
                <w:sz w:val="12"/>
                <w:szCs w:val="12"/>
                <w:b w:val="1"/>
                <w:bCs w:val="1"/>
                <w:color w:val="auto"/>
                <w:w w:val="97"/>
              </w:rPr>
              <w:t>WNED</w:t>
            </w: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vMerge w:val="continue"/>
          </w:tcPr>
          <w:p>
            <w:pPr>
              <w:spacing w:after="0"/>
              <w:rPr>
                <w:sz w:val="18"/>
                <w:szCs w:val="18"/>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ONE</w:t>
            </w:r>
          </w:p>
        </w:tc>
        <w:tc>
          <w:tcPr>
            <w:tcW w:w="0" w:type="dxa"/>
            <w:vAlign w:val="bottom"/>
          </w:tcPr>
          <w:p>
            <w:pPr>
              <w:spacing w:after="0"/>
              <w:rPr>
                <w:sz w:val="1"/>
                <w:szCs w:val="1"/>
                <w:color w:val="auto"/>
              </w:rPr>
            </w:pPr>
          </w:p>
        </w:tc>
      </w:tr>
      <w:tr>
        <w:trPr>
          <w:trHeight w:val="245"/>
        </w:trPr>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Y</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ACH</w:t>
            </w:r>
          </w:p>
        </w:tc>
        <w:tc>
          <w:tcPr>
            <w:tcW w:w="1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400" w:type="dxa"/>
            <w:vAlign w:val="bottom"/>
            <w:vMerge w:val="continue"/>
          </w:tcPr>
          <w:p>
            <w:pPr>
              <w:spacing w:after="0"/>
              <w:rPr>
                <w:sz w:val="16"/>
                <w:szCs w:val="16"/>
                <w:color w:val="auto"/>
              </w:rPr>
            </w:pPr>
          </w:p>
        </w:tc>
        <w:tc>
          <w:tcPr>
            <w:tcW w:w="14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 9</w:t>
            </w:r>
          </w:p>
        </w:tc>
        <w:tc>
          <w:tcPr>
            <w:tcW w:w="6440" w:type="dxa"/>
            <w:vAlign w:val="bottom"/>
          </w:tcPr>
          <w:p>
            <w:pPr>
              <w:ind w:left="1140"/>
              <w:spacing w:after="0" w:line="194" w:lineRule="exact"/>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OLE DISPOSITIVE POWER</w:t>
            </w:r>
          </w:p>
        </w:tc>
        <w:tc>
          <w:tcPr>
            <w:tcW w:w="0" w:type="dxa"/>
            <w:vAlign w:val="bottom"/>
          </w:tcPr>
          <w:p>
            <w:pPr>
              <w:spacing w:after="0"/>
              <w:rPr>
                <w:sz w:val="1"/>
                <w:szCs w:val="1"/>
                <w:color w:val="auto"/>
              </w:rPr>
            </w:pPr>
          </w:p>
        </w:tc>
      </w:tr>
      <w:tr>
        <w:trPr>
          <w:trHeight w:val="216"/>
        </w:trPr>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EPORTING</w:t>
            </w: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vMerge w:val="continue"/>
          </w:tcPr>
          <w:p>
            <w:pPr>
              <w:spacing w:after="0"/>
              <w:rPr>
                <w:sz w:val="18"/>
                <w:szCs w:val="18"/>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494,006 (Item 5)</w:t>
            </w:r>
          </w:p>
        </w:tc>
        <w:tc>
          <w:tcPr>
            <w:tcW w:w="0" w:type="dxa"/>
            <w:vAlign w:val="bottom"/>
          </w:tcPr>
          <w:p>
            <w:pPr>
              <w:spacing w:after="0"/>
              <w:rPr>
                <w:sz w:val="1"/>
                <w:szCs w:val="1"/>
                <w:color w:val="auto"/>
              </w:rPr>
            </w:pPr>
          </w:p>
        </w:tc>
      </w:tr>
      <w:tr>
        <w:trPr>
          <w:trHeight w:val="245"/>
        </w:trPr>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ERSON</w:t>
            </w:r>
          </w:p>
        </w:tc>
        <w:tc>
          <w:tcPr>
            <w:tcW w:w="1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3400" w:type="dxa"/>
            <w:vAlign w:val="bottom"/>
            <w:vMerge w:val="continue"/>
          </w:tcPr>
          <w:p>
            <w:pPr>
              <w:spacing w:after="0"/>
              <w:rPr>
                <w:sz w:val="11"/>
                <w:szCs w:val="11"/>
                <w:color w:val="auto"/>
              </w:rPr>
            </w:pPr>
          </w:p>
        </w:tc>
        <w:tc>
          <w:tcPr>
            <w:tcW w:w="1400" w:type="dxa"/>
            <w:vAlign w:val="bottom"/>
            <w:vMerge w:val="restart"/>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:10</w:t>
            </w:r>
          </w:p>
        </w:tc>
        <w:tc>
          <w:tcPr>
            <w:tcW w:w="6440" w:type="dxa"/>
            <w:vAlign w:val="bottom"/>
            <w:vMerge w:val="restart"/>
          </w:tcPr>
          <w:p>
            <w:pPr>
              <w:ind w:left="1140"/>
              <w:spacing w:after="0" w:line="194" w:lineRule="exact"/>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HARED DISPOSITIVE POWER</w:t>
            </w:r>
          </w:p>
        </w:tc>
        <w:tc>
          <w:tcPr>
            <w:tcW w:w="0" w:type="dxa"/>
            <w:vAlign w:val="bottom"/>
          </w:tcPr>
          <w:p>
            <w:pPr>
              <w:spacing w:after="0"/>
              <w:rPr>
                <w:sz w:val="1"/>
                <w:szCs w:val="1"/>
                <w:color w:val="auto"/>
              </w:rPr>
            </w:pPr>
          </w:p>
        </w:tc>
      </w:tr>
      <w:tr>
        <w:trPr>
          <w:trHeight w:val="59"/>
        </w:trPr>
        <w:tc>
          <w:tcPr>
            <w:tcW w:w="340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6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ITH</w:t>
            </w: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400" w:type="dxa"/>
            <w:vAlign w:val="bottom"/>
            <w:vMerge w:val="continue"/>
          </w:tcPr>
          <w:p>
            <w:pPr>
              <w:spacing w:after="0"/>
              <w:rPr>
                <w:sz w:val="13"/>
                <w:szCs w:val="13"/>
                <w:color w:val="auto"/>
              </w:rPr>
            </w:pPr>
          </w:p>
        </w:tc>
        <w:tc>
          <w:tcPr>
            <w:tcW w:w="1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vMerge w:val="restart"/>
          </w:tcPr>
          <w:p>
            <w:pPr>
              <w:ind w:left="114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ONE</w:t>
            </w:r>
          </w:p>
        </w:tc>
        <w:tc>
          <w:tcPr>
            <w:tcW w:w="0" w:type="dxa"/>
            <w:vAlign w:val="bottom"/>
          </w:tcPr>
          <w:p>
            <w:pPr>
              <w:spacing w:after="0"/>
              <w:rPr>
                <w:sz w:val="1"/>
                <w:szCs w:val="1"/>
                <w:color w:val="auto"/>
              </w:rPr>
            </w:pPr>
          </w:p>
        </w:tc>
      </w:tr>
      <w:tr>
        <w:trPr>
          <w:trHeight w:val="59"/>
        </w:trPr>
        <w:tc>
          <w:tcPr>
            <w:tcW w:w="340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6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3400" w:type="dxa"/>
            <w:vAlign w:val="bottom"/>
          </w:tcPr>
          <w:p>
            <w:pPr>
              <w:spacing w:after="0"/>
              <w:rPr>
                <w:sz w:val="20"/>
                <w:szCs w:val="20"/>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880" w:hanging="872"/>
        <w:spacing w:after="0"/>
        <w:tabs>
          <w:tab w:leader="none" w:pos="8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GGREGATE AMOUNT BENEFICIALLY OWNED BY EACH REPORTING PERSON</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494,006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0" w:lineRule="exact"/>
        <w:rPr>
          <w:sz w:val="20"/>
          <w:szCs w:val="20"/>
          <w:color w:val="auto"/>
        </w:rPr>
      </w:pPr>
    </w:p>
    <w:p>
      <w:pPr>
        <w:ind w:left="880" w:hanging="872"/>
        <w:spacing w:after="0"/>
        <w:tabs>
          <w:tab w:leader="none" w:pos="880" w:val="left"/>
        </w:tabs>
        <w:numPr>
          <w:ilvl w:val="0"/>
          <w:numId w:val="16"/>
        </w:numPr>
        <w:rPr>
          <w:rFonts w:ascii="Times New Roman" w:cs="Times New Roman" w:eastAsia="Times New Roman" w:hAnsi="Times New Roman"/>
          <w:sz w:val="29"/>
          <w:szCs w:val="29"/>
          <w:b w:val="1"/>
          <w:bCs w:val="1"/>
          <w:color w:val="auto"/>
          <w:vertAlign w:val="superscript"/>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HECK BOX IF THE AGGREGATE AMOUNT IN ROW</w:t>
      </w:r>
      <w:r>
        <w:rPr>
          <w:rFonts w:ascii="Times New Roman" w:cs="Times New Roman" w:eastAsia="Times New Roman" w:hAnsi="Times New Roman"/>
          <w:sz w:val="18"/>
          <w:szCs w:val="18"/>
          <w:b w:val="1"/>
          <w:bCs w:val="1"/>
          <w:color w:val="auto"/>
        </w:rPr>
        <w:t xml:space="preserve"> (11) </w:t>
      </w:r>
      <w:r>
        <w:rPr>
          <w:rFonts w:ascii="Times New Roman" w:cs="Times New Roman" w:eastAsia="Times New Roman" w:hAnsi="Times New Roman"/>
          <w:sz w:val="12"/>
          <w:szCs w:val="12"/>
          <w:b w:val="1"/>
          <w:bCs w:val="1"/>
          <w:color w:val="auto"/>
        </w:rPr>
        <w:t>EXCLUDES CERTAIN SHARES</w:t>
      </w:r>
    </w:p>
    <w:p>
      <w:pPr>
        <w:ind w:left="880"/>
        <w:spacing w:after="0"/>
        <w:rPr>
          <w:sz w:val="20"/>
          <w:szCs w:val="20"/>
          <w:color w:val="auto"/>
        </w:rPr>
      </w:pPr>
      <w:r>
        <w:rPr>
          <w:rFonts w:ascii="Times New Roman" w:cs="Times New Roman" w:eastAsia="Times New Roman" w:hAnsi="Times New Roman"/>
          <w:sz w:val="14"/>
          <w:szCs w:val="14"/>
          <w:b w:val="1"/>
          <w:bCs w:val="1"/>
          <w:color w:val="auto"/>
        </w:rPr>
        <w:t>(SEE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16" w:lineRule="exact"/>
        <w:rPr>
          <w:sz w:val="20"/>
          <w:szCs w:val="20"/>
          <w:color w:val="auto"/>
        </w:rPr>
      </w:pPr>
    </w:p>
    <w:p>
      <w:pPr>
        <w:ind w:left="880" w:hanging="872"/>
        <w:spacing w:after="0"/>
        <w:tabs>
          <w:tab w:leader="none" w:pos="880" w:val="left"/>
        </w:tabs>
        <w:numPr>
          <w:ilvl w:val="0"/>
          <w:numId w:val="17"/>
        </w:numPr>
        <w:rPr>
          <w:rFonts w:ascii="Times New Roman" w:cs="Times New Roman" w:eastAsia="Times New Roman" w:hAnsi="Times New Roman"/>
          <w:sz w:val="29"/>
          <w:szCs w:val="29"/>
          <w:b w:val="1"/>
          <w:bCs w:val="1"/>
          <w:color w:val="auto"/>
          <w:vertAlign w:val="superscript"/>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ERCENT OF CLASS REPRESENTED BY AMOUNT IN ROW</w:t>
      </w:r>
      <w:r>
        <w:rPr>
          <w:rFonts w:ascii="Times New Roman" w:cs="Times New Roman" w:eastAsia="Times New Roman" w:hAnsi="Times New Roman"/>
          <w:sz w:val="18"/>
          <w:szCs w:val="18"/>
          <w:b w:val="1"/>
          <w:bCs w:val="1"/>
          <w:color w:val="auto"/>
        </w:rPr>
        <w:t xml:space="preserve"> (11)</w:t>
      </w:r>
    </w:p>
    <w:p>
      <w:pPr>
        <w:spacing w:after="0" w:line="1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9.17%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9" w:lineRule="exact"/>
        <w:rPr>
          <w:sz w:val="20"/>
          <w:szCs w:val="20"/>
          <w:color w:val="auto"/>
        </w:rPr>
      </w:pPr>
    </w:p>
    <w:p>
      <w:pPr>
        <w:ind w:left="880" w:hanging="872"/>
        <w:spacing w:after="0"/>
        <w:tabs>
          <w:tab w:leader="none" w:pos="880" w:val="left"/>
        </w:tabs>
        <w:numPr>
          <w:ilvl w:val="0"/>
          <w:numId w:val="18"/>
        </w:numPr>
        <w:rPr>
          <w:rFonts w:ascii="Times New Roman" w:cs="Times New Roman" w:eastAsia="Times New Roman" w:hAnsi="Times New Roman"/>
          <w:sz w:val="29"/>
          <w:szCs w:val="29"/>
          <w:b w:val="1"/>
          <w:bCs w:val="1"/>
          <w:color w:val="auto"/>
          <w:vertAlign w:val="superscript"/>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YPE OF REPORTING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(SEE INSTRUCTIONS)</w:t>
      </w:r>
    </w:p>
    <w:p>
      <w:pPr>
        <w:spacing w:after="0" w:line="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IA,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CUSIP No. 677864100</w:t>
      </w:r>
    </w:p>
    <w:p>
      <w:pPr>
        <w:spacing w:after="0" w:line="19" w:lineRule="exact"/>
        <w:rPr>
          <w:sz w:val="20"/>
          <w:szCs w:val="20"/>
          <w:color w:val="auto"/>
        </w:rPr>
      </w:pPr>
    </w:p>
    <w:p>
      <w:pPr>
        <w:ind w:left="900" w:hanging="491"/>
        <w:spacing w:after="0"/>
        <w:tabs>
          <w:tab w:leader="none" w:pos="9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AMES OF REPORTING PERSONS</w:t>
      </w:r>
    </w:p>
    <w:p>
      <w:pPr>
        <w:spacing w:after="0" w:line="7" w:lineRule="exact"/>
        <w:rPr>
          <w:rFonts w:ascii="Times New Roman" w:cs="Times New Roman" w:eastAsia="Times New Roman" w:hAnsi="Times New Roman"/>
          <w:sz w:val="18"/>
          <w:szCs w:val="18"/>
          <w:b w:val="1"/>
          <w:bCs w:val="1"/>
          <w:color w:val="auto"/>
        </w:rPr>
      </w:pPr>
    </w:p>
    <w:p>
      <w:pPr>
        <w:ind w:left="9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I.R.S. </w:t>
      </w:r>
      <w:r>
        <w:rPr>
          <w:rFonts w:ascii="Times New Roman" w:cs="Times New Roman" w:eastAsia="Times New Roman" w:hAnsi="Times New Roman"/>
          <w:sz w:val="12"/>
          <w:szCs w:val="12"/>
          <w:b w:val="1"/>
          <w:bCs w:val="1"/>
          <w:color w:val="auto"/>
        </w:rPr>
        <w:t>IDENTIFICATION NOS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b w:val="1"/>
          <w:bCs w:val="1"/>
          <w:color w:val="auto"/>
        </w:rPr>
        <w:t>OF ABOVE PERSONS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b w:val="1"/>
          <w:bCs w:val="1"/>
          <w:color w:val="auto"/>
        </w:rPr>
        <w:t>ENTITIES ONLY</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00" w:type="dxa"/>
            <w:vAlign w:val="bottom"/>
            <w:tcBorders>
              <w:bottom w:val="single" w:sz="8" w:color="auto"/>
            </w:tcBorders>
          </w:tcPr>
          <w:p>
            <w:pPr>
              <w:spacing w:after="0"/>
              <w:rPr>
                <w:sz w:val="21"/>
                <w:szCs w:val="21"/>
                <w:color w:val="auto"/>
              </w:rPr>
            </w:pPr>
          </w:p>
        </w:tc>
        <w:tc>
          <w:tcPr>
            <w:tcW w:w="5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Teton Advisors, Inc.</w:t>
            </w:r>
          </w:p>
        </w:tc>
        <w:tc>
          <w:tcPr>
            <w:tcW w:w="456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8"/>
                <w:szCs w:val="18"/>
                <w:b w:val="1"/>
                <w:bCs w:val="1"/>
                <w:color w:val="auto"/>
              </w:rPr>
              <w:t>I.D. 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13-4008049</w:t>
            </w:r>
          </w:p>
        </w:tc>
      </w:tr>
      <w:tr>
        <w:trPr>
          <w:trHeight w:val="238"/>
        </w:trPr>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w:t>
            </w:r>
          </w:p>
        </w:tc>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HECK THE APPROPRIATE BOX IF A MEMBER OF A GROUP</w:t>
            </w:r>
            <w:r>
              <w:rPr>
                <w:rFonts w:ascii="Times New Roman" w:cs="Times New Roman" w:eastAsia="Times New Roman" w:hAnsi="Times New Roman"/>
                <w:sz w:val="18"/>
                <w:szCs w:val="18"/>
                <w:b w:val="1"/>
                <w:bCs w:val="1"/>
                <w:color w:val="auto"/>
              </w:rPr>
              <w:t xml:space="preserve"> (SEE INSTRUCTIONS)</w:t>
            </w:r>
          </w:p>
        </w:tc>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w:t>
            </w:r>
          </w:p>
        </w:tc>
      </w:tr>
    </w:tbl>
    <w:p>
      <w:pPr>
        <w:spacing w:after="0" w:line="387"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900" w:hanging="491"/>
        <w:spacing w:after="0"/>
        <w:tabs>
          <w:tab w:leader="none" w:pos="90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jc w:val="both"/>
        <w:ind w:left="900" w:right="7180" w:hanging="491"/>
        <w:spacing w:after="0" w:line="317" w:lineRule="auto"/>
        <w:tabs>
          <w:tab w:leader="none" w:pos="900"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OURCE OF FUNDS</w:t>
      </w:r>
      <w:r>
        <w:rPr>
          <w:rFonts w:ascii="Times New Roman" w:cs="Times New Roman" w:eastAsia="Times New Roman" w:hAnsi="Times New Roman"/>
          <w:sz w:val="17"/>
          <w:szCs w:val="17"/>
          <w:b w:val="1"/>
          <w:bCs w:val="1"/>
          <w:color w:val="auto"/>
        </w:rPr>
        <w:t xml:space="preserve"> (SEE INSTRUCTIONS) 00 – Funds of investment advisory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9" w:lineRule="exact"/>
        <w:rPr>
          <w:sz w:val="20"/>
          <w:szCs w:val="20"/>
          <w:color w:val="auto"/>
        </w:rPr>
      </w:pPr>
    </w:p>
    <w:p>
      <w:pPr>
        <w:ind w:left="900" w:hanging="491"/>
        <w:spacing w:after="0"/>
        <w:tabs>
          <w:tab w:leader="none" w:pos="90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HECK BOX IF DISCLOSURE OF LEGAL PROCEEDINGS IS REQUIRED PURSUANT TO ITEMS</w:t>
      </w:r>
      <w:r>
        <w:rPr>
          <w:rFonts w:ascii="Times New Roman" w:cs="Times New Roman" w:eastAsia="Times New Roman" w:hAnsi="Times New Roman"/>
          <w:sz w:val="18"/>
          <w:szCs w:val="18"/>
          <w:b w:val="1"/>
          <w:bCs w:val="1"/>
          <w:color w:val="auto"/>
        </w:rPr>
        <w:t xml:space="preserve"> 2 (d) </w:t>
      </w:r>
      <w:r>
        <w:rPr>
          <w:rFonts w:ascii="Times New Roman" w:cs="Times New Roman" w:eastAsia="Times New Roman" w:hAnsi="Times New Roman"/>
          <w:sz w:val="12"/>
          <w:szCs w:val="12"/>
          <w:b w:val="1"/>
          <w:bCs w:val="1"/>
          <w:color w:val="auto"/>
        </w:rPr>
        <w:t>OR</w:t>
      </w:r>
      <w:r>
        <w:rPr>
          <w:rFonts w:ascii="Times New Roman" w:cs="Times New Roman" w:eastAsia="Times New Roman" w:hAnsi="Times New Roman"/>
          <w:sz w:val="18"/>
          <w:szCs w:val="18"/>
          <w:b w:val="1"/>
          <w:bCs w:val="1"/>
          <w:color w:val="auto"/>
        </w:rPr>
        <w:t xml:space="preserve">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900" w:hanging="491"/>
        <w:spacing w:after="0"/>
        <w:tabs>
          <w:tab w:leader="none" w:pos="90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ITIZENSHIP OR PLACE OF ORGANIZATION</w:t>
      </w:r>
    </w:p>
    <w:p>
      <w:pPr>
        <w:spacing w:after="0" w:line="3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UMBER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p>
        </w:tc>
        <w:tc>
          <w:tcPr>
            <w:tcW w:w="1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 7</w:t>
            </w:r>
          </w:p>
        </w:tc>
        <w:tc>
          <w:tcPr>
            <w:tcW w:w="6440" w:type="dxa"/>
            <w:vAlign w:val="bottom"/>
            <w:tcBorders>
              <w:top w:val="single" w:sz="8" w:color="auto"/>
            </w:tcBorders>
          </w:tcPr>
          <w:p>
            <w:pPr>
              <w:ind w:left="114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OLE VOTING POWER</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HARES</w:t>
            </w:r>
          </w:p>
        </w:tc>
        <w:tc>
          <w:tcPr>
            <w:tcW w:w="1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34,300 (Item 5)</w:t>
            </w:r>
          </w:p>
        </w:tc>
        <w:tc>
          <w:tcPr>
            <w:tcW w:w="0" w:type="dxa"/>
            <w:vAlign w:val="bottom"/>
          </w:tcPr>
          <w:p>
            <w:pPr>
              <w:spacing w:after="0"/>
              <w:rPr>
                <w:sz w:val="1"/>
                <w:szCs w:val="1"/>
                <w:color w:val="auto"/>
              </w:rPr>
            </w:pPr>
          </w:p>
        </w:tc>
      </w:tr>
      <w:tr>
        <w:trPr>
          <w:trHeight w:val="245"/>
        </w:trPr>
        <w:tc>
          <w:tcPr>
            <w:tcW w:w="3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ENEFICIALLY</w:t>
            </w: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420" w:type="dxa"/>
            <w:vAlign w:val="bottom"/>
            <w:vMerge w:val="continue"/>
          </w:tcPr>
          <w:p>
            <w:pPr>
              <w:spacing w:after="0"/>
              <w:rPr>
                <w:sz w:val="16"/>
                <w:szCs w:val="16"/>
                <w:color w:val="auto"/>
              </w:rPr>
            </w:pPr>
          </w:p>
        </w:tc>
        <w:tc>
          <w:tcPr>
            <w:tcW w:w="13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 8</w:t>
            </w:r>
          </w:p>
        </w:tc>
        <w:tc>
          <w:tcPr>
            <w:tcW w:w="6440" w:type="dxa"/>
            <w:vAlign w:val="bottom"/>
          </w:tcPr>
          <w:p>
            <w:pPr>
              <w:ind w:left="1140"/>
              <w:spacing w:after="0" w:line="194" w:lineRule="exact"/>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HARED VOTING POWER</w:t>
            </w:r>
          </w:p>
        </w:tc>
        <w:tc>
          <w:tcPr>
            <w:tcW w:w="0" w:type="dxa"/>
            <w:vAlign w:val="bottom"/>
          </w:tcPr>
          <w:p>
            <w:pPr>
              <w:spacing w:after="0"/>
              <w:rPr>
                <w:sz w:val="1"/>
                <w:szCs w:val="1"/>
                <w:color w:val="auto"/>
              </w:rPr>
            </w:pPr>
          </w:p>
        </w:tc>
      </w:tr>
      <w:tr>
        <w:trPr>
          <w:trHeight w:val="216"/>
        </w:trPr>
        <w:tc>
          <w:tcPr>
            <w:tcW w:w="3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WNED</w:t>
            </w:r>
          </w:p>
        </w:tc>
        <w:tc>
          <w:tcPr>
            <w:tcW w:w="1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vMerge w:val="continue"/>
          </w:tcPr>
          <w:p>
            <w:pPr>
              <w:spacing w:after="0"/>
              <w:rPr>
                <w:sz w:val="18"/>
                <w:szCs w:val="18"/>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ONE</w:t>
            </w:r>
          </w:p>
        </w:tc>
        <w:tc>
          <w:tcPr>
            <w:tcW w:w="0" w:type="dxa"/>
            <w:vAlign w:val="bottom"/>
          </w:tcPr>
          <w:p>
            <w:pPr>
              <w:spacing w:after="0"/>
              <w:rPr>
                <w:sz w:val="1"/>
                <w:szCs w:val="1"/>
                <w:color w:val="auto"/>
              </w:rPr>
            </w:pPr>
          </w:p>
        </w:tc>
      </w:tr>
      <w:tr>
        <w:trPr>
          <w:trHeight w:val="245"/>
        </w:trPr>
        <w:tc>
          <w:tcPr>
            <w:tcW w:w="3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Y</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ACH</w:t>
            </w: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420" w:type="dxa"/>
            <w:vAlign w:val="bottom"/>
            <w:vMerge w:val="continue"/>
          </w:tcPr>
          <w:p>
            <w:pPr>
              <w:spacing w:after="0"/>
              <w:rPr>
                <w:sz w:val="16"/>
                <w:szCs w:val="16"/>
                <w:color w:val="auto"/>
              </w:rPr>
            </w:pPr>
          </w:p>
        </w:tc>
        <w:tc>
          <w:tcPr>
            <w:tcW w:w="13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 9</w:t>
            </w:r>
          </w:p>
        </w:tc>
        <w:tc>
          <w:tcPr>
            <w:tcW w:w="6440" w:type="dxa"/>
            <w:vAlign w:val="bottom"/>
          </w:tcPr>
          <w:p>
            <w:pPr>
              <w:ind w:left="1140"/>
              <w:spacing w:after="0" w:line="194" w:lineRule="exact"/>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OLE DISPOSITIVE POWER</w:t>
            </w:r>
          </w:p>
        </w:tc>
        <w:tc>
          <w:tcPr>
            <w:tcW w:w="0" w:type="dxa"/>
            <w:vAlign w:val="bottom"/>
          </w:tcPr>
          <w:p>
            <w:pPr>
              <w:spacing w:after="0"/>
              <w:rPr>
                <w:sz w:val="1"/>
                <w:szCs w:val="1"/>
                <w:color w:val="auto"/>
              </w:rPr>
            </w:pPr>
          </w:p>
        </w:tc>
      </w:tr>
      <w:tr>
        <w:trPr>
          <w:trHeight w:val="216"/>
        </w:trPr>
        <w:tc>
          <w:tcPr>
            <w:tcW w:w="3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EPORTING</w:t>
            </w:r>
          </w:p>
        </w:tc>
        <w:tc>
          <w:tcPr>
            <w:tcW w:w="1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vMerge w:val="continue"/>
          </w:tcPr>
          <w:p>
            <w:pPr>
              <w:spacing w:after="0"/>
              <w:rPr>
                <w:sz w:val="18"/>
                <w:szCs w:val="18"/>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34,300 (Item 5)</w:t>
            </w:r>
          </w:p>
        </w:tc>
        <w:tc>
          <w:tcPr>
            <w:tcW w:w="0" w:type="dxa"/>
            <w:vAlign w:val="bottom"/>
          </w:tcPr>
          <w:p>
            <w:pPr>
              <w:spacing w:after="0"/>
              <w:rPr>
                <w:sz w:val="1"/>
                <w:szCs w:val="1"/>
                <w:color w:val="auto"/>
              </w:rPr>
            </w:pPr>
          </w:p>
        </w:tc>
      </w:tr>
      <w:tr>
        <w:trPr>
          <w:trHeight w:val="245"/>
        </w:trPr>
        <w:tc>
          <w:tcPr>
            <w:tcW w:w="3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w:t>
            </w:r>
            <w:r>
              <w:rPr>
                <w:rFonts w:ascii="Times New Roman" w:cs="Times New Roman" w:eastAsia="Times New Roman" w:hAnsi="Times New Roman"/>
                <w:sz w:val="12"/>
                <w:szCs w:val="12"/>
                <w:b w:val="1"/>
                <w:bCs w:val="1"/>
                <w:color w:val="auto"/>
                <w:w w:val="99"/>
              </w:rPr>
              <w:t>ERSON</w:t>
            </w: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3420" w:type="dxa"/>
            <w:vAlign w:val="bottom"/>
            <w:vMerge w:val="continue"/>
          </w:tcPr>
          <w:p>
            <w:pPr>
              <w:spacing w:after="0"/>
              <w:rPr>
                <w:sz w:val="11"/>
                <w:szCs w:val="11"/>
                <w:color w:val="auto"/>
              </w:rPr>
            </w:pPr>
          </w:p>
        </w:tc>
        <w:tc>
          <w:tcPr>
            <w:tcW w:w="1380" w:type="dxa"/>
            <w:vAlign w:val="bottom"/>
            <w:vMerge w:val="restart"/>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:10</w:t>
            </w:r>
          </w:p>
        </w:tc>
        <w:tc>
          <w:tcPr>
            <w:tcW w:w="6440" w:type="dxa"/>
            <w:vAlign w:val="bottom"/>
            <w:vMerge w:val="restart"/>
          </w:tcPr>
          <w:p>
            <w:pPr>
              <w:ind w:left="1140"/>
              <w:spacing w:after="0" w:line="194" w:lineRule="exact"/>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HARED DISPOSITIVE POWER</w:t>
            </w:r>
          </w:p>
        </w:tc>
        <w:tc>
          <w:tcPr>
            <w:tcW w:w="0" w:type="dxa"/>
            <w:vAlign w:val="bottom"/>
          </w:tcPr>
          <w:p>
            <w:pPr>
              <w:spacing w:after="0"/>
              <w:rPr>
                <w:sz w:val="1"/>
                <w:szCs w:val="1"/>
                <w:color w:val="auto"/>
              </w:rPr>
            </w:pPr>
          </w:p>
        </w:tc>
      </w:tr>
      <w:tr>
        <w:trPr>
          <w:trHeight w:val="59"/>
        </w:trPr>
        <w:tc>
          <w:tcPr>
            <w:tcW w:w="342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6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w:t>
            </w:r>
            <w:r>
              <w:rPr>
                <w:rFonts w:ascii="Times New Roman" w:cs="Times New Roman" w:eastAsia="Times New Roman" w:hAnsi="Times New Roman"/>
                <w:sz w:val="12"/>
                <w:szCs w:val="12"/>
                <w:b w:val="1"/>
                <w:bCs w:val="1"/>
                <w:color w:val="auto"/>
                <w:w w:val="99"/>
              </w:rPr>
              <w:t>ITH</w:t>
            </w:r>
          </w:p>
        </w:tc>
        <w:tc>
          <w:tcPr>
            <w:tcW w:w="1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420" w:type="dxa"/>
            <w:vAlign w:val="bottom"/>
            <w:vMerge w:val="continue"/>
          </w:tcPr>
          <w:p>
            <w:pPr>
              <w:spacing w:after="0"/>
              <w:rPr>
                <w:sz w:val="13"/>
                <w:szCs w:val="13"/>
                <w:color w:val="auto"/>
              </w:rPr>
            </w:pPr>
          </w:p>
        </w:tc>
        <w:tc>
          <w:tcPr>
            <w:tcW w:w="1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vMerge w:val="restart"/>
          </w:tcPr>
          <w:p>
            <w:pPr>
              <w:ind w:left="114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ONE</w:t>
            </w:r>
          </w:p>
        </w:tc>
        <w:tc>
          <w:tcPr>
            <w:tcW w:w="0" w:type="dxa"/>
            <w:vAlign w:val="bottom"/>
          </w:tcPr>
          <w:p>
            <w:pPr>
              <w:spacing w:after="0"/>
              <w:rPr>
                <w:sz w:val="1"/>
                <w:szCs w:val="1"/>
                <w:color w:val="auto"/>
              </w:rPr>
            </w:pPr>
          </w:p>
        </w:tc>
      </w:tr>
      <w:tr>
        <w:trPr>
          <w:trHeight w:val="59"/>
        </w:trPr>
        <w:tc>
          <w:tcPr>
            <w:tcW w:w="342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6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342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900" w:hanging="892"/>
        <w:spacing w:after="0"/>
        <w:tabs>
          <w:tab w:leader="none" w:pos="9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GGREGATE AMOUNT BENEFICIALLY OWNED BY EACH REPORTING PERSON</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34,300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900" w:hanging="892"/>
        <w:spacing w:after="0"/>
        <w:tabs>
          <w:tab w:leader="none" w:pos="9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HECK BOX IF THE AGGREGATE AMOUNT IN ROW</w:t>
      </w:r>
      <w:r>
        <w:rPr>
          <w:rFonts w:ascii="Times New Roman" w:cs="Times New Roman" w:eastAsia="Times New Roman" w:hAnsi="Times New Roman"/>
          <w:sz w:val="18"/>
          <w:szCs w:val="18"/>
          <w:b w:val="1"/>
          <w:bCs w:val="1"/>
          <w:color w:val="auto"/>
        </w:rPr>
        <w:t xml:space="preserve"> (11) </w:t>
      </w:r>
      <w:r>
        <w:rPr>
          <w:rFonts w:ascii="Times New Roman" w:cs="Times New Roman" w:eastAsia="Times New Roman" w:hAnsi="Times New Roman"/>
          <w:sz w:val="12"/>
          <w:szCs w:val="12"/>
          <w:b w:val="1"/>
          <w:bCs w:val="1"/>
          <w:color w:val="auto"/>
        </w:rPr>
        <w:t>EXCLUDES CERTAIN SHARES</w:t>
      </w:r>
    </w:p>
    <w:p>
      <w:pPr>
        <w:spacing w:after="0" w:line="3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900" w:hanging="892"/>
        <w:spacing w:after="0"/>
        <w:tabs>
          <w:tab w:leader="none" w:pos="90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ERCENT OF CLASS REPRESENTED BY AMOUNT IN ROW</w:t>
      </w:r>
      <w:r>
        <w:rPr>
          <w:rFonts w:ascii="Times New Roman" w:cs="Times New Roman" w:eastAsia="Times New Roman" w:hAnsi="Times New Roman"/>
          <w:sz w:val="18"/>
          <w:szCs w:val="18"/>
          <w:b w:val="1"/>
          <w:bCs w:val="1"/>
          <w:color w:val="auto"/>
        </w:rPr>
        <w:t xml:space="preserve"> (11)</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0.64%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900" w:hanging="892"/>
        <w:spacing w:after="0"/>
        <w:tabs>
          <w:tab w:leader="none" w:pos="90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YPE OF REPORTING PERSON</w:t>
      </w:r>
      <w:r>
        <w:rPr>
          <w:rFonts w:ascii="Times New Roman" w:cs="Times New Roman" w:eastAsia="Times New Roman" w:hAnsi="Times New Roman"/>
          <w:sz w:val="18"/>
          <w:szCs w:val="18"/>
          <w:b w:val="1"/>
          <w:bCs w:val="1"/>
          <w:color w:val="auto"/>
        </w:rPr>
        <w:t xml:space="preserve"> (SEE INSTRUCTIONS)</w:t>
      </w:r>
    </w:p>
    <w:p>
      <w:pPr>
        <w:spacing w:after="0" w:line="3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IA,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CUSIP No. 677864100</w:t>
      </w:r>
    </w:p>
    <w:p>
      <w:pPr>
        <w:spacing w:after="0" w:line="23" w:lineRule="exact"/>
        <w:rPr>
          <w:sz w:val="20"/>
          <w:szCs w:val="20"/>
          <w:color w:val="auto"/>
        </w:rPr>
      </w:pPr>
    </w:p>
    <w:p>
      <w:pPr>
        <w:ind w:left="880" w:hanging="478"/>
        <w:spacing w:after="0"/>
        <w:tabs>
          <w:tab w:leader="none" w:pos="8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AMES OF REPORTING PERSONS</w:t>
      </w:r>
    </w:p>
    <w:p>
      <w:pPr>
        <w:spacing w:after="0" w:line="7" w:lineRule="exact"/>
        <w:rPr>
          <w:rFonts w:ascii="Times New Roman" w:cs="Times New Roman" w:eastAsia="Times New Roman" w:hAnsi="Times New Roman"/>
          <w:sz w:val="18"/>
          <w:szCs w:val="18"/>
          <w:b w:val="1"/>
          <w:bCs w:val="1"/>
          <w:color w:val="auto"/>
        </w:rPr>
      </w:pPr>
    </w:p>
    <w:p>
      <w:pPr>
        <w:ind w:left="8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I.R.S. </w:t>
      </w:r>
      <w:r>
        <w:rPr>
          <w:rFonts w:ascii="Times New Roman" w:cs="Times New Roman" w:eastAsia="Times New Roman" w:hAnsi="Times New Roman"/>
          <w:sz w:val="12"/>
          <w:szCs w:val="12"/>
          <w:b w:val="1"/>
          <w:bCs w:val="1"/>
          <w:color w:val="auto"/>
        </w:rPr>
        <w:t>IDENTIFICATION NOS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b w:val="1"/>
          <w:bCs w:val="1"/>
          <w:color w:val="auto"/>
        </w:rPr>
        <w:t>OF ABOVE PERSONS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b w:val="1"/>
          <w:bCs w:val="1"/>
          <w:color w:val="auto"/>
        </w:rPr>
        <w:t>ENTITIES ONLY</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80" w:type="dxa"/>
            <w:vAlign w:val="bottom"/>
            <w:tcBorders>
              <w:bottom w:val="single" w:sz="8" w:color="auto"/>
            </w:tcBorders>
          </w:tcPr>
          <w:p>
            <w:pPr>
              <w:spacing w:after="0"/>
              <w:rPr>
                <w:sz w:val="21"/>
                <w:szCs w:val="21"/>
                <w:color w:val="auto"/>
              </w:rPr>
            </w:pPr>
          </w:p>
        </w:tc>
        <w:tc>
          <w:tcPr>
            <w:tcW w:w="56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GGCP, Inc.</w:t>
            </w:r>
          </w:p>
        </w:tc>
        <w:tc>
          <w:tcPr>
            <w:tcW w:w="4960" w:type="dxa"/>
            <w:vAlign w:val="bottom"/>
            <w:tcBorders>
              <w:bottom w:val="single" w:sz="8" w:color="auto"/>
            </w:tcBorders>
          </w:tcPr>
          <w:p>
            <w:pPr>
              <w:ind w:left="2440"/>
              <w:spacing w:after="0"/>
              <w:rPr>
                <w:sz w:val="20"/>
                <w:szCs w:val="20"/>
                <w:color w:val="auto"/>
              </w:rPr>
            </w:pPr>
            <w:r>
              <w:rPr>
                <w:rFonts w:ascii="Times New Roman" w:cs="Times New Roman" w:eastAsia="Times New Roman" w:hAnsi="Times New Roman"/>
                <w:sz w:val="18"/>
                <w:szCs w:val="18"/>
                <w:b w:val="1"/>
                <w:bCs w:val="1"/>
                <w:color w:val="auto"/>
              </w:rPr>
              <w:t>I.D. 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13-3056041</w:t>
            </w:r>
          </w:p>
        </w:tc>
      </w:tr>
      <w:tr>
        <w:trPr>
          <w:trHeight w:val="238"/>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w:t>
            </w:r>
          </w:p>
        </w:tc>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HECK THE APPROPRIATE BOX IF A MEMBER OF A GROUP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(SEE INSTRUCTIONS)</w:t>
            </w:r>
          </w:p>
        </w:tc>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w:t>
            </w:r>
          </w:p>
        </w:tc>
      </w:tr>
    </w:tbl>
    <w:p>
      <w:pPr>
        <w:spacing w:after="0" w:line="387"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880" w:hanging="478"/>
        <w:spacing w:after="0"/>
        <w:tabs>
          <w:tab w:leader="none" w:pos="8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880" w:hanging="478"/>
        <w:spacing w:after="0"/>
        <w:tabs>
          <w:tab w:leader="none" w:pos="8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4"/>
          <w:szCs w:val="14"/>
          <w:b w:val="1"/>
          <w:bCs w:val="1"/>
          <w:color w:val="auto"/>
        </w:rPr>
        <w:t>(SEE INSTRUCTIONS)</w:t>
      </w:r>
    </w:p>
    <w:p>
      <w:pPr>
        <w:spacing w:after="0" w:line="3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ind w:left="880" w:hanging="478"/>
        <w:spacing w:after="0"/>
        <w:tabs>
          <w:tab w:leader="none" w:pos="8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HECK BOX IF DISCLOSURE OF LEGAL PROCEEDINGS IS REQUIRED PURSUANT TO ITEMS</w:t>
      </w:r>
      <w:r>
        <w:rPr>
          <w:rFonts w:ascii="Times New Roman" w:cs="Times New Roman" w:eastAsia="Times New Roman" w:hAnsi="Times New Roman"/>
          <w:sz w:val="18"/>
          <w:szCs w:val="18"/>
          <w:b w:val="1"/>
          <w:bCs w:val="1"/>
          <w:color w:val="auto"/>
        </w:rPr>
        <w:t xml:space="preserve"> 2 (d) </w:t>
      </w:r>
      <w:r>
        <w:rPr>
          <w:rFonts w:ascii="Times New Roman" w:cs="Times New Roman" w:eastAsia="Times New Roman" w:hAnsi="Times New Roman"/>
          <w:sz w:val="12"/>
          <w:szCs w:val="12"/>
          <w:b w:val="1"/>
          <w:bCs w:val="1"/>
          <w:color w:val="auto"/>
        </w:rPr>
        <w:t>OR</w:t>
      </w:r>
      <w:r>
        <w:rPr>
          <w:rFonts w:ascii="Times New Roman" w:cs="Times New Roman" w:eastAsia="Times New Roman" w:hAnsi="Times New Roman"/>
          <w:sz w:val="18"/>
          <w:szCs w:val="18"/>
          <w:b w:val="1"/>
          <w:bCs w:val="1"/>
          <w:color w:val="auto"/>
        </w:rPr>
        <w:t xml:space="preserve">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880" w:hanging="478"/>
        <w:spacing w:after="0"/>
        <w:tabs>
          <w:tab w:leader="none" w:pos="8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ITIZENSHIP OR PLACE OF ORGANIZATION</w:t>
      </w:r>
    </w:p>
    <w:p>
      <w:pPr>
        <w:spacing w:after="0" w:line="3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Wyoming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UMBER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p>
        </w:tc>
        <w:tc>
          <w:tcPr>
            <w:tcW w:w="1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7</w:t>
            </w:r>
          </w:p>
        </w:tc>
        <w:tc>
          <w:tcPr>
            <w:tcW w:w="6440" w:type="dxa"/>
            <w:vAlign w:val="bottom"/>
            <w:tcBorders>
              <w:top w:val="single" w:sz="8" w:color="auto"/>
            </w:tcBorders>
          </w:tcPr>
          <w:p>
            <w:pPr>
              <w:ind w:left="114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OLE VOTING POWER</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HARES</w:t>
            </w: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None</w:t>
            </w:r>
          </w:p>
        </w:tc>
        <w:tc>
          <w:tcPr>
            <w:tcW w:w="0" w:type="dxa"/>
            <w:vAlign w:val="bottom"/>
          </w:tcPr>
          <w:p>
            <w:pPr>
              <w:spacing w:after="0"/>
              <w:rPr>
                <w:sz w:val="1"/>
                <w:szCs w:val="1"/>
                <w:color w:val="auto"/>
              </w:rPr>
            </w:pPr>
          </w:p>
        </w:tc>
      </w:tr>
      <w:tr>
        <w:trPr>
          <w:trHeight w:val="245"/>
        </w:trPr>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w:t>
            </w:r>
            <w:r>
              <w:rPr>
                <w:rFonts w:ascii="Times New Roman" w:cs="Times New Roman" w:eastAsia="Times New Roman" w:hAnsi="Times New Roman"/>
                <w:sz w:val="12"/>
                <w:szCs w:val="12"/>
                <w:b w:val="1"/>
                <w:bCs w:val="1"/>
                <w:color w:val="auto"/>
                <w:w w:val="98"/>
              </w:rPr>
              <w:t>ENEFICIALLY</w:t>
            </w:r>
          </w:p>
        </w:tc>
        <w:tc>
          <w:tcPr>
            <w:tcW w:w="1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400" w:type="dxa"/>
            <w:vAlign w:val="bottom"/>
            <w:vMerge w:val="continue"/>
          </w:tcPr>
          <w:p>
            <w:pPr>
              <w:spacing w:after="0"/>
              <w:rPr>
                <w:sz w:val="16"/>
                <w:szCs w:val="16"/>
                <w:color w:val="auto"/>
              </w:rPr>
            </w:pPr>
          </w:p>
        </w:tc>
        <w:tc>
          <w:tcPr>
            <w:tcW w:w="14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 8</w:t>
            </w:r>
          </w:p>
        </w:tc>
        <w:tc>
          <w:tcPr>
            <w:tcW w:w="6440" w:type="dxa"/>
            <w:vAlign w:val="bottom"/>
          </w:tcPr>
          <w:p>
            <w:pPr>
              <w:ind w:left="1140"/>
              <w:spacing w:after="0" w:line="194" w:lineRule="exact"/>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HARED VOTING POWER</w:t>
            </w:r>
          </w:p>
        </w:tc>
        <w:tc>
          <w:tcPr>
            <w:tcW w:w="0" w:type="dxa"/>
            <w:vAlign w:val="bottom"/>
          </w:tcPr>
          <w:p>
            <w:pPr>
              <w:spacing w:after="0"/>
              <w:rPr>
                <w:sz w:val="1"/>
                <w:szCs w:val="1"/>
                <w:color w:val="auto"/>
              </w:rPr>
            </w:pPr>
          </w:p>
        </w:tc>
      </w:tr>
      <w:tr>
        <w:trPr>
          <w:trHeight w:val="216"/>
        </w:trPr>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w:t>
            </w:r>
            <w:r>
              <w:rPr>
                <w:rFonts w:ascii="Times New Roman" w:cs="Times New Roman" w:eastAsia="Times New Roman" w:hAnsi="Times New Roman"/>
                <w:sz w:val="12"/>
                <w:szCs w:val="12"/>
                <w:b w:val="1"/>
                <w:bCs w:val="1"/>
                <w:color w:val="auto"/>
                <w:w w:val="97"/>
              </w:rPr>
              <w:t>WNED</w:t>
            </w: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vMerge w:val="continue"/>
          </w:tcPr>
          <w:p>
            <w:pPr>
              <w:spacing w:after="0"/>
              <w:rPr>
                <w:sz w:val="18"/>
                <w:szCs w:val="18"/>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ONE</w:t>
            </w:r>
          </w:p>
        </w:tc>
        <w:tc>
          <w:tcPr>
            <w:tcW w:w="0" w:type="dxa"/>
            <w:vAlign w:val="bottom"/>
          </w:tcPr>
          <w:p>
            <w:pPr>
              <w:spacing w:after="0"/>
              <w:rPr>
                <w:sz w:val="1"/>
                <w:szCs w:val="1"/>
                <w:color w:val="auto"/>
              </w:rPr>
            </w:pPr>
          </w:p>
        </w:tc>
      </w:tr>
      <w:tr>
        <w:trPr>
          <w:trHeight w:val="245"/>
        </w:trPr>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Y</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ACH</w:t>
            </w:r>
          </w:p>
        </w:tc>
        <w:tc>
          <w:tcPr>
            <w:tcW w:w="1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400" w:type="dxa"/>
            <w:vAlign w:val="bottom"/>
            <w:vMerge w:val="continue"/>
          </w:tcPr>
          <w:p>
            <w:pPr>
              <w:spacing w:after="0"/>
              <w:rPr>
                <w:sz w:val="16"/>
                <w:szCs w:val="16"/>
                <w:color w:val="auto"/>
              </w:rPr>
            </w:pPr>
          </w:p>
        </w:tc>
        <w:tc>
          <w:tcPr>
            <w:tcW w:w="14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 9</w:t>
            </w:r>
          </w:p>
        </w:tc>
        <w:tc>
          <w:tcPr>
            <w:tcW w:w="6440" w:type="dxa"/>
            <w:vAlign w:val="bottom"/>
          </w:tcPr>
          <w:p>
            <w:pPr>
              <w:ind w:left="1140"/>
              <w:spacing w:after="0" w:line="194" w:lineRule="exact"/>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OLE DISPOSITIVE POWER</w:t>
            </w:r>
          </w:p>
        </w:tc>
        <w:tc>
          <w:tcPr>
            <w:tcW w:w="0" w:type="dxa"/>
            <w:vAlign w:val="bottom"/>
          </w:tcPr>
          <w:p>
            <w:pPr>
              <w:spacing w:after="0"/>
              <w:rPr>
                <w:sz w:val="1"/>
                <w:szCs w:val="1"/>
                <w:color w:val="auto"/>
              </w:rPr>
            </w:pPr>
          </w:p>
        </w:tc>
      </w:tr>
      <w:tr>
        <w:trPr>
          <w:trHeight w:val="216"/>
        </w:trPr>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EPORTING</w:t>
            </w: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vMerge w:val="continue"/>
          </w:tcPr>
          <w:p>
            <w:pPr>
              <w:spacing w:after="0"/>
              <w:rPr>
                <w:sz w:val="18"/>
                <w:szCs w:val="18"/>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ONE</w:t>
            </w:r>
          </w:p>
        </w:tc>
        <w:tc>
          <w:tcPr>
            <w:tcW w:w="0" w:type="dxa"/>
            <w:vAlign w:val="bottom"/>
          </w:tcPr>
          <w:p>
            <w:pPr>
              <w:spacing w:after="0"/>
              <w:rPr>
                <w:sz w:val="1"/>
                <w:szCs w:val="1"/>
                <w:color w:val="auto"/>
              </w:rPr>
            </w:pPr>
          </w:p>
        </w:tc>
      </w:tr>
      <w:tr>
        <w:trPr>
          <w:trHeight w:val="245"/>
        </w:trPr>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ERSON</w:t>
            </w:r>
          </w:p>
        </w:tc>
        <w:tc>
          <w:tcPr>
            <w:tcW w:w="1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3400" w:type="dxa"/>
            <w:vAlign w:val="bottom"/>
            <w:vMerge w:val="continue"/>
          </w:tcPr>
          <w:p>
            <w:pPr>
              <w:spacing w:after="0"/>
              <w:rPr>
                <w:sz w:val="11"/>
                <w:szCs w:val="11"/>
                <w:color w:val="auto"/>
              </w:rPr>
            </w:pPr>
          </w:p>
        </w:tc>
        <w:tc>
          <w:tcPr>
            <w:tcW w:w="1400" w:type="dxa"/>
            <w:vAlign w:val="bottom"/>
            <w:vMerge w:val="restart"/>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:10</w:t>
            </w:r>
          </w:p>
        </w:tc>
        <w:tc>
          <w:tcPr>
            <w:tcW w:w="6440" w:type="dxa"/>
            <w:vAlign w:val="bottom"/>
            <w:vMerge w:val="restart"/>
          </w:tcPr>
          <w:p>
            <w:pPr>
              <w:ind w:left="1140"/>
              <w:spacing w:after="0" w:line="194" w:lineRule="exact"/>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HARED DISPOSITIVE POWER</w:t>
            </w:r>
          </w:p>
        </w:tc>
        <w:tc>
          <w:tcPr>
            <w:tcW w:w="0" w:type="dxa"/>
            <w:vAlign w:val="bottom"/>
          </w:tcPr>
          <w:p>
            <w:pPr>
              <w:spacing w:after="0"/>
              <w:rPr>
                <w:sz w:val="1"/>
                <w:szCs w:val="1"/>
                <w:color w:val="auto"/>
              </w:rPr>
            </w:pPr>
          </w:p>
        </w:tc>
      </w:tr>
      <w:tr>
        <w:trPr>
          <w:trHeight w:val="59"/>
        </w:trPr>
        <w:tc>
          <w:tcPr>
            <w:tcW w:w="340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6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ITH</w:t>
            </w: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400" w:type="dxa"/>
            <w:vAlign w:val="bottom"/>
            <w:vMerge w:val="continue"/>
          </w:tcPr>
          <w:p>
            <w:pPr>
              <w:spacing w:after="0"/>
              <w:rPr>
                <w:sz w:val="13"/>
                <w:szCs w:val="13"/>
                <w:color w:val="auto"/>
              </w:rPr>
            </w:pPr>
          </w:p>
        </w:tc>
        <w:tc>
          <w:tcPr>
            <w:tcW w:w="1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vMerge w:val="restart"/>
          </w:tcPr>
          <w:p>
            <w:pPr>
              <w:ind w:left="114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ONE</w:t>
            </w:r>
          </w:p>
        </w:tc>
        <w:tc>
          <w:tcPr>
            <w:tcW w:w="0" w:type="dxa"/>
            <w:vAlign w:val="bottom"/>
          </w:tcPr>
          <w:p>
            <w:pPr>
              <w:spacing w:after="0"/>
              <w:rPr>
                <w:sz w:val="1"/>
                <w:szCs w:val="1"/>
                <w:color w:val="auto"/>
              </w:rPr>
            </w:pPr>
          </w:p>
        </w:tc>
      </w:tr>
      <w:tr>
        <w:trPr>
          <w:trHeight w:val="59"/>
        </w:trPr>
        <w:tc>
          <w:tcPr>
            <w:tcW w:w="340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6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3400" w:type="dxa"/>
            <w:vAlign w:val="bottom"/>
          </w:tcPr>
          <w:p>
            <w:pPr>
              <w:spacing w:after="0"/>
              <w:rPr>
                <w:sz w:val="20"/>
                <w:szCs w:val="20"/>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GGREGATE AMOUNT BENEFICIALLY OWNED BY EACH REPORTING PERSON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156845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HECK BOX IF THE AGGREGATE AMOUNT IN ROW</w:t>
      </w:r>
      <w:r>
        <w:rPr>
          <w:rFonts w:ascii="Times New Roman" w:cs="Times New Roman" w:eastAsia="Times New Roman" w:hAnsi="Times New Roman"/>
          <w:sz w:val="18"/>
          <w:szCs w:val="18"/>
          <w:b w:val="1"/>
          <w:bCs w:val="1"/>
          <w:color w:val="auto"/>
        </w:rPr>
        <w:t xml:space="preserve"> (11) </w:t>
      </w:r>
      <w:r>
        <w:rPr>
          <w:rFonts w:ascii="Times New Roman" w:cs="Times New Roman" w:eastAsia="Times New Roman" w:hAnsi="Times New Roman"/>
          <w:sz w:val="12"/>
          <w:szCs w:val="12"/>
          <w:b w:val="1"/>
          <w:bCs w:val="1"/>
          <w:color w:val="auto"/>
        </w:rPr>
        <w:t>EXCLUDES CERTAIN SHARES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(SEE INSTRUCTIONS)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459105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2" w:lineRule="exact"/>
        <w:rPr>
          <w:sz w:val="20"/>
          <w:szCs w:val="20"/>
          <w:color w:val="auto"/>
        </w:rPr>
      </w:pPr>
    </w:p>
    <w:p>
      <w:pPr>
        <w:sectPr>
          <w:pgSz w:w="11900" w:h="16838" w:orient="portrait"/>
          <w:cols w:equalWidth="0" w:num="2">
            <w:col w:w="180" w:space="700"/>
            <w:col w:w="10360"/>
          </w:cols>
          <w:pgMar w:left="320" w:top="351" w:right="339" w:bottom="1440" w:gutter="0" w:footer="0" w:header="0"/>
          <w:type w:val="continuous"/>
        </w:sectPr>
      </w:pPr>
    </w:p>
    <w:p>
      <w:pPr>
        <w:spacing w:after="0" w:line="370" w:lineRule="exact"/>
        <w:rPr>
          <w:sz w:val="20"/>
          <w:szCs w:val="20"/>
          <w:color w:val="auto"/>
        </w:rPr>
      </w:pPr>
    </w:p>
    <w:p>
      <w:pPr>
        <w:ind w:left="880" w:hanging="872"/>
        <w:spacing w:after="0"/>
        <w:tabs>
          <w:tab w:leader="none" w:pos="880" w:val="left"/>
        </w:tabs>
        <w:numPr>
          <w:ilvl w:val="0"/>
          <w:numId w:val="33"/>
        </w:numPr>
        <w:rPr>
          <w:rFonts w:ascii="Times New Roman" w:cs="Times New Roman" w:eastAsia="Times New Roman" w:hAnsi="Times New Roman"/>
          <w:sz w:val="29"/>
          <w:szCs w:val="29"/>
          <w:b w:val="1"/>
          <w:bCs w:val="1"/>
          <w:color w:val="auto"/>
          <w:vertAlign w:val="superscript"/>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ERCENT OF CLASS REPRESENTED BY AMOUNT IN ROW</w:t>
      </w:r>
      <w:r>
        <w:rPr>
          <w:rFonts w:ascii="Times New Roman" w:cs="Times New Roman" w:eastAsia="Times New Roman" w:hAnsi="Times New Roman"/>
          <w:sz w:val="18"/>
          <w:szCs w:val="18"/>
          <w:b w:val="1"/>
          <w:bCs w:val="1"/>
          <w:color w:val="auto"/>
        </w:rPr>
        <w:t xml:space="preserve"> (11)</w:t>
      </w:r>
    </w:p>
    <w:p>
      <w:pPr>
        <w:spacing w:after="0" w:line="1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9" w:lineRule="exact"/>
        <w:rPr>
          <w:sz w:val="20"/>
          <w:szCs w:val="20"/>
          <w:color w:val="auto"/>
        </w:rPr>
      </w:pPr>
    </w:p>
    <w:p>
      <w:pPr>
        <w:ind w:left="880" w:hanging="872"/>
        <w:spacing w:after="0"/>
        <w:tabs>
          <w:tab w:leader="none" w:pos="880" w:val="left"/>
        </w:tabs>
        <w:numPr>
          <w:ilvl w:val="0"/>
          <w:numId w:val="34"/>
        </w:numPr>
        <w:rPr>
          <w:rFonts w:ascii="Times New Roman" w:cs="Times New Roman" w:eastAsia="Times New Roman" w:hAnsi="Times New Roman"/>
          <w:sz w:val="29"/>
          <w:szCs w:val="29"/>
          <w:b w:val="1"/>
          <w:bCs w:val="1"/>
          <w:color w:val="auto"/>
          <w:vertAlign w:val="superscript"/>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YPE OF REPORTING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(SEE INSTRUCTIONS)</w:t>
      </w:r>
    </w:p>
    <w:p>
      <w:pPr>
        <w:spacing w:after="0" w:line="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HC,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CUSIP No. 677864100</w:t>
      </w:r>
    </w:p>
    <w:p>
      <w:pPr>
        <w:spacing w:after="0" w:line="20" w:lineRule="exact"/>
        <w:rPr>
          <w:sz w:val="20"/>
          <w:szCs w:val="20"/>
          <w:color w:val="auto"/>
        </w:rPr>
      </w:pPr>
    </w:p>
    <w:p>
      <w:pPr>
        <w:ind w:left="880" w:hanging="478"/>
        <w:spacing w:after="0"/>
        <w:tabs>
          <w:tab w:leader="none" w:pos="8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AMES OF REPORTING PERSONS</w:t>
      </w:r>
    </w:p>
    <w:p>
      <w:pPr>
        <w:spacing w:after="0" w:line="7" w:lineRule="exact"/>
        <w:rPr>
          <w:rFonts w:ascii="Times New Roman" w:cs="Times New Roman" w:eastAsia="Times New Roman" w:hAnsi="Times New Roman"/>
          <w:sz w:val="18"/>
          <w:szCs w:val="18"/>
          <w:b w:val="1"/>
          <w:bCs w:val="1"/>
          <w:color w:val="auto"/>
        </w:rPr>
      </w:pPr>
    </w:p>
    <w:p>
      <w:pPr>
        <w:ind w:left="8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I.R.S. </w:t>
      </w:r>
      <w:r>
        <w:rPr>
          <w:rFonts w:ascii="Times New Roman" w:cs="Times New Roman" w:eastAsia="Times New Roman" w:hAnsi="Times New Roman"/>
          <w:sz w:val="12"/>
          <w:szCs w:val="12"/>
          <w:b w:val="1"/>
          <w:bCs w:val="1"/>
          <w:color w:val="auto"/>
        </w:rPr>
        <w:t>IDENTIFICATION NOS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b w:val="1"/>
          <w:bCs w:val="1"/>
          <w:color w:val="auto"/>
        </w:rPr>
        <w:t>OF ABOVE PERSONS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b w:val="1"/>
          <w:bCs w:val="1"/>
          <w:color w:val="auto"/>
        </w:rPr>
        <w:t>ENTITIES ONLY</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80" w:type="dxa"/>
            <w:vAlign w:val="bottom"/>
            <w:tcBorders>
              <w:bottom w:val="single" w:sz="8" w:color="auto"/>
            </w:tcBorders>
          </w:tcPr>
          <w:p>
            <w:pPr>
              <w:spacing w:after="0"/>
              <w:rPr>
                <w:sz w:val="21"/>
                <w:szCs w:val="21"/>
                <w:color w:val="auto"/>
              </w:rPr>
            </w:pPr>
          </w:p>
        </w:tc>
        <w:tc>
          <w:tcPr>
            <w:tcW w:w="56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GAMCO Investors, Inc.</w:t>
            </w:r>
          </w:p>
        </w:tc>
        <w:tc>
          <w:tcPr>
            <w:tcW w:w="4960" w:type="dxa"/>
            <w:vAlign w:val="bottom"/>
            <w:tcBorders>
              <w:bottom w:val="single" w:sz="8" w:color="auto"/>
            </w:tcBorders>
          </w:tcPr>
          <w:p>
            <w:pPr>
              <w:ind w:left="2900"/>
              <w:spacing w:after="0"/>
              <w:rPr>
                <w:sz w:val="20"/>
                <w:szCs w:val="20"/>
                <w:color w:val="auto"/>
              </w:rPr>
            </w:pPr>
            <w:r>
              <w:rPr>
                <w:rFonts w:ascii="Times New Roman" w:cs="Times New Roman" w:eastAsia="Times New Roman" w:hAnsi="Times New Roman"/>
                <w:sz w:val="18"/>
                <w:szCs w:val="18"/>
                <w:b w:val="1"/>
                <w:bCs w:val="1"/>
                <w:color w:val="auto"/>
              </w:rPr>
              <w:t>I.D. 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13-4007862</w:t>
            </w:r>
          </w:p>
        </w:tc>
      </w:tr>
      <w:tr>
        <w:trPr>
          <w:trHeight w:val="238"/>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w:t>
            </w:r>
          </w:p>
        </w:tc>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HECK THE APPROPRIATE BOX IF A MEMBER OF A GROUP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(SEE INSTRUCTIONS)</w:t>
            </w:r>
          </w:p>
        </w:tc>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w:t>
            </w:r>
          </w:p>
        </w:tc>
      </w:tr>
    </w:tbl>
    <w:p>
      <w:pPr>
        <w:spacing w:after="0" w:line="387"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880" w:hanging="478"/>
        <w:spacing w:after="0"/>
        <w:tabs>
          <w:tab w:leader="none" w:pos="8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880" w:hanging="478"/>
        <w:spacing w:after="0"/>
        <w:tabs>
          <w:tab w:leader="none" w:pos="8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4"/>
          <w:szCs w:val="14"/>
          <w:b w:val="1"/>
          <w:bCs w:val="1"/>
          <w:color w:val="auto"/>
        </w:rPr>
        <w:t>(SEE INSTRUCTIONS)</w:t>
      </w:r>
    </w:p>
    <w:p>
      <w:pPr>
        <w:spacing w:after="0" w:line="3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ind w:left="880" w:hanging="478"/>
        <w:spacing w:after="0"/>
        <w:tabs>
          <w:tab w:leader="none" w:pos="8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HECK BOX IF DISCLOSURE OF LEGAL PROCEEDINGS IS REQUIRED PURSUANT TO ITEMS</w:t>
      </w:r>
      <w:r>
        <w:rPr>
          <w:rFonts w:ascii="Times New Roman" w:cs="Times New Roman" w:eastAsia="Times New Roman" w:hAnsi="Times New Roman"/>
          <w:sz w:val="18"/>
          <w:szCs w:val="18"/>
          <w:b w:val="1"/>
          <w:bCs w:val="1"/>
          <w:color w:val="auto"/>
        </w:rPr>
        <w:t xml:space="preserve"> 2 (d) </w:t>
      </w:r>
      <w:r>
        <w:rPr>
          <w:rFonts w:ascii="Times New Roman" w:cs="Times New Roman" w:eastAsia="Times New Roman" w:hAnsi="Times New Roman"/>
          <w:sz w:val="12"/>
          <w:szCs w:val="12"/>
          <w:b w:val="1"/>
          <w:bCs w:val="1"/>
          <w:color w:val="auto"/>
        </w:rPr>
        <w:t>OR</w:t>
      </w:r>
      <w:r>
        <w:rPr>
          <w:rFonts w:ascii="Times New Roman" w:cs="Times New Roman" w:eastAsia="Times New Roman" w:hAnsi="Times New Roman"/>
          <w:sz w:val="18"/>
          <w:szCs w:val="18"/>
          <w:b w:val="1"/>
          <w:bCs w:val="1"/>
          <w:color w:val="auto"/>
        </w:rPr>
        <w:t xml:space="preserve">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880" w:hanging="478"/>
        <w:spacing w:after="0"/>
        <w:tabs>
          <w:tab w:leader="none" w:pos="8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ITIZENSHIP OR PLACE OF ORGANIZATION</w:t>
      </w:r>
    </w:p>
    <w:p>
      <w:pPr>
        <w:spacing w:after="0" w:line="3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UMBER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p>
        </w:tc>
        <w:tc>
          <w:tcPr>
            <w:tcW w:w="1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7</w:t>
            </w:r>
          </w:p>
        </w:tc>
        <w:tc>
          <w:tcPr>
            <w:tcW w:w="6440" w:type="dxa"/>
            <w:vAlign w:val="bottom"/>
            <w:tcBorders>
              <w:top w:val="single" w:sz="8" w:color="auto"/>
            </w:tcBorders>
          </w:tcPr>
          <w:p>
            <w:pPr>
              <w:ind w:left="114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OLE VOTING POWER</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HARES</w:t>
            </w: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ONE</w:t>
            </w:r>
            <w:r>
              <w:rPr>
                <w:rFonts w:ascii="Times New Roman" w:cs="Times New Roman" w:eastAsia="Times New Roman" w:hAnsi="Times New Roman"/>
                <w:sz w:val="18"/>
                <w:szCs w:val="18"/>
                <w:b w:val="1"/>
                <w:bCs w:val="1"/>
                <w:color w:val="auto"/>
              </w:rPr>
              <w:t xml:space="preserve">  (Item 5)</w:t>
            </w:r>
          </w:p>
        </w:tc>
        <w:tc>
          <w:tcPr>
            <w:tcW w:w="0" w:type="dxa"/>
            <w:vAlign w:val="bottom"/>
          </w:tcPr>
          <w:p>
            <w:pPr>
              <w:spacing w:after="0"/>
              <w:rPr>
                <w:sz w:val="1"/>
                <w:szCs w:val="1"/>
                <w:color w:val="auto"/>
              </w:rPr>
            </w:pPr>
          </w:p>
        </w:tc>
      </w:tr>
      <w:tr>
        <w:trPr>
          <w:trHeight w:val="245"/>
        </w:trPr>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w:t>
            </w:r>
            <w:r>
              <w:rPr>
                <w:rFonts w:ascii="Times New Roman" w:cs="Times New Roman" w:eastAsia="Times New Roman" w:hAnsi="Times New Roman"/>
                <w:sz w:val="12"/>
                <w:szCs w:val="12"/>
                <w:b w:val="1"/>
                <w:bCs w:val="1"/>
                <w:color w:val="auto"/>
                <w:w w:val="98"/>
              </w:rPr>
              <w:t>ENEFICIALLY</w:t>
            </w:r>
          </w:p>
        </w:tc>
        <w:tc>
          <w:tcPr>
            <w:tcW w:w="1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400" w:type="dxa"/>
            <w:vAlign w:val="bottom"/>
            <w:vMerge w:val="continue"/>
          </w:tcPr>
          <w:p>
            <w:pPr>
              <w:spacing w:after="0"/>
              <w:rPr>
                <w:sz w:val="16"/>
                <w:szCs w:val="16"/>
                <w:color w:val="auto"/>
              </w:rPr>
            </w:pPr>
          </w:p>
        </w:tc>
        <w:tc>
          <w:tcPr>
            <w:tcW w:w="14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 8</w:t>
            </w:r>
          </w:p>
        </w:tc>
        <w:tc>
          <w:tcPr>
            <w:tcW w:w="6440" w:type="dxa"/>
            <w:vAlign w:val="bottom"/>
          </w:tcPr>
          <w:p>
            <w:pPr>
              <w:ind w:left="1140"/>
              <w:spacing w:after="0" w:line="194" w:lineRule="exact"/>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HARED VOTING POWER</w:t>
            </w:r>
          </w:p>
        </w:tc>
        <w:tc>
          <w:tcPr>
            <w:tcW w:w="0" w:type="dxa"/>
            <w:vAlign w:val="bottom"/>
          </w:tcPr>
          <w:p>
            <w:pPr>
              <w:spacing w:after="0"/>
              <w:rPr>
                <w:sz w:val="1"/>
                <w:szCs w:val="1"/>
                <w:color w:val="auto"/>
              </w:rPr>
            </w:pPr>
          </w:p>
        </w:tc>
      </w:tr>
      <w:tr>
        <w:trPr>
          <w:trHeight w:val="216"/>
        </w:trPr>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w:t>
            </w:r>
            <w:r>
              <w:rPr>
                <w:rFonts w:ascii="Times New Roman" w:cs="Times New Roman" w:eastAsia="Times New Roman" w:hAnsi="Times New Roman"/>
                <w:sz w:val="12"/>
                <w:szCs w:val="12"/>
                <w:b w:val="1"/>
                <w:bCs w:val="1"/>
                <w:color w:val="auto"/>
                <w:w w:val="97"/>
              </w:rPr>
              <w:t>WNED</w:t>
            </w: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vMerge w:val="continue"/>
          </w:tcPr>
          <w:p>
            <w:pPr>
              <w:spacing w:after="0"/>
              <w:rPr>
                <w:sz w:val="18"/>
                <w:szCs w:val="18"/>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ONE</w:t>
            </w:r>
          </w:p>
        </w:tc>
        <w:tc>
          <w:tcPr>
            <w:tcW w:w="0" w:type="dxa"/>
            <w:vAlign w:val="bottom"/>
          </w:tcPr>
          <w:p>
            <w:pPr>
              <w:spacing w:after="0"/>
              <w:rPr>
                <w:sz w:val="1"/>
                <w:szCs w:val="1"/>
                <w:color w:val="auto"/>
              </w:rPr>
            </w:pPr>
          </w:p>
        </w:tc>
      </w:tr>
      <w:tr>
        <w:trPr>
          <w:trHeight w:val="245"/>
        </w:trPr>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Y</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ACH</w:t>
            </w:r>
          </w:p>
        </w:tc>
        <w:tc>
          <w:tcPr>
            <w:tcW w:w="1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400" w:type="dxa"/>
            <w:vAlign w:val="bottom"/>
            <w:vMerge w:val="continue"/>
          </w:tcPr>
          <w:p>
            <w:pPr>
              <w:spacing w:after="0"/>
              <w:rPr>
                <w:sz w:val="16"/>
                <w:szCs w:val="16"/>
                <w:color w:val="auto"/>
              </w:rPr>
            </w:pPr>
          </w:p>
        </w:tc>
        <w:tc>
          <w:tcPr>
            <w:tcW w:w="14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 9</w:t>
            </w:r>
          </w:p>
        </w:tc>
        <w:tc>
          <w:tcPr>
            <w:tcW w:w="6440" w:type="dxa"/>
            <w:vAlign w:val="bottom"/>
          </w:tcPr>
          <w:p>
            <w:pPr>
              <w:ind w:left="1140"/>
              <w:spacing w:after="0" w:line="194" w:lineRule="exact"/>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OLE DISPOSITIVE POWER</w:t>
            </w:r>
          </w:p>
        </w:tc>
        <w:tc>
          <w:tcPr>
            <w:tcW w:w="0" w:type="dxa"/>
            <w:vAlign w:val="bottom"/>
          </w:tcPr>
          <w:p>
            <w:pPr>
              <w:spacing w:after="0"/>
              <w:rPr>
                <w:sz w:val="1"/>
                <w:szCs w:val="1"/>
                <w:color w:val="auto"/>
              </w:rPr>
            </w:pPr>
          </w:p>
        </w:tc>
      </w:tr>
      <w:tr>
        <w:trPr>
          <w:trHeight w:val="216"/>
        </w:trPr>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EPORTING</w:t>
            </w: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vMerge w:val="continue"/>
          </w:tcPr>
          <w:p>
            <w:pPr>
              <w:spacing w:after="0"/>
              <w:rPr>
                <w:sz w:val="18"/>
                <w:szCs w:val="18"/>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ONE</w:t>
            </w:r>
            <w:r>
              <w:rPr>
                <w:rFonts w:ascii="Times New Roman" w:cs="Times New Roman" w:eastAsia="Times New Roman" w:hAnsi="Times New Roman"/>
                <w:sz w:val="18"/>
                <w:szCs w:val="18"/>
                <w:b w:val="1"/>
                <w:bCs w:val="1"/>
                <w:color w:val="auto"/>
              </w:rPr>
              <w:t xml:space="preserve">  (Item 5)</w:t>
            </w:r>
          </w:p>
        </w:tc>
        <w:tc>
          <w:tcPr>
            <w:tcW w:w="0" w:type="dxa"/>
            <w:vAlign w:val="bottom"/>
          </w:tcPr>
          <w:p>
            <w:pPr>
              <w:spacing w:after="0"/>
              <w:rPr>
                <w:sz w:val="1"/>
                <w:szCs w:val="1"/>
                <w:color w:val="auto"/>
              </w:rPr>
            </w:pPr>
          </w:p>
        </w:tc>
      </w:tr>
      <w:tr>
        <w:trPr>
          <w:trHeight w:val="245"/>
        </w:trPr>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ERSON</w:t>
            </w:r>
          </w:p>
        </w:tc>
        <w:tc>
          <w:tcPr>
            <w:tcW w:w="1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3400" w:type="dxa"/>
            <w:vAlign w:val="bottom"/>
            <w:vMerge w:val="continue"/>
          </w:tcPr>
          <w:p>
            <w:pPr>
              <w:spacing w:after="0"/>
              <w:rPr>
                <w:sz w:val="11"/>
                <w:szCs w:val="11"/>
                <w:color w:val="auto"/>
              </w:rPr>
            </w:pPr>
          </w:p>
        </w:tc>
        <w:tc>
          <w:tcPr>
            <w:tcW w:w="1400" w:type="dxa"/>
            <w:vAlign w:val="bottom"/>
            <w:vMerge w:val="restart"/>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:10</w:t>
            </w:r>
          </w:p>
        </w:tc>
        <w:tc>
          <w:tcPr>
            <w:tcW w:w="6440" w:type="dxa"/>
            <w:vAlign w:val="bottom"/>
            <w:vMerge w:val="restart"/>
          </w:tcPr>
          <w:p>
            <w:pPr>
              <w:ind w:left="1140"/>
              <w:spacing w:after="0" w:line="194" w:lineRule="exact"/>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HARED DISPOSITIVE POWER</w:t>
            </w:r>
          </w:p>
        </w:tc>
        <w:tc>
          <w:tcPr>
            <w:tcW w:w="0" w:type="dxa"/>
            <w:vAlign w:val="bottom"/>
          </w:tcPr>
          <w:p>
            <w:pPr>
              <w:spacing w:after="0"/>
              <w:rPr>
                <w:sz w:val="1"/>
                <w:szCs w:val="1"/>
                <w:color w:val="auto"/>
              </w:rPr>
            </w:pPr>
          </w:p>
        </w:tc>
      </w:tr>
      <w:tr>
        <w:trPr>
          <w:trHeight w:val="59"/>
        </w:trPr>
        <w:tc>
          <w:tcPr>
            <w:tcW w:w="340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6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ITH</w:t>
            </w: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400" w:type="dxa"/>
            <w:vAlign w:val="bottom"/>
            <w:vMerge w:val="continue"/>
          </w:tcPr>
          <w:p>
            <w:pPr>
              <w:spacing w:after="0"/>
              <w:rPr>
                <w:sz w:val="13"/>
                <w:szCs w:val="13"/>
                <w:color w:val="auto"/>
              </w:rPr>
            </w:pPr>
          </w:p>
        </w:tc>
        <w:tc>
          <w:tcPr>
            <w:tcW w:w="1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vMerge w:val="restart"/>
          </w:tcPr>
          <w:p>
            <w:pPr>
              <w:ind w:left="114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ONE</w:t>
            </w:r>
          </w:p>
        </w:tc>
        <w:tc>
          <w:tcPr>
            <w:tcW w:w="0" w:type="dxa"/>
            <w:vAlign w:val="bottom"/>
          </w:tcPr>
          <w:p>
            <w:pPr>
              <w:spacing w:after="0"/>
              <w:rPr>
                <w:sz w:val="1"/>
                <w:szCs w:val="1"/>
                <w:color w:val="auto"/>
              </w:rPr>
            </w:pPr>
          </w:p>
        </w:tc>
      </w:tr>
      <w:tr>
        <w:trPr>
          <w:trHeight w:val="59"/>
        </w:trPr>
        <w:tc>
          <w:tcPr>
            <w:tcW w:w="340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6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3400" w:type="dxa"/>
            <w:vAlign w:val="bottom"/>
          </w:tcPr>
          <w:p>
            <w:pPr>
              <w:spacing w:after="0"/>
              <w:rPr>
                <w:sz w:val="20"/>
                <w:szCs w:val="20"/>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GGREGATE AMOUNT BENEFICIALLY OWNED BY EACH REPORTING PERSON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ONE</w:t>
      </w:r>
      <w:r>
        <w:rPr>
          <w:rFonts w:ascii="Times New Roman" w:cs="Times New Roman" w:eastAsia="Times New Roman" w:hAnsi="Times New Roman"/>
          <w:sz w:val="18"/>
          <w:szCs w:val="18"/>
          <w:b w:val="1"/>
          <w:bCs w:val="1"/>
          <w:color w:val="auto"/>
        </w:rPr>
        <w:t xml:space="preserv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156845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HECK BOX IF THE AGGREGATE AMOUNT IN ROW</w:t>
      </w:r>
      <w:r>
        <w:rPr>
          <w:rFonts w:ascii="Times New Roman" w:cs="Times New Roman" w:eastAsia="Times New Roman" w:hAnsi="Times New Roman"/>
          <w:sz w:val="18"/>
          <w:szCs w:val="18"/>
          <w:b w:val="1"/>
          <w:bCs w:val="1"/>
          <w:color w:val="auto"/>
        </w:rPr>
        <w:t xml:space="preserve"> (11) </w:t>
      </w:r>
      <w:r>
        <w:rPr>
          <w:rFonts w:ascii="Times New Roman" w:cs="Times New Roman" w:eastAsia="Times New Roman" w:hAnsi="Times New Roman"/>
          <w:sz w:val="12"/>
          <w:szCs w:val="12"/>
          <w:b w:val="1"/>
          <w:bCs w:val="1"/>
          <w:color w:val="auto"/>
        </w:rPr>
        <w:t>EXCLUDES CERTAIN SHARES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(SEE INSTRUCTIONS)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459105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3" w:lineRule="exact"/>
        <w:rPr>
          <w:sz w:val="20"/>
          <w:szCs w:val="20"/>
          <w:color w:val="auto"/>
        </w:rPr>
      </w:pPr>
    </w:p>
    <w:p>
      <w:pPr>
        <w:sectPr>
          <w:pgSz w:w="11900" w:h="16838" w:orient="portrait"/>
          <w:cols w:equalWidth="0" w:num="2">
            <w:col w:w="180" w:space="700"/>
            <w:col w:w="10360"/>
          </w:cols>
          <w:pgMar w:left="320" w:top="111" w:right="339" w:bottom="1440" w:gutter="0" w:footer="0" w:header="0"/>
          <w:type w:val="continuous"/>
        </w:sectPr>
      </w:pPr>
    </w:p>
    <w:p>
      <w:pPr>
        <w:spacing w:after="0" w:line="370" w:lineRule="exact"/>
        <w:rPr>
          <w:sz w:val="20"/>
          <w:szCs w:val="20"/>
          <w:color w:val="auto"/>
        </w:rPr>
      </w:pPr>
    </w:p>
    <w:p>
      <w:pPr>
        <w:ind w:left="880" w:hanging="872"/>
        <w:spacing w:after="0"/>
        <w:tabs>
          <w:tab w:leader="none" w:pos="880" w:val="left"/>
        </w:tabs>
        <w:numPr>
          <w:ilvl w:val="0"/>
          <w:numId w:val="40"/>
        </w:numPr>
        <w:rPr>
          <w:rFonts w:ascii="Times New Roman" w:cs="Times New Roman" w:eastAsia="Times New Roman" w:hAnsi="Times New Roman"/>
          <w:sz w:val="29"/>
          <w:szCs w:val="29"/>
          <w:b w:val="1"/>
          <w:bCs w:val="1"/>
          <w:color w:val="auto"/>
          <w:vertAlign w:val="superscript"/>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ERCENT OF CLASS REPRESENTED BY AMOUNT IN ROW</w:t>
      </w:r>
      <w:r>
        <w:rPr>
          <w:rFonts w:ascii="Times New Roman" w:cs="Times New Roman" w:eastAsia="Times New Roman" w:hAnsi="Times New Roman"/>
          <w:sz w:val="18"/>
          <w:szCs w:val="18"/>
          <w:b w:val="1"/>
          <w:bCs w:val="1"/>
          <w:color w:val="auto"/>
        </w:rPr>
        <w:t xml:space="preserve"> (11)</w:t>
      </w:r>
    </w:p>
    <w:p>
      <w:pPr>
        <w:spacing w:after="0" w:line="1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7" w:lineRule="exact"/>
        <w:rPr>
          <w:sz w:val="20"/>
          <w:szCs w:val="20"/>
          <w:color w:val="auto"/>
        </w:rPr>
      </w:pPr>
    </w:p>
    <w:p>
      <w:pPr>
        <w:ind w:left="880" w:hanging="872"/>
        <w:spacing w:after="0"/>
        <w:tabs>
          <w:tab w:leader="none" w:pos="880" w:val="left"/>
        </w:tabs>
        <w:numPr>
          <w:ilvl w:val="0"/>
          <w:numId w:val="41"/>
        </w:numPr>
        <w:rPr>
          <w:rFonts w:ascii="Times New Roman" w:cs="Times New Roman" w:eastAsia="Times New Roman" w:hAnsi="Times New Roman"/>
          <w:sz w:val="29"/>
          <w:szCs w:val="29"/>
          <w:b w:val="1"/>
          <w:bCs w:val="1"/>
          <w:color w:val="auto"/>
          <w:vertAlign w:val="superscript"/>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YPE OF REPORTING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(SEE INSTRUCTIONS)</w:t>
      </w:r>
    </w:p>
    <w:p>
      <w:pPr>
        <w:spacing w:after="0" w:line="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HC,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CUSIP No. 677864100</w:t>
      </w:r>
    </w:p>
    <w:p>
      <w:pPr>
        <w:spacing w:after="0" w:line="19" w:lineRule="exact"/>
        <w:rPr>
          <w:sz w:val="20"/>
          <w:szCs w:val="20"/>
          <w:color w:val="auto"/>
        </w:rPr>
      </w:pPr>
    </w:p>
    <w:p>
      <w:pPr>
        <w:ind w:left="900" w:hanging="491"/>
        <w:spacing w:after="0"/>
        <w:tabs>
          <w:tab w:leader="none" w:pos="90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AMES OF REPORTING PERSONS</w:t>
      </w:r>
    </w:p>
    <w:p>
      <w:pPr>
        <w:spacing w:after="0" w:line="7" w:lineRule="exact"/>
        <w:rPr>
          <w:rFonts w:ascii="Times New Roman" w:cs="Times New Roman" w:eastAsia="Times New Roman" w:hAnsi="Times New Roman"/>
          <w:sz w:val="18"/>
          <w:szCs w:val="18"/>
          <w:b w:val="1"/>
          <w:bCs w:val="1"/>
          <w:color w:val="auto"/>
        </w:rPr>
      </w:pPr>
    </w:p>
    <w:p>
      <w:pPr>
        <w:ind w:left="9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I.R.S. </w:t>
      </w:r>
      <w:r>
        <w:rPr>
          <w:rFonts w:ascii="Times New Roman" w:cs="Times New Roman" w:eastAsia="Times New Roman" w:hAnsi="Times New Roman"/>
          <w:sz w:val="12"/>
          <w:szCs w:val="12"/>
          <w:b w:val="1"/>
          <w:bCs w:val="1"/>
          <w:color w:val="auto"/>
        </w:rPr>
        <w:t>IDENTIFICATION NOS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b w:val="1"/>
          <w:bCs w:val="1"/>
          <w:color w:val="auto"/>
        </w:rPr>
        <w:t>OF ABOVE PERSONS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b w:val="1"/>
          <w:bCs w:val="1"/>
          <w:color w:val="auto"/>
        </w:rPr>
        <w:t>ENTITIES ONLY</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00" w:type="dxa"/>
            <w:vAlign w:val="bottom"/>
            <w:tcBorders>
              <w:bottom w:val="single" w:sz="8" w:color="auto"/>
            </w:tcBorders>
          </w:tcPr>
          <w:p>
            <w:pPr>
              <w:spacing w:after="0"/>
              <w:rPr>
                <w:sz w:val="21"/>
                <w:szCs w:val="21"/>
                <w:color w:val="auto"/>
              </w:rPr>
            </w:pPr>
          </w:p>
        </w:tc>
        <w:tc>
          <w:tcPr>
            <w:tcW w:w="5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Associated Capital Group, Inc.</w:t>
            </w:r>
          </w:p>
        </w:tc>
        <w:tc>
          <w:tcPr>
            <w:tcW w:w="45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I.D. 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47-3965991</w:t>
            </w:r>
          </w:p>
        </w:tc>
      </w:tr>
      <w:tr>
        <w:trPr>
          <w:trHeight w:val="238"/>
        </w:trPr>
        <w:tc>
          <w:tcPr>
            <w:tcW w:w="700" w:type="dxa"/>
            <w:vAlign w:val="bottom"/>
          </w:tcPr>
          <w:p>
            <w:pPr>
              <w:spacing w:after="0"/>
              <w:rPr>
                <w:sz w:val="20"/>
                <w:szCs w:val="20"/>
                <w:color w:val="auto"/>
              </w:rPr>
            </w:pPr>
          </w:p>
        </w:tc>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HECK THE APPROPRIATE BOX IF A MEMBER OF A GROUP</w:t>
            </w:r>
            <w:r>
              <w:rPr>
                <w:rFonts w:ascii="Times New Roman" w:cs="Times New Roman" w:eastAsia="Times New Roman" w:hAnsi="Times New Roman"/>
                <w:sz w:val="18"/>
                <w:szCs w:val="18"/>
                <w:b w:val="1"/>
                <w:bCs w:val="1"/>
                <w:color w:val="auto"/>
              </w:rPr>
              <w:t xml:space="preserve"> (SEE INSTRUCTIONS)</w:t>
            </w:r>
          </w:p>
        </w:tc>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w:t>
            </w:r>
          </w:p>
        </w:tc>
      </w:tr>
      <w:tr>
        <w:trPr>
          <w:trHeight w:val="633"/>
        </w:trPr>
        <w:tc>
          <w:tcPr>
            <w:tcW w:w="7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(b)</w:t>
            </w:r>
          </w:p>
        </w:tc>
      </w:tr>
      <w:tr>
        <w:trPr>
          <w:trHeight w:val="238"/>
        </w:trPr>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w:t>
            </w:r>
          </w:p>
        </w:tc>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 USE ONLY</w:t>
            </w:r>
          </w:p>
        </w:tc>
        <w:tc>
          <w:tcPr>
            <w:tcW w:w="45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8" w:lineRule="exact"/>
        <w:rPr>
          <w:sz w:val="20"/>
          <w:szCs w:val="20"/>
          <w:color w:val="auto"/>
        </w:rPr>
      </w:pPr>
    </w:p>
    <w:p>
      <w:pPr>
        <w:ind w:left="900" w:right="7220" w:hanging="491"/>
        <w:spacing w:after="0" w:line="286" w:lineRule="auto"/>
        <w:tabs>
          <w:tab w:leader="none" w:pos="90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Source of funds (SEE INSTRUCTIONS) 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2" w:lineRule="exact"/>
        <w:rPr>
          <w:sz w:val="20"/>
          <w:szCs w:val="20"/>
          <w:color w:val="auto"/>
        </w:rPr>
      </w:pPr>
    </w:p>
    <w:p>
      <w:pPr>
        <w:ind w:left="900" w:hanging="491"/>
        <w:spacing w:after="0"/>
        <w:tabs>
          <w:tab w:leader="none" w:pos="90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HECK BOX IF DISCLOSURE OF LEGAL PROCEEDINGS IS REQUIRED PURSUANT TO ITEMS</w:t>
      </w:r>
      <w:r>
        <w:rPr>
          <w:rFonts w:ascii="Times New Roman" w:cs="Times New Roman" w:eastAsia="Times New Roman" w:hAnsi="Times New Roman"/>
          <w:sz w:val="18"/>
          <w:szCs w:val="18"/>
          <w:b w:val="1"/>
          <w:bCs w:val="1"/>
          <w:color w:val="auto"/>
        </w:rPr>
        <w:t xml:space="preserve"> 2 (d) </w:t>
      </w:r>
      <w:r>
        <w:rPr>
          <w:rFonts w:ascii="Times New Roman" w:cs="Times New Roman" w:eastAsia="Times New Roman" w:hAnsi="Times New Roman"/>
          <w:sz w:val="12"/>
          <w:szCs w:val="12"/>
          <w:b w:val="1"/>
          <w:bCs w:val="1"/>
          <w:color w:val="auto"/>
        </w:rPr>
        <w:t>OR</w:t>
      </w:r>
      <w:r>
        <w:rPr>
          <w:rFonts w:ascii="Times New Roman" w:cs="Times New Roman" w:eastAsia="Times New Roman" w:hAnsi="Times New Roman"/>
          <w:sz w:val="18"/>
          <w:szCs w:val="18"/>
          <w:b w:val="1"/>
          <w:bCs w:val="1"/>
          <w:color w:val="auto"/>
        </w:rPr>
        <w:t xml:space="preserve">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900" w:hanging="491"/>
        <w:spacing w:after="0"/>
        <w:tabs>
          <w:tab w:leader="none" w:pos="90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ITIZENSHIP OR PLACE OF ORGANIZATION</w:t>
      </w:r>
    </w:p>
    <w:p>
      <w:pPr>
        <w:spacing w:after="0" w:line="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UMBER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p>
        </w:tc>
        <w:tc>
          <w:tcPr>
            <w:tcW w:w="1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 7</w:t>
            </w:r>
          </w:p>
        </w:tc>
        <w:tc>
          <w:tcPr>
            <w:tcW w:w="6440" w:type="dxa"/>
            <w:vAlign w:val="bottom"/>
            <w:tcBorders>
              <w:top w:val="single" w:sz="8" w:color="auto"/>
            </w:tcBorders>
          </w:tcPr>
          <w:p>
            <w:pPr>
              <w:ind w:left="114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OLE VOTING POWER</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HARES</w:t>
            </w:r>
          </w:p>
        </w:tc>
        <w:tc>
          <w:tcPr>
            <w:tcW w:w="1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1,500  (Item 5)</w:t>
            </w:r>
          </w:p>
        </w:tc>
        <w:tc>
          <w:tcPr>
            <w:tcW w:w="0" w:type="dxa"/>
            <w:vAlign w:val="bottom"/>
          </w:tcPr>
          <w:p>
            <w:pPr>
              <w:spacing w:after="0"/>
              <w:rPr>
                <w:sz w:val="1"/>
                <w:szCs w:val="1"/>
                <w:color w:val="auto"/>
              </w:rPr>
            </w:pPr>
          </w:p>
        </w:tc>
      </w:tr>
      <w:tr>
        <w:trPr>
          <w:trHeight w:val="245"/>
        </w:trPr>
        <w:tc>
          <w:tcPr>
            <w:tcW w:w="3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ENEFICIALLY</w:t>
            </w: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420" w:type="dxa"/>
            <w:vAlign w:val="bottom"/>
            <w:vMerge w:val="continue"/>
          </w:tcPr>
          <w:p>
            <w:pPr>
              <w:spacing w:after="0"/>
              <w:rPr>
                <w:sz w:val="16"/>
                <w:szCs w:val="16"/>
                <w:color w:val="auto"/>
              </w:rPr>
            </w:pPr>
          </w:p>
        </w:tc>
        <w:tc>
          <w:tcPr>
            <w:tcW w:w="13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 8</w:t>
            </w:r>
          </w:p>
        </w:tc>
        <w:tc>
          <w:tcPr>
            <w:tcW w:w="6440" w:type="dxa"/>
            <w:vAlign w:val="bottom"/>
          </w:tcPr>
          <w:p>
            <w:pPr>
              <w:ind w:left="1140"/>
              <w:spacing w:after="0" w:line="194" w:lineRule="exact"/>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HARED VOTING POWER</w:t>
            </w:r>
          </w:p>
        </w:tc>
        <w:tc>
          <w:tcPr>
            <w:tcW w:w="0" w:type="dxa"/>
            <w:vAlign w:val="bottom"/>
          </w:tcPr>
          <w:p>
            <w:pPr>
              <w:spacing w:after="0"/>
              <w:rPr>
                <w:sz w:val="1"/>
                <w:szCs w:val="1"/>
                <w:color w:val="auto"/>
              </w:rPr>
            </w:pPr>
          </w:p>
        </w:tc>
      </w:tr>
      <w:tr>
        <w:trPr>
          <w:trHeight w:val="216"/>
        </w:trPr>
        <w:tc>
          <w:tcPr>
            <w:tcW w:w="3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WNED</w:t>
            </w:r>
          </w:p>
        </w:tc>
        <w:tc>
          <w:tcPr>
            <w:tcW w:w="1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vMerge w:val="continue"/>
          </w:tcPr>
          <w:p>
            <w:pPr>
              <w:spacing w:after="0"/>
              <w:rPr>
                <w:sz w:val="18"/>
                <w:szCs w:val="18"/>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ONE</w:t>
            </w:r>
          </w:p>
        </w:tc>
        <w:tc>
          <w:tcPr>
            <w:tcW w:w="0" w:type="dxa"/>
            <w:vAlign w:val="bottom"/>
          </w:tcPr>
          <w:p>
            <w:pPr>
              <w:spacing w:after="0"/>
              <w:rPr>
                <w:sz w:val="1"/>
                <w:szCs w:val="1"/>
                <w:color w:val="auto"/>
              </w:rPr>
            </w:pPr>
          </w:p>
        </w:tc>
      </w:tr>
      <w:tr>
        <w:trPr>
          <w:trHeight w:val="245"/>
        </w:trPr>
        <w:tc>
          <w:tcPr>
            <w:tcW w:w="3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Y</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ACH</w:t>
            </w: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420" w:type="dxa"/>
            <w:vAlign w:val="bottom"/>
            <w:vMerge w:val="continue"/>
          </w:tcPr>
          <w:p>
            <w:pPr>
              <w:spacing w:after="0"/>
              <w:rPr>
                <w:sz w:val="16"/>
                <w:szCs w:val="16"/>
                <w:color w:val="auto"/>
              </w:rPr>
            </w:pPr>
          </w:p>
        </w:tc>
        <w:tc>
          <w:tcPr>
            <w:tcW w:w="13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 9</w:t>
            </w:r>
          </w:p>
        </w:tc>
        <w:tc>
          <w:tcPr>
            <w:tcW w:w="6440" w:type="dxa"/>
            <w:vAlign w:val="bottom"/>
          </w:tcPr>
          <w:p>
            <w:pPr>
              <w:ind w:left="1140"/>
              <w:spacing w:after="0" w:line="194" w:lineRule="exact"/>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OLE DISPOSITIVE POWER</w:t>
            </w:r>
          </w:p>
        </w:tc>
        <w:tc>
          <w:tcPr>
            <w:tcW w:w="0" w:type="dxa"/>
            <w:vAlign w:val="bottom"/>
          </w:tcPr>
          <w:p>
            <w:pPr>
              <w:spacing w:after="0"/>
              <w:rPr>
                <w:sz w:val="1"/>
                <w:szCs w:val="1"/>
                <w:color w:val="auto"/>
              </w:rPr>
            </w:pPr>
          </w:p>
        </w:tc>
      </w:tr>
      <w:tr>
        <w:trPr>
          <w:trHeight w:val="216"/>
        </w:trPr>
        <w:tc>
          <w:tcPr>
            <w:tcW w:w="3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EPORTING</w:t>
            </w:r>
          </w:p>
        </w:tc>
        <w:tc>
          <w:tcPr>
            <w:tcW w:w="1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vMerge w:val="continue"/>
          </w:tcPr>
          <w:p>
            <w:pPr>
              <w:spacing w:after="0"/>
              <w:rPr>
                <w:sz w:val="18"/>
                <w:szCs w:val="18"/>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1,500  (Item 5)</w:t>
            </w:r>
          </w:p>
        </w:tc>
        <w:tc>
          <w:tcPr>
            <w:tcW w:w="0" w:type="dxa"/>
            <w:vAlign w:val="bottom"/>
          </w:tcPr>
          <w:p>
            <w:pPr>
              <w:spacing w:after="0"/>
              <w:rPr>
                <w:sz w:val="1"/>
                <w:szCs w:val="1"/>
                <w:color w:val="auto"/>
              </w:rPr>
            </w:pPr>
          </w:p>
        </w:tc>
      </w:tr>
      <w:tr>
        <w:trPr>
          <w:trHeight w:val="245"/>
        </w:trPr>
        <w:tc>
          <w:tcPr>
            <w:tcW w:w="3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w:t>
            </w:r>
            <w:r>
              <w:rPr>
                <w:rFonts w:ascii="Times New Roman" w:cs="Times New Roman" w:eastAsia="Times New Roman" w:hAnsi="Times New Roman"/>
                <w:sz w:val="12"/>
                <w:szCs w:val="12"/>
                <w:b w:val="1"/>
                <w:bCs w:val="1"/>
                <w:color w:val="auto"/>
                <w:w w:val="99"/>
              </w:rPr>
              <w:t>ERSON</w:t>
            </w: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3420" w:type="dxa"/>
            <w:vAlign w:val="bottom"/>
            <w:vMerge w:val="continue"/>
          </w:tcPr>
          <w:p>
            <w:pPr>
              <w:spacing w:after="0"/>
              <w:rPr>
                <w:sz w:val="11"/>
                <w:szCs w:val="11"/>
                <w:color w:val="auto"/>
              </w:rPr>
            </w:pPr>
          </w:p>
        </w:tc>
        <w:tc>
          <w:tcPr>
            <w:tcW w:w="1380" w:type="dxa"/>
            <w:vAlign w:val="bottom"/>
            <w:vMerge w:val="restart"/>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:10</w:t>
            </w:r>
          </w:p>
        </w:tc>
        <w:tc>
          <w:tcPr>
            <w:tcW w:w="6440" w:type="dxa"/>
            <w:vAlign w:val="bottom"/>
            <w:vMerge w:val="restart"/>
          </w:tcPr>
          <w:p>
            <w:pPr>
              <w:ind w:left="1140"/>
              <w:spacing w:after="0" w:line="194" w:lineRule="exact"/>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HARED DISPOSITIVE POWER</w:t>
            </w:r>
          </w:p>
        </w:tc>
        <w:tc>
          <w:tcPr>
            <w:tcW w:w="0" w:type="dxa"/>
            <w:vAlign w:val="bottom"/>
          </w:tcPr>
          <w:p>
            <w:pPr>
              <w:spacing w:after="0"/>
              <w:rPr>
                <w:sz w:val="1"/>
                <w:szCs w:val="1"/>
                <w:color w:val="auto"/>
              </w:rPr>
            </w:pPr>
          </w:p>
        </w:tc>
      </w:tr>
      <w:tr>
        <w:trPr>
          <w:trHeight w:val="59"/>
        </w:trPr>
        <w:tc>
          <w:tcPr>
            <w:tcW w:w="342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6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w:t>
            </w:r>
            <w:r>
              <w:rPr>
                <w:rFonts w:ascii="Times New Roman" w:cs="Times New Roman" w:eastAsia="Times New Roman" w:hAnsi="Times New Roman"/>
                <w:sz w:val="12"/>
                <w:szCs w:val="12"/>
                <w:b w:val="1"/>
                <w:bCs w:val="1"/>
                <w:color w:val="auto"/>
                <w:w w:val="99"/>
              </w:rPr>
              <w:t>ITH</w:t>
            </w:r>
          </w:p>
        </w:tc>
        <w:tc>
          <w:tcPr>
            <w:tcW w:w="1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420" w:type="dxa"/>
            <w:vAlign w:val="bottom"/>
            <w:vMerge w:val="continue"/>
          </w:tcPr>
          <w:p>
            <w:pPr>
              <w:spacing w:after="0"/>
              <w:rPr>
                <w:sz w:val="13"/>
                <w:szCs w:val="13"/>
                <w:color w:val="auto"/>
              </w:rPr>
            </w:pPr>
          </w:p>
        </w:tc>
        <w:tc>
          <w:tcPr>
            <w:tcW w:w="1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vMerge w:val="restart"/>
          </w:tcPr>
          <w:p>
            <w:pPr>
              <w:ind w:left="114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ONE</w:t>
            </w:r>
          </w:p>
        </w:tc>
        <w:tc>
          <w:tcPr>
            <w:tcW w:w="0" w:type="dxa"/>
            <w:vAlign w:val="bottom"/>
          </w:tcPr>
          <w:p>
            <w:pPr>
              <w:spacing w:after="0"/>
              <w:rPr>
                <w:sz w:val="1"/>
                <w:szCs w:val="1"/>
                <w:color w:val="auto"/>
              </w:rPr>
            </w:pPr>
          </w:p>
        </w:tc>
      </w:tr>
      <w:tr>
        <w:trPr>
          <w:trHeight w:val="59"/>
        </w:trPr>
        <w:tc>
          <w:tcPr>
            <w:tcW w:w="342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6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342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900" w:hanging="892"/>
        <w:spacing w:after="0"/>
        <w:tabs>
          <w:tab w:leader="none" w:pos="90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GGREGATE AMOUNT BENEFICIALLY OWNED BY EACH REPORTING PERSON</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1,500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HECK BOX IF THE AGGREGATE AMOUNT IN ROW</w:t>
      </w:r>
      <w:r>
        <w:rPr>
          <w:rFonts w:ascii="Times New Roman" w:cs="Times New Roman" w:eastAsia="Times New Roman" w:hAnsi="Times New Roman"/>
          <w:sz w:val="18"/>
          <w:szCs w:val="18"/>
          <w:b w:val="1"/>
          <w:bCs w:val="1"/>
          <w:color w:val="auto"/>
        </w:rPr>
        <w:t xml:space="preserve"> (11) </w:t>
      </w:r>
      <w:r>
        <w:rPr>
          <w:rFonts w:ascii="Times New Roman" w:cs="Times New Roman" w:eastAsia="Times New Roman" w:hAnsi="Times New Roman"/>
          <w:sz w:val="12"/>
          <w:szCs w:val="12"/>
          <w:b w:val="1"/>
          <w:bCs w:val="1"/>
          <w:color w:val="auto"/>
        </w:rPr>
        <w:t>EXCLUDES CERTAIN SHARES</w:t>
      </w:r>
    </w:p>
    <w:p>
      <w:pPr>
        <w:spacing w:after="0" w:line="31" w:lineRule="exact"/>
        <w:rPr>
          <w:sz w:val="20"/>
          <w:szCs w:val="20"/>
          <w:color w:val="auto"/>
        </w:rPr>
      </w:pPr>
    </w:p>
    <w:p>
      <w:pPr>
        <w:ind w:left="900" w:hanging="892"/>
        <w:spacing w:after="0"/>
        <w:tabs>
          <w:tab w:leader="none" w:pos="90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(SEE INSTRUCTIONS) X</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88" w:lineRule="exact"/>
        <w:rPr>
          <w:rFonts w:ascii="Times New Roman" w:cs="Times New Roman" w:eastAsia="Times New Roman" w:hAnsi="Times New Roman"/>
          <w:sz w:val="18"/>
          <w:szCs w:val="18"/>
          <w:b w:val="1"/>
          <w:bCs w:val="1"/>
          <w:color w:val="auto"/>
        </w:rPr>
      </w:pPr>
    </w:p>
    <w:p>
      <w:pPr>
        <w:ind w:left="900" w:hanging="892"/>
        <w:spacing w:after="0"/>
        <w:tabs>
          <w:tab w:leader="none" w:pos="90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ERCENT OF CLASS REPRESENTED BY AMOUNT IN ROW</w:t>
      </w:r>
      <w:r>
        <w:rPr>
          <w:rFonts w:ascii="Times New Roman" w:cs="Times New Roman" w:eastAsia="Times New Roman" w:hAnsi="Times New Roman"/>
          <w:sz w:val="18"/>
          <w:szCs w:val="18"/>
          <w:b w:val="1"/>
          <w:bCs w:val="1"/>
          <w:color w:val="auto"/>
        </w:rPr>
        <w:t xml:space="preserve"> (11)</w:t>
      </w:r>
    </w:p>
    <w:p>
      <w:pPr>
        <w:spacing w:after="0" w:line="225" w:lineRule="exact"/>
        <w:rPr>
          <w:rFonts w:ascii="Times New Roman" w:cs="Times New Roman" w:eastAsia="Times New Roman" w:hAnsi="Times New Roman"/>
          <w:sz w:val="18"/>
          <w:szCs w:val="18"/>
          <w:b w:val="1"/>
          <w:bCs w:val="1"/>
          <w:color w:val="auto"/>
        </w:rPr>
      </w:pPr>
    </w:p>
    <w:p>
      <w:pPr>
        <w:ind w:left="9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0.03%</w:t>
      </w:r>
    </w:p>
    <w:p>
      <w:pPr>
        <w:spacing w:after="0" w:line="252" w:lineRule="exact"/>
        <w:rPr>
          <w:rFonts w:ascii="Times New Roman" w:cs="Times New Roman" w:eastAsia="Times New Roman" w:hAnsi="Times New Roman"/>
          <w:sz w:val="18"/>
          <w:szCs w:val="18"/>
          <w:b w:val="1"/>
          <w:bCs w:val="1"/>
          <w:color w:val="auto"/>
        </w:rPr>
      </w:pPr>
    </w:p>
    <w:p>
      <w:pPr>
        <w:ind w:left="900" w:hanging="892"/>
        <w:spacing w:after="0"/>
        <w:tabs>
          <w:tab w:leader="none" w:pos="90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YPE OF REPORTING PERSON</w:t>
      </w:r>
      <w:r>
        <w:rPr>
          <w:rFonts w:ascii="Times New Roman" w:cs="Times New Roman" w:eastAsia="Times New Roman" w:hAnsi="Times New Roman"/>
          <w:sz w:val="18"/>
          <w:szCs w:val="18"/>
          <w:b w:val="1"/>
          <w:bCs w:val="1"/>
          <w:color w:val="auto"/>
        </w:rPr>
        <w:t xml:space="preserve"> (SEE INSTRUCTIONS)</w:t>
      </w:r>
    </w:p>
    <w:p>
      <w:pPr>
        <w:spacing w:after="0" w:line="31" w:lineRule="exact"/>
        <w:rPr>
          <w:rFonts w:ascii="Times New Roman" w:cs="Times New Roman" w:eastAsia="Times New Roman" w:hAnsi="Times New Roman"/>
          <w:sz w:val="18"/>
          <w:szCs w:val="18"/>
          <w:b w:val="1"/>
          <w:bCs w:val="1"/>
          <w:color w:val="auto"/>
        </w:rPr>
      </w:pPr>
    </w:p>
    <w:p>
      <w:pPr>
        <w:ind w:left="10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HC,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CUSIP No. 677864100</w:t>
      </w:r>
    </w:p>
    <w:p>
      <w:pPr>
        <w:spacing w:after="0" w:line="20" w:lineRule="exact"/>
        <w:rPr>
          <w:sz w:val="20"/>
          <w:szCs w:val="20"/>
          <w:color w:val="auto"/>
        </w:rPr>
      </w:pPr>
    </w:p>
    <w:p>
      <w:pPr>
        <w:ind w:left="880" w:hanging="478"/>
        <w:spacing w:after="0"/>
        <w:tabs>
          <w:tab w:leader="none" w:pos="8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AMES OF REPORTING PERSONS</w:t>
      </w:r>
    </w:p>
    <w:p>
      <w:pPr>
        <w:spacing w:after="0" w:line="7" w:lineRule="exact"/>
        <w:rPr>
          <w:rFonts w:ascii="Times New Roman" w:cs="Times New Roman" w:eastAsia="Times New Roman" w:hAnsi="Times New Roman"/>
          <w:sz w:val="18"/>
          <w:szCs w:val="18"/>
          <w:b w:val="1"/>
          <w:bCs w:val="1"/>
          <w:color w:val="auto"/>
        </w:rPr>
      </w:pPr>
    </w:p>
    <w:p>
      <w:pPr>
        <w:ind w:left="8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I.R.S. </w:t>
      </w:r>
      <w:r>
        <w:rPr>
          <w:rFonts w:ascii="Times New Roman" w:cs="Times New Roman" w:eastAsia="Times New Roman" w:hAnsi="Times New Roman"/>
          <w:sz w:val="12"/>
          <w:szCs w:val="12"/>
          <w:b w:val="1"/>
          <w:bCs w:val="1"/>
          <w:color w:val="auto"/>
        </w:rPr>
        <w:t>IDENTIFICATION NOS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b w:val="1"/>
          <w:bCs w:val="1"/>
          <w:color w:val="auto"/>
        </w:rPr>
        <w:t>OF ABOVE PERSONS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b w:val="1"/>
          <w:bCs w:val="1"/>
          <w:color w:val="auto"/>
        </w:rPr>
        <w:t>ENTITIES ONLY</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Mario J. Gabelli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400"/>
        <w:spacing w:after="0"/>
        <w:tabs>
          <w:tab w:leader="none" w:pos="860" w:val="left"/>
          <w:tab w:leader="none" w:pos="638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HECK THE APPROPRIATE BOX IF A MEMBER OF A GROUP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(SEE INSTRUCTIONS)</w:t>
      </w:r>
      <w:r>
        <w:rPr>
          <w:sz w:val="20"/>
          <w:szCs w:val="20"/>
          <w:color w:val="auto"/>
        </w:rPr>
        <w:tab/>
      </w:r>
      <w:r>
        <w:rPr>
          <w:rFonts w:ascii="Times New Roman" w:cs="Times New Roman" w:eastAsia="Times New Roman" w:hAnsi="Times New Roman"/>
          <w:sz w:val="17"/>
          <w:szCs w:val="17"/>
          <w:b w:val="1"/>
          <w:bCs w:val="1"/>
          <w:color w:val="auto"/>
        </w:rPr>
        <w:t>(a)</w:t>
      </w:r>
    </w:p>
    <w:p>
      <w:pPr>
        <w:spacing w:after="0" w:line="200" w:lineRule="exact"/>
        <w:rPr>
          <w:sz w:val="20"/>
          <w:szCs w:val="20"/>
          <w:color w:val="auto"/>
        </w:rPr>
      </w:pPr>
    </w:p>
    <w:p>
      <w:pPr>
        <w:spacing w:after="0" w:line="241"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880" w:hanging="478"/>
        <w:spacing w:after="0"/>
        <w:tabs>
          <w:tab w:leader="none" w:pos="8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880" w:hanging="478"/>
        <w:spacing w:after="0"/>
        <w:tabs>
          <w:tab w:leader="none" w:pos="8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4"/>
          <w:szCs w:val="14"/>
          <w:b w:val="1"/>
          <w:bCs w:val="1"/>
          <w:color w:val="auto"/>
        </w:rPr>
        <w:t>(SEE INSTRUCTIONS)</w:t>
      </w:r>
    </w:p>
    <w:p>
      <w:pPr>
        <w:spacing w:after="0" w:line="3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ind w:left="880" w:hanging="478"/>
        <w:spacing w:after="0"/>
        <w:tabs>
          <w:tab w:leader="none" w:pos="8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HECK BOX IF DISCLOSURE OF LEGAL PROCEEDINGS IS REQUIRED PURSUANT TO ITEMS</w:t>
      </w:r>
      <w:r>
        <w:rPr>
          <w:rFonts w:ascii="Times New Roman" w:cs="Times New Roman" w:eastAsia="Times New Roman" w:hAnsi="Times New Roman"/>
          <w:sz w:val="18"/>
          <w:szCs w:val="18"/>
          <w:b w:val="1"/>
          <w:bCs w:val="1"/>
          <w:color w:val="auto"/>
        </w:rPr>
        <w:t xml:space="preserve"> 2 (d) </w:t>
      </w:r>
      <w:r>
        <w:rPr>
          <w:rFonts w:ascii="Times New Roman" w:cs="Times New Roman" w:eastAsia="Times New Roman" w:hAnsi="Times New Roman"/>
          <w:sz w:val="12"/>
          <w:szCs w:val="12"/>
          <w:b w:val="1"/>
          <w:bCs w:val="1"/>
          <w:color w:val="auto"/>
        </w:rPr>
        <w:t>OR</w:t>
      </w:r>
      <w:r>
        <w:rPr>
          <w:rFonts w:ascii="Times New Roman" w:cs="Times New Roman" w:eastAsia="Times New Roman" w:hAnsi="Times New Roman"/>
          <w:sz w:val="18"/>
          <w:szCs w:val="18"/>
          <w:b w:val="1"/>
          <w:bCs w:val="1"/>
          <w:color w:val="auto"/>
        </w:rPr>
        <w:t xml:space="preserve">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880" w:hanging="478"/>
        <w:spacing w:after="0"/>
        <w:tabs>
          <w:tab w:leader="none" w:pos="8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ITIZENSHIP OR PLACE OF ORGANIZATION</w:t>
      </w:r>
    </w:p>
    <w:p>
      <w:pPr>
        <w:spacing w:after="0" w:line="3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USA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UMBER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p>
        </w:tc>
        <w:tc>
          <w:tcPr>
            <w:tcW w:w="1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7</w:t>
            </w:r>
          </w:p>
        </w:tc>
        <w:tc>
          <w:tcPr>
            <w:tcW w:w="6440" w:type="dxa"/>
            <w:vAlign w:val="bottom"/>
            <w:tcBorders>
              <w:top w:val="single" w:sz="8" w:color="auto"/>
            </w:tcBorders>
          </w:tcPr>
          <w:p>
            <w:pPr>
              <w:ind w:left="114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OLE VOTING POWER</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HARES</w:t>
            </w: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None</w:t>
            </w:r>
          </w:p>
        </w:tc>
        <w:tc>
          <w:tcPr>
            <w:tcW w:w="0" w:type="dxa"/>
            <w:vAlign w:val="bottom"/>
          </w:tcPr>
          <w:p>
            <w:pPr>
              <w:spacing w:after="0"/>
              <w:rPr>
                <w:sz w:val="1"/>
                <w:szCs w:val="1"/>
                <w:color w:val="auto"/>
              </w:rPr>
            </w:pPr>
          </w:p>
        </w:tc>
      </w:tr>
      <w:tr>
        <w:trPr>
          <w:trHeight w:val="245"/>
        </w:trPr>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w:t>
            </w:r>
            <w:r>
              <w:rPr>
                <w:rFonts w:ascii="Times New Roman" w:cs="Times New Roman" w:eastAsia="Times New Roman" w:hAnsi="Times New Roman"/>
                <w:sz w:val="12"/>
                <w:szCs w:val="12"/>
                <w:b w:val="1"/>
                <w:bCs w:val="1"/>
                <w:color w:val="auto"/>
                <w:w w:val="98"/>
              </w:rPr>
              <w:t>ENEFICIALLY</w:t>
            </w:r>
          </w:p>
        </w:tc>
        <w:tc>
          <w:tcPr>
            <w:tcW w:w="1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400" w:type="dxa"/>
            <w:vAlign w:val="bottom"/>
            <w:vMerge w:val="continue"/>
          </w:tcPr>
          <w:p>
            <w:pPr>
              <w:spacing w:after="0"/>
              <w:rPr>
                <w:sz w:val="16"/>
                <w:szCs w:val="16"/>
                <w:color w:val="auto"/>
              </w:rPr>
            </w:pPr>
          </w:p>
        </w:tc>
        <w:tc>
          <w:tcPr>
            <w:tcW w:w="14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 8</w:t>
            </w:r>
          </w:p>
        </w:tc>
        <w:tc>
          <w:tcPr>
            <w:tcW w:w="6440" w:type="dxa"/>
            <w:vAlign w:val="bottom"/>
          </w:tcPr>
          <w:p>
            <w:pPr>
              <w:ind w:left="1140"/>
              <w:spacing w:after="0" w:line="194" w:lineRule="exact"/>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HARED VOTING POWER</w:t>
            </w:r>
          </w:p>
        </w:tc>
        <w:tc>
          <w:tcPr>
            <w:tcW w:w="0" w:type="dxa"/>
            <w:vAlign w:val="bottom"/>
          </w:tcPr>
          <w:p>
            <w:pPr>
              <w:spacing w:after="0"/>
              <w:rPr>
                <w:sz w:val="1"/>
                <w:szCs w:val="1"/>
                <w:color w:val="auto"/>
              </w:rPr>
            </w:pPr>
          </w:p>
        </w:tc>
      </w:tr>
      <w:tr>
        <w:trPr>
          <w:trHeight w:val="216"/>
        </w:trPr>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w:t>
            </w:r>
            <w:r>
              <w:rPr>
                <w:rFonts w:ascii="Times New Roman" w:cs="Times New Roman" w:eastAsia="Times New Roman" w:hAnsi="Times New Roman"/>
                <w:sz w:val="12"/>
                <w:szCs w:val="12"/>
                <w:b w:val="1"/>
                <w:bCs w:val="1"/>
                <w:color w:val="auto"/>
                <w:w w:val="97"/>
              </w:rPr>
              <w:t>WNED</w:t>
            </w: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vMerge w:val="continue"/>
          </w:tcPr>
          <w:p>
            <w:pPr>
              <w:spacing w:after="0"/>
              <w:rPr>
                <w:sz w:val="18"/>
                <w:szCs w:val="18"/>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ONE</w:t>
            </w:r>
          </w:p>
        </w:tc>
        <w:tc>
          <w:tcPr>
            <w:tcW w:w="0" w:type="dxa"/>
            <w:vAlign w:val="bottom"/>
          </w:tcPr>
          <w:p>
            <w:pPr>
              <w:spacing w:after="0"/>
              <w:rPr>
                <w:sz w:val="1"/>
                <w:szCs w:val="1"/>
                <w:color w:val="auto"/>
              </w:rPr>
            </w:pPr>
          </w:p>
        </w:tc>
      </w:tr>
      <w:tr>
        <w:trPr>
          <w:trHeight w:val="245"/>
        </w:trPr>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Y</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ACH</w:t>
            </w:r>
          </w:p>
        </w:tc>
        <w:tc>
          <w:tcPr>
            <w:tcW w:w="1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400" w:type="dxa"/>
            <w:vAlign w:val="bottom"/>
            <w:vMerge w:val="continue"/>
          </w:tcPr>
          <w:p>
            <w:pPr>
              <w:spacing w:after="0"/>
              <w:rPr>
                <w:sz w:val="16"/>
                <w:szCs w:val="16"/>
                <w:color w:val="auto"/>
              </w:rPr>
            </w:pPr>
          </w:p>
        </w:tc>
        <w:tc>
          <w:tcPr>
            <w:tcW w:w="14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 9</w:t>
            </w:r>
          </w:p>
        </w:tc>
        <w:tc>
          <w:tcPr>
            <w:tcW w:w="6440" w:type="dxa"/>
            <w:vAlign w:val="bottom"/>
          </w:tcPr>
          <w:p>
            <w:pPr>
              <w:ind w:left="1140"/>
              <w:spacing w:after="0" w:line="194" w:lineRule="exact"/>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OLE DISPOSITIVE POWER</w:t>
            </w:r>
          </w:p>
        </w:tc>
        <w:tc>
          <w:tcPr>
            <w:tcW w:w="0" w:type="dxa"/>
            <w:vAlign w:val="bottom"/>
          </w:tcPr>
          <w:p>
            <w:pPr>
              <w:spacing w:after="0"/>
              <w:rPr>
                <w:sz w:val="1"/>
                <w:szCs w:val="1"/>
                <w:color w:val="auto"/>
              </w:rPr>
            </w:pPr>
          </w:p>
        </w:tc>
      </w:tr>
      <w:tr>
        <w:trPr>
          <w:trHeight w:val="216"/>
        </w:trPr>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EPORTING</w:t>
            </w: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vMerge w:val="continue"/>
          </w:tcPr>
          <w:p>
            <w:pPr>
              <w:spacing w:after="0"/>
              <w:rPr>
                <w:sz w:val="18"/>
                <w:szCs w:val="18"/>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ONE</w:t>
            </w:r>
          </w:p>
        </w:tc>
        <w:tc>
          <w:tcPr>
            <w:tcW w:w="0" w:type="dxa"/>
            <w:vAlign w:val="bottom"/>
          </w:tcPr>
          <w:p>
            <w:pPr>
              <w:spacing w:after="0"/>
              <w:rPr>
                <w:sz w:val="1"/>
                <w:szCs w:val="1"/>
                <w:color w:val="auto"/>
              </w:rPr>
            </w:pPr>
          </w:p>
        </w:tc>
      </w:tr>
      <w:tr>
        <w:trPr>
          <w:trHeight w:val="245"/>
        </w:trPr>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ERSON</w:t>
            </w:r>
          </w:p>
        </w:tc>
        <w:tc>
          <w:tcPr>
            <w:tcW w:w="1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3400" w:type="dxa"/>
            <w:vAlign w:val="bottom"/>
            <w:vMerge w:val="continue"/>
          </w:tcPr>
          <w:p>
            <w:pPr>
              <w:spacing w:after="0"/>
              <w:rPr>
                <w:sz w:val="11"/>
                <w:szCs w:val="11"/>
                <w:color w:val="auto"/>
              </w:rPr>
            </w:pPr>
          </w:p>
        </w:tc>
        <w:tc>
          <w:tcPr>
            <w:tcW w:w="1400" w:type="dxa"/>
            <w:vAlign w:val="bottom"/>
            <w:vMerge w:val="restart"/>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:10</w:t>
            </w:r>
          </w:p>
        </w:tc>
        <w:tc>
          <w:tcPr>
            <w:tcW w:w="6440" w:type="dxa"/>
            <w:vAlign w:val="bottom"/>
            <w:vMerge w:val="restart"/>
          </w:tcPr>
          <w:p>
            <w:pPr>
              <w:ind w:left="1140"/>
              <w:spacing w:after="0" w:line="194" w:lineRule="exact"/>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HARED DISPOSITIVE POWER</w:t>
            </w:r>
          </w:p>
        </w:tc>
        <w:tc>
          <w:tcPr>
            <w:tcW w:w="0" w:type="dxa"/>
            <w:vAlign w:val="bottom"/>
          </w:tcPr>
          <w:p>
            <w:pPr>
              <w:spacing w:after="0"/>
              <w:rPr>
                <w:sz w:val="1"/>
                <w:szCs w:val="1"/>
                <w:color w:val="auto"/>
              </w:rPr>
            </w:pPr>
          </w:p>
        </w:tc>
      </w:tr>
      <w:tr>
        <w:trPr>
          <w:trHeight w:val="59"/>
        </w:trPr>
        <w:tc>
          <w:tcPr>
            <w:tcW w:w="340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6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ITH</w:t>
            </w: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400" w:type="dxa"/>
            <w:vAlign w:val="bottom"/>
            <w:vMerge w:val="continue"/>
          </w:tcPr>
          <w:p>
            <w:pPr>
              <w:spacing w:after="0"/>
              <w:rPr>
                <w:sz w:val="13"/>
                <w:szCs w:val="13"/>
                <w:color w:val="auto"/>
              </w:rPr>
            </w:pPr>
          </w:p>
        </w:tc>
        <w:tc>
          <w:tcPr>
            <w:tcW w:w="1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vMerge w:val="restart"/>
          </w:tcPr>
          <w:p>
            <w:pPr>
              <w:ind w:left="114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ONE</w:t>
            </w:r>
          </w:p>
        </w:tc>
        <w:tc>
          <w:tcPr>
            <w:tcW w:w="0" w:type="dxa"/>
            <w:vAlign w:val="bottom"/>
          </w:tcPr>
          <w:p>
            <w:pPr>
              <w:spacing w:after="0"/>
              <w:rPr>
                <w:sz w:val="1"/>
                <w:szCs w:val="1"/>
                <w:color w:val="auto"/>
              </w:rPr>
            </w:pPr>
          </w:p>
        </w:tc>
      </w:tr>
      <w:tr>
        <w:trPr>
          <w:trHeight w:val="59"/>
        </w:trPr>
        <w:tc>
          <w:tcPr>
            <w:tcW w:w="340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6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3400" w:type="dxa"/>
            <w:vAlign w:val="bottom"/>
          </w:tcPr>
          <w:p>
            <w:pPr>
              <w:spacing w:after="0"/>
              <w:rPr>
                <w:sz w:val="20"/>
                <w:szCs w:val="20"/>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GGREGATE AMOUNT BENEFICIALLY OWNED BY EACH REPORTING PERSON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156845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HECK BOX IF THE AGGREGATE AMOUNT IN ROW</w:t>
      </w:r>
      <w:r>
        <w:rPr>
          <w:rFonts w:ascii="Times New Roman" w:cs="Times New Roman" w:eastAsia="Times New Roman" w:hAnsi="Times New Roman"/>
          <w:sz w:val="18"/>
          <w:szCs w:val="18"/>
          <w:b w:val="1"/>
          <w:bCs w:val="1"/>
          <w:color w:val="auto"/>
        </w:rPr>
        <w:t xml:space="preserve"> (11) </w:t>
      </w:r>
      <w:r>
        <w:rPr>
          <w:rFonts w:ascii="Times New Roman" w:cs="Times New Roman" w:eastAsia="Times New Roman" w:hAnsi="Times New Roman"/>
          <w:sz w:val="12"/>
          <w:szCs w:val="12"/>
          <w:b w:val="1"/>
          <w:bCs w:val="1"/>
          <w:color w:val="auto"/>
        </w:rPr>
        <w:t>EXCLUDES CERTAIN SHARES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(SEE INSTRUCTIONS)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459105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3" w:lineRule="exact"/>
        <w:rPr>
          <w:sz w:val="20"/>
          <w:szCs w:val="20"/>
          <w:color w:val="auto"/>
        </w:rPr>
      </w:pPr>
    </w:p>
    <w:p>
      <w:pPr>
        <w:sectPr>
          <w:pgSz w:w="11900" w:h="16838" w:orient="portrait"/>
          <w:cols w:equalWidth="0" w:num="2">
            <w:col w:w="180" w:space="700"/>
            <w:col w:w="10360"/>
          </w:cols>
          <w:pgMar w:left="320" w:top="111" w:right="339" w:bottom="1440" w:gutter="0" w:footer="0" w:header="0"/>
          <w:type w:val="continuous"/>
        </w:sectPr>
      </w:pPr>
    </w:p>
    <w:p>
      <w:pPr>
        <w:spacing w:after="0" w:line="370" w:lineRule="exact"/>
        <w:rPr>
          <w:sz w:val="20"/>
          <w:szCs w:val="20"/>
          <w:color w:val="auto"/>
        </w:rPr>
      </w:pPr>
    </w:p>
    <w:p>
      <w:pPr>
        <w:ind w:left="880" w:hanging="872"/>
        <w:spacing w:after="0"/>
        <w:tabs>
          <w:tab w:leader="none" w:pos="880" w:val="left"/>
        </w:tabs>
        <w:numPr>
          <w:ilvl w:val="0"/>
          <w:numId w:val="53"/>
        </w:numPr>
        <w:rPr>
          <w:rFonts w:ascii="Times New Roman" w:cs="Times New Roman" w:eastAsia="Times New Roman" w:hAnsi="Times New Roman"/>
          <w:sz w:val="29"/>
          <w:szCs w:val="29"/>
          <w:b w:val="1"/>
          <w:bCs w:val="1"/>
          <w:color w:val="auto"/>
          <w:vertAlign w:val="superscript"/>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ERCENT OF CLASS REPRESENTED BY AMOUNT IN ROW</w:t>
      </w:r>
      <w:r>
        <w:rPr>
          <w:rFonts w:ascii="Times New Roman" w:cs="Times New Roman" w:eastAsia="Times New Roman" w:hAnsi="Times New Roman"/>
          <w:sz w:val="18"/>
          <w:szCs w:val="18"/>
          <w:b w:val="1"/>
          <w:bCs w:val="1"/>
          <w:color w:val="auto"/>
        </w:rPr>
        <w:t xml:space="preserve"> (11)</w:t>
      </w:r>
    </w:p>
    <w:p>
      <w:pPr>
        <w:spacing w:after="0" w:line="1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9" w:lineRule="exact"/>
        <w:rPr>
          <w:sz w:val="20"/>
          <w:szCs w:val="20"/>
          <w:color w:val="auto"/>
        </w:rPr>
      </w:pPr>
    </w:p>
    <w:p>
      <w:pPr>
        <w:ind w:left="880" w:hanging="872"/>
        <w:spacing w:after="0"/>
        <w:tabs>
          <w:tab w:leader="none" w:pos="880" w:val="left"/>
        </w:tabs>
        <w:numPr>
          <w:ilvl w:val="0"/>
          <w:numId w:val="54"/>
        </w:numPr>
        <w:rPr>
          <w:rFonts w:ascii="Times New Roman" w:cs="Times New Roman" w:eastAsia="Times New Roman" w:hAnsi="Times New Roman"/>
          <w:sz w:val="29"/>
          <w:szCs w:val="29"/>
          <w:b w:val="1"/>
          <w:bCs w:val="1"/>
          <w:color w:val="auto"/>
          <w:vertAlign w:val="superscript"/>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YPE OF REPORTING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(SEE INSTRUCTIONS)</w:t>
      </w:r>
    </w:p>
    <w:p>
      <w:pPr>
        <w:spacing w:after="0" w:line="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8" w:name="page9"/>
    <w:bookmarkEnd w:id="8"/>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Item 1.</w:t>
            </w:r>
          </w:p>
        </w:tc>
        <w:tc>
          <w:tcPr>
            <w:tcW w:w="1600" w:type="dxa"/>
            <w:vAlign w:val="bottom"/>
          </w:tcPr>
          <w:p>
            <w:pPr>
              <w:spacing w:after="0"/>
              <w:rPr>
                <w:sz w:val="22"/>
                <w:szCs w:val="22"/>
                <w:color w:val="auto"/>
              </w:rPr>
            </w:pPr>
          </w:p>
        </w:tc>
        <w:tc>
          <w:tcPr>
            <w:tcW w:w="1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7"/>
              </w:rPr>
              <w:t>Security and Issuer</w:t>
            </w:r>
          </w:p>
        </w:tc>
        <w:tc>
          <w:tcPr>
            <w:tcW w:w="6260" w:type="dxa"/>
            <w:vAlign w:val="bottom"/>
          </w:tcPr>
          <w:p>
            <w:pPr>
              <w:spacing w:after="0"/>
              <w:rPr>
                <w:sz w:val="22"/>
                <w:szCs w:val="22"/>
                <w:color w:val="auto"/>
              </w:rPr>
            </w:pPr>
          </w:p>
        </w:tc>
      </w:tr>
      <w:tr>
        <w:trPr>
          <w:trHeight w:val="260"/>
        </w:trPr>
        <w:tc>
          <w:tcPr>
            <w:tcW w:w="960" w:type="dxa"/>
            <w:vAlign w:val="bottom"/>
          </w:tcPr>
          <w:p>
            <w:pPr>
              <w:spacing w:after="0"/>
              <w:rPr>
                <w:sz w:val="22"/>
                <w:szCs w:val="22"/>
                <w:color w:val="auto"/>
              </w:rPr>
            </w:pPr>
          </w:p>
        </w:tc>
        <w:tc>
          <w:tcPr>
            <w:tcW w:w="160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80"/>
              </w:rPr>
              <w:t>This Amendment</w:t>
            </w:r>
          </w:p>
        </w:tc>
        <w:tc>
          <w:tcPr>
            <w:tcW w:w="792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w w:val="99"/>
              </w:rPr>
              <w:t>No. 30 to Schedule 13D on the Common Stock of Oil-Dri Corporation of America (the</w:t>
            </w:r>
          </w:p>
        </w:tc>
      </w:tr>
    </w:tbl>
    <w:p>
      <w:pPr>
        <w:ind w:right="100"/>
        <w:spacing w:after="0" w:line="235" w:lineRule="auto"/>
        <w:rPr>
          <w:sz w:val="20"/>
          <w:szCs w:val="20"/>
          <w:color w:val="auto"/>
        </w:rPr>
      </w:pPr>
      <w:r>
        <w:rPr>
          <w:rFonts w:ascii="Times New Roman" w:cs="Times New Roman" w:eastAsia="Times New Roman" w:hAnsi="Times New Roman"/>
          <w:sz w:val="22"/>
          <w:szCs w:val="22"/>
          <w:color w:val="auto"/>
        </w:rPr>
        <w:t>“Issuer”) is being filed on behalf of the undersigned to amend the Schedule 13D, as amended (the “Schedule 13D”) which was originally filed on November 22, 2000. Unless otherwise indicated, all capitalized terms used herein but not defined herein shall have the same meanings as set forth in the Schedule 13D.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Item 2.</w:t>
            </w:r>
          </w:p>
        </w:tc>
        <w:tc>
          <w:tcPr>
            <w:tcW w:w="1600" w:type="dxa"/>
            <w:vAlign w:val="bottom"/>
          </w:tcPr>
          <w:p>
            <w:pPr>
              <w:spacing w:after="0"/>
              <w:rPr>
                <w:sz w:val="22"/>
                <w:szCs w:val="22"/>
                <w:color w:val="auto"/>
              </w:rPr>
            </w:pPr>
          </w:p>
        </w:tc>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7"/>
              </w:rPr>
              <w:t>Identity and Background</w:t>
            </w:r>
          </w:p>
        </w:tc>
        <w:tc>
          <w:tcPr>
            <w:tcW w:w="6040" w:type="dxa"/>
            <w:vAlign w:val="bottom"/>
          </w:tcPr>
          <w:p>
            <w:pPr>
              <w:spacing w:after="0"/>
              <w:rPr>
                <w:sz w:val="22"/>
                <w:szCs w:val="22"/>
                <w:color w:val="auto"/>
              </w:rPr>
            </w:pPr>
          </w:p>
        </w:tc>
      </w:tr>
      <w:tr>
        <w:trPr>
          <w:trHeight w:val="236"/>
        </w:trPr>
        <w:tc>
          <w:tcPr>
            <w:tcW w:w="960" w:type="dxa"/>
            <w:vAlign w:val="bottom"/>
          </w:tcPr>
          <w:p>
            <w:pPr>
              <w:spacing w:after="0"/>
              <w:rPr>
                <w:sz w:val="20"/>
                <w:szCs w:val="20"/>
                <w:color w:val="auto"/>
              </w:rPr>
            </w:pPr>
          </w:p>
        </w:tc>
        <w:tc>
          <w:tcPr>
            <w:tcW w:w="3760" w:type="dxa"/>
            <w:vAlign w:val="bottom"/>
            <w:gridSpan w:val="2"/>
          </w:tcPr>
          <w:p>
            <w:pPr>
              <w:ind w:left="340"/>
              <w:spacing w:after="0" w:line="236" w:lineRule="exact"/>
              <w:rPr>
                <w:sz w:val="20"/>
                <w:szCs w:val="20"/>
                <w:color w:val="auto"/>
              </w:rPr>
            </w:pPr>
            <w:r>
              <w:rPr>
                <w:rFonts w:ascii="Times New Roman" w:cs="Times New Roman" w:eastAsia="Times New Roman" w:hAnsi="Times New Roman"/>
                <w:sz w:val="22"/>
                <w:szCs w:val="22"/>
                <w:color w:val="auto"/>
                <w:w w:val="99"/>
              </w:rPr>
              <w:t>Item 2 to Schedule 13D is amended, in</w:t>
            </w:r>
          </w:p>
        </w:tc>
        <w:tc>
          <w:tcPr>
            <w:tcW w:w="604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rPr>
              <w:t>pertinent part, as follows:</w:t>
            </w:r>
          </w:p>
        </w:tc>
      </w:tr>
      <w:tr>
        <w:trPr>
          <w:trHeight w:val="267"/>
        </w:trPr>
        <w:tc>
          <w:tcPr>
            <w:tcW w:w="960" w:type="dxa"/>
            <w:vAlign w:val="bottom"/>
          </w:tcPr>
          <w:p>
            <w:pPr>
              <w:spacing w:after="0"/>
              <w:rPr>
                <w:sz w:val="23"/>
                <w:szCs w:val="23"/>
                <w:color w:val="auto"/>
              </w:rPr>
            </w:pPr>
          </w:p>
        </w:tc>
        <w:tc>
          <w:tcPr>
            <w:tcW w:w="98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w w:val="98"/>
              </w:rPr>
              <w:t>This statement is being filed by various entities which except for LICT Corporation (“LICT) and CIBL, Inc.</w:t>
            </w:r>
          </w:p>
        </w:tc>
      </w:tr>
    </w:tbl>
    <w:p>
      <w:pPr>
        <w:ind w:right="420"/>
        <w:spacing w:after="0" w:line="230" w:lineRule="auto"/>
        <w:rPr>
          <w:sz w:val="20"/>
          <w:szCs w:val="20"/>
          <w:color w:val="auto"/>
        </w:rPr>
      </w:pPr>
      <w:r>
        <w:rPr>
          <w:rFonts w:ascii="Times New Roman" w:cs="Times New Roman" w:eastAsia="Times New Roman" w:hAnsi="Times New Roman"/>
          <w:sz w:val="22"/>
          <w:szCs w:val="22"/>
          <w:color w:val="auto"/>
        </w:rPr>
        <w:t>(“CIBL”), engage in various aspects of the securities business, primarily as investment adviser to various institutional and individual clients, including registered investment companies and pension plans, and as general partner or the equivalent of various private investment partnerships or private funds and as a registered broker-dealer. Certain of these entities may also make investments for their own accounts. Mario J. Gabelli (“Mario Gabelli”) is deemed to directly or indirectly control these entities through his ownership interest.</w:t>
      </w:r>
    </w:p>
    <w:p>
      <w:pPr>
        <w:spacing w:after="0" w:line="3" w:lineRule="exact"/>
        <w:rPr>
          <w:sz w:val="20"/>
          <w:szCs w:val="20"/>
          <w:color w:val="auto"/>
        </w:rPr>
      </w:pPr>
    </w:p>
    <w:p>
      <w:pPr>
        <w:ind w:right="180" w:firstLine="1296"/>
        <w:spacing w:after="0" w:line="241" w:lineRule="auto"/>
        <w:rPr>
          <w:sz w:val="20"/>
          <w:szCs w:val="20"/>
          <w:color w:val="auto"/>
        </w:rPr>
      </w:pPr>
      <w:r>
        <w:rPr>
          <w:rFonts w:ascii="Times New Roman" w:cs="Times New Roman" w:eastAsia="Times New Roman" w:hAnsi="Times New Roman"/>
          <w:sz w:val="21"/>
          <w:szCs w:val="21"/>
          <w:color w:val="auto"/>
        </w:rPr>
        <w:t>The foregoing persons in the aggregate often own beneficially more than 5% of a class of equity securities of a particular issuer. Although several of the foregoing persons are treated as institutional investors for purposes of reporting their beneficial ownership on the short-form Schedule 13G, the holdings of those who do not qualify as institutional investors may exceed the 1% threshold presented for filing on Schedule 13G or implementation of their investment philosophy may from time to time require action which could be viewed as not completely passive. In order to avoid any question as to whether their beneficial ownership is being reported on the proper form and in order to provide greater investment flexibility and administrative uniformity, these persons have decided to file their beneficial ownership reports on the more detailed Schedule 13D form rather than on the short-form Schedule 13G and thereby to provide more expansive disclosure than may be necessary.</w:t>
      </w:r>
    </w:p>
    <w:p>
      <w:pPr>
        <w:spacing w:after="0" w:line="4" w:lineRule="exact"/>
        <w:rPr>
          <w:sz w:val="20"/>
          <w:szCs w:val="20"/>
          <w:color w:val="auto"/>
        </w:rPr>
      </w:pPr>
    </w:p>
    <w:p>
      <w:pPr>
        <w:ind w:right="60" w:firstLine="1296"/>
        <w:spacing w:after="0" w:line="241" w:lineRule="auto"/>
        <w:rPr>
          <w:sz w:val="20"/>
          <w:szCs w:val="20"/>
          <w:color w:val="auto"/>
        </w:rPr>
      </w:pPr>
      <w:r>
        <w:rPr>
          <w:rFonts w:ascii="Times New Roman" w:cs="Times New Roman" w:eastAsia="Times New Roman" w:hAnsi="Times New Roman"/>
          <w:sz w:val="21"/>
          <w:szCs w:val="21"/>
          <w:color w:val="auto"/>
        </w:rPr>
        <w:t>(a), (b) and (c) - This statement is being filed by one or more of the following persons: GGCP, Inc. (“GGCP”), GGCP Holdings LLC (“GGCP Holdings”), GAMCO Investors, Inc. (“GBL”), Associated Capital Group, Inc. (“AC”), Gabelli Funds, LLC (“Gabelli Funds”), GAMCO Asset Management Inc. (“GAMCO”), Teton Advisors, Inc. (“Teton Advisors”), Gabelli</w:t>
      </w:r>
    </w:p>
    <w:p>
      <w:pPr>
        <w:spacing w:after="0" w:line="2" w:lineRule="exact"/>
        <w:rPr>
          <w:sz w:val="20"/>
          <w:szCs w:val="20"/>
          <w:color w:val="auto"/>
        </w:rPr>
      </w:pPr>
    </w:p>
    <w:p>
      <w:pPr>
        <w:ind w:right="100" w:firstLine="8"/>
        <w:spacing w:after="0" w:line="230" w:lineRule="auto"/>
        <w:tabs>
          <w:tab w:leader="none" w:pos="222"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Investment Advisers, Inc. (“GCIA”), Morgan Group Holding Co., (“MGH”), G.research, LLC (“G.research”), MJG Associates, Inc. (“MJG Associates”), Gabelli Securities International (Bermuda) Limited (“GSIL”), Gabelli Foundation, Inc. (“Foundation”), Mario Gabelli, LICT and CIBL. Those of the foregoing persons signing this Schedule 13D are hereinafter referred to as the “Reporting Persons”.</w:t>
      </w:r>
    </w:p>
    <w:p>
      <w:pPr>
        <w:spacing w:after="0" w:line="2" w:lineRule="exact"/>
        <w:rPr>
          <w:rFonts w:ascii="Times New Roman" w:cs="Times New Roman" w:eastAsia="Times New Roman" w:hAnsi="Times New Roman"/>
          <w:sz w:val="22"/>
          <w:szCs w:val="22"/>
          <w:color w:val="auto"/>
        </w:rPr>
      </w:pPr>
    </w:p>
    <w:p>
      <w:pPr>
        <w:ind w:right="40" w:firstLine="1296"/>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GGCP makes investments for its own account and is the manager and a member of GGCP Holdings which is the controlling shareholder of GBL and AC. GBL, a public company listed on the New York Stock Exchange, is the parent company for a variety of companies engaged in the securities business, including certain of those named below. AC, a public company listed on the New York Stock Exchange, is the parent company for a variety of companies engaged in the securities business, including certain of those listed below.</w:t>
      </w:r>
    </w:p>
    <w:p>
      <w:pPr>
        <w:spacing w:after="0" w:line="2" w:lineRule="exact"/>
        <w:rPr>
          <w:rFonts w:ascii="Times New Roman" w:cs="Times New Roman" w:eastAsia="Times New Roman" w:hAnsi="Times New Roman"/>
          <w:sz w:val="22"/>
          <w:szCs w:val="22"/>
          <w:color w:val="auto"/>
        </w:rPr>
      </w:pPr>
    </w:p>
    <w:p>
      <w:pPr>
        <w:ind w:right="160" w:firstLine="1296"/>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GAMCO, a wholly-owned subsidiary of GBL, is an investment adviser registered under the Investment Advisers Act of 1940, as amended (“Advisers Act”). GAMCO is an investment manager providing discretionary managed account services for employee benefit plans, private investors, endowments, foundations and others.</w:t>
      </w:r>
    </w:p>
    <w:p>
      <w:pPr>
        <w:spacing w:after="0" w:line="1" w:lineRule="exact"/>
        <w:rPr>
          <w:rFonts w:ascii="Times New Roman" w:cs="Times New Roman" w:eastAsia="Times New Roman" w:hAnsi="Times New Roman"/>
          <w:sz w:val="22"/>
          <w:szCs w:val="22"/>
          <w:color w:val="auto"/>
        </w:rPr>
      </w:pPr>
    </w:p>
    <w:p>
      <w:pPr>
        <w:ind w:firstLine="1296"/>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GCIA, a wholly owned subsidiary of AC, is an investment adviser registered under the Advisers Act and serves as a general partner or investment manager to limited partnerships and offshore investment companies and other accounts. As a part of its business, GCIA may purchase or sell securities for its own account. GCIA or its relying advisers, act as a general partner or investment manager of a number of funds or partnerships, including Gabelli Associates Fund, L.P., Gabelli Associates Fund II, L.P., Gabelli Associates Limited, Gabelli Associates Limited II E, ALCE Partners, L.P., Gabelli Capital Structure Arbitrage Fund LP, Gabelli Capital Structure Arbitrage Fund Limited, Gabelli Intermediate Credit Fund L.P., GAMA Select Plus Master Fund, Ltd., GAMCO Medical Opportunities L.P., and Gabelli Multimedia Partners, L.P.</w:t>
      </w:r>
    </w:p>
    <w:p>
      <w:pPr>
        <w:spacing w:after="0" w:line="3" w:lineRule="exact"/>
        <w:rPr>
          <w:rFonts w:ascii="Times New Roman" w:cs="Times New Roman" w:eastAsia="Times New Roman" w:hAnsi="Times New Roman"/>
          <w:sz w:val="22"/>
          <w:szCs w:val="22"/>
          <w:color w:val="auto"/>
        </w:rPr>
      </w:pPr>
    </w:p>
    <w:p>
      <w:pPr>
        <w:ind w:right="500" w:firstLine="1296"/>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G.research is a wholly owned subsidiary of MGH. MGH in turn is controlled by GGCP through an 69% ownership interest. G.research, is a broker-dealer registered under the Securities Exchange Act of 1934, as amended (“1934 Act”), which as a part of its business regularly purchases and sells securities for its own account.</w:t>
      </w:r>
    </w:p>
    <w:p>
      <w:pPr>
        <w:spacing w:after="0" w:line="1" w:lineRule="exact"/>
        <w:rPr>
          <w:rFonts w:ascii="Times New Roman" w:cs="Times New Roman" w:eastAsia="Times New Roman" w:hAnsi="Times New Roman"/>
          <w:sz w:val="22"/>
          <w:szCs w:val="22"/>
          <w:color w:val="auto"/>
        </w:rPr>
      </w:pPr>
    </w:p>
    <w:p>
      <w:pPr>
        <w:ind w:right="20" w:firstLine="1296"/>
        <w:spacing w:after="0" w:line="22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Gabelli Funds, a wholly owned subsidiary of GBL, is a limited liability company. Gabelli Funds is an investment adviser registered under the Advisers Act which provides advisory services for The Gabelli Equity Trust Inc., The Gabelli Asset Fund, The Gabelli Growth Fund, The Gabelli Convertible and Income Securities Fund Inc., The Gabelli Value 25 Fund Inc., The Gabelli Small Cap Growth Fund, The Gabelli Equity Income Fund, The Gabelli ABC Fund, The Gabelli Global Content &amp; Connectivity Fund, The Gabelli Gold Fund, Inc., The Gabelli Multimedia Trust Inc., The Gabelli Global Rising Income &amp; Dividend Fund, The Gabelli Capital Asset Fund, The Gabelli International Growth Fund, Inc., The Gabelli Global Growth Fund, The Gabelli Utility Trust, The Gabelli Utilities Fund, The Gabelli Dividend Growth Fund, The Gabelli Focus Five Fund, The Comstock Capital Value Fund, The Gabelli Dividend and Income Trust, The Gabelli Global Utility &amp; Income Trust, The GAMCO Global Gold, Natural Resources, &amp; Income Trust, The GAMCO Natural Resources Gold &amp; Income Trust, The GDL Fund, Gabelli Enterprise Mergers &amp; Acquisitions Fund, The Gabelli ESG Fund, Inc., The Gabelli International Small Cap Fund, The Gabelli Healthcare &amp; Wellness </w:t>
      </w:r>
      <w:r>
        <w:rPr>
          <w:rFonts w:ascii="Times New Roman" w:cs="Times New Roman" w:eastAsia="Times New Roman" w:hAnsi="Times New Roman"/>
          <w:sz w:val="35"/>
          <w:szCs w:val="35"/>
          <w:color w:val="auto"/>
          <w:vertAlign w:val="superscript"/>
        </w:rPr>
        <w:t>Rx</w:t>
      </w:r>
      <w:r>
        <w:rPr>
          <w:rFonts w:ascii="Times New Roman" w:cs="Times New Roman" w:eastAsia="Times New Roman" w:hAnsi="Times New Roman"/>
          <w:sz w:val="22"/>
          <w:szCs w:val="22"/>
          <w:color w:val="auto"/>
        </w:rPr>
        <w:t xml:space="preserve"> Trust, The Gabelli Global Small and Mid Cap Value Trust, Gabelli Value Plus+ Trust, Gabelli Merger Plus+ Trust Plc, The Gabelli Global Financial Services Fund, The Gabelli Global Mini Mites Fund, The Gabelli Go Anywhere Trust, The Gabelli Media Mogul Fund, The Gabelli Pet Parents’ Fund, The Gabelli U.S. Treasury Money Market Fund, Bancroft Fund Ltd. and Ellsworth Growth &amp; Income Fund Ltd. (collectively, the “Funds”), which are registered investment companies. Gabelli Funds is also the investment adviser to The GAMCO International SICAV (sub-funds GAMCO Merger Arbitrage and GAMCO All Cap Value), a UCITS III vehicle.</w:t>
      </w:r>
    </w:p>
    <w:p>
      <w:pPr>
        <w:spacing w:after="0" w:line="5" w:lineRule="exact"/>
        <w:rPr>
          <w:rFonts w:ascii="Times New Roman" w:cs="Times New Roman" w:eastAsia="Times New Roman" w:hAnsi="Times New Roman"/>
          <w:sz w:val="22"/>
          <w:szCs w:val="22"/>
          <w:color w:val="auto"/>
        </w:rPr>
      </w:pPr>
    </w:p>
    <w:p>
      <w:pPr>
        <w:ind w:right="80" w:firstLine="1296"/>
        <w:spacing w:after="0" w:line="19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Teton Advisors, an investment adviser registered under the Advisers Act, provides discretionary advisory services to The TETON Westwood Mighty Mites</w:t>
      </w:r>
      <w:r>
        <w:rPr>
          <w:rFonts w:ascii="Times New Roman" w:cs="Times New Roman" w:eastAsia="Times New Roman" w:hAnsi="Times New Roman"/>
          <w:sz w:val="35"/>
          <w:szCs w:val="35"/>
          <w:color w:val="auto"/>
          <w:vertAlign w:val="superscript"/>
        </w:rPr>
        <w:t>sm</w:t>
      </w:r>
      <w:r>
        <w:rPr>
          <w:rFonts w:ascii="Times New Roman" w:cs="Times New Roman" w:eastAsia="Times New Roman" w:hAnsi="Times New Roman"/>
          <w:sz w:val="22"/>
          <w:szCs w:val="22"/>
          <w:color w:val="auto"/>
        </w:rPr>
        <w:t xml:space="preserve"> Fund, The TETON Westwood Income Fund, The TETON Westwood SmallCap Equity Fund, TETON Westwood Intermediate Bond Fund, and The TETON Westwood Mid-Cap Equity Fund.</w:t>
      </w:r>
    </w:p>
    <w:p>
      <w:pPr>
        <w:spacing w:after="0" w:line="2" w:lineRule="exact"/>
        <w:rPr>
          <w:rFonts w:ascii="Times New Roman" w:cs="Times New Roman" w:eastAsia="Times New Roman" w:hAnsi="Times New Roman"/>
          <w:sz w:val="22"/>
          <w:szCs w:val="22"/>
          <w:color w:val="auto"/>
        </w:rPr>
      </w:pPr>
    </w:p>
    <w:p>
      <w:pPr>
        <w:ind w:right="140" w:firstLine="1296"/>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MJG Associates provides advisory services to private investment partnerships and offshore funds. Mario Gabelli is the sole shareholder, director and employee of MJG Associates. MJG Associates is the Investment Manager of Gabelli</w:t>
      </w:r>
    </w:p>
    <w:p>
      <w:pPr>
        <w:sectPr>
          <w:pgSz w:w="11900" w:h="16894" w:orient="portrait"/>
          <w:cols w:equalWidth="0" w:num="1">
            <w:col w:w="11240"/>
          </w:cols>
          <w:pgMar w:left="320" w:top="89" w:right="339" w:bottom="0" w:gutter="0" w:footer="0" w:header="0"/>
        </w:sectPr>
      </w:pPr>
    </w:p>
    <w:bookmarkStart w:id="9" w:name="page10"/>
    <w:bookmarkEnd w:id="9"/>
    <w:p>
      <w:pPr>
        <w:ind w:left="1300" w:right="120" w:hanging="1295"/>
        <w:spacing w:after="0" w:line="253" w:lineRule="auto"/>
        <w:rPr>
          <w:sz w:val="20"/>
          <w:szCs w:val="20"/>
          <w:color w:val="auto"/>
        </w:rPr>
      </w:pPr>
      <w:r>
        <w:rPr>
          <w:rFonts w:ascii="Times New Roman" w:cs="Times New Roman" w:eastAsia="Times New Roman" w:hAnsi="Times New Roman"/>
          <w:sz w:val="21"/>
          <w:szCs w:val="21"/>
          <w:color w:val="auto"/>
        </w:rPr>
        <w:t>International Limited and Gabelli Fund, LDC. Mario J. Gabelli is the general partner of Gabelli Performance Partnership, LP. The Foundation is a private foundation. Mario Gabelli is the Chairman, a Trustee and the Investment Manager of</w:t>
      </w:r>
    </w:p>
    <w:p>
      <w:pPr>
        <w:spacing w:after="0" w:line="231" w:lineRule="auto"/>
        <w:rPr>
          <w:sz w:val="20"/>
          <w:szCs w:val="20"/>
          <w:color w:val="auto"/>
        </w:rPr>
      </w:pPr>
      <w:r>
        <w:rPr>
          <w:rFonts w:ascii="Times New Roman" w:cs="Times New Roman" w:eastAsia="Times New Roman" w:hAnsi="Times New Roman"/>
          <w:sz w:val="22"/>
          <w:szCs w:val="22"/>
          <w:color w:val="auto"/>
        </w:rPr>
        <w:t>the Foundation. Elisa M. Wilson is the President of the Foundation.</w:t>
      </w:r>
    </w:p>
    <w:p>
      <w:pPr>
        <w:spacing w:after="0" w:line="1" w:lineRule="exact"/>
        <w:rPr>
          <w:sz w:val="20"/>
          <w:szCs w:val="20"/>
          <w:color w:val="auto"/>
        </w:rPr>
      </w:pPr>
    </w:p>
    <w:p>
      <w:pPr>
        <w:ind w:firstLine="1296"/>
        <w:spacing w:after="0" w:line="230" w:lineRule="auto"/>
        <w:rPr>
          <w:sz w:val="20"/>
          <w:szCs w:val="20"/>
          <w:color w:val="auto"/>
        </w:rPr>
      </w:pPr>
      <w:r>
        <w:rPr>
          <w:rFonts w:ascii="Times New Roman" w:cs="Times New Roman" w:eastAsia="Times New Roman" w:hAnsi="Times New Roman"/>
          <w:sz w:val="22"/>
          <w:szCs w:val="22"/>
          <w:color w:val="auto"/>
        </w:rPr>
        <w:t>LICT is a holding company with operating subsidiaries engaged primarily in the rural telephone industry. LICT actively pursues new business ventures and acquisitions. LICT makes investments in marketable securities to preserve capital and maintain liquidity for financing their business activities and acquisitions and are not engaged in the business of investing, or trading in securities. Mario J. Gabelli is the Chief Executive Officer, a director, and substantial shareholder of LICT.</w:t>
      </w:r>
    </w:p>
    <w:p>
      <w:pPr>
        <w:spacing w:after="0" w:line="2" w:lineRule="exact"/>
        <w:rPr>
          <w:sz w:val="20"/>
          <w:szCs w:val="20"/>
          <w:color w:val="auto"/>
        </w:rPr>
      </w:pPr>
    </w:p>
    <w:p>
      <w:pPr>
        <w:ind w:right="100" w:firstLine="1296"/>
        <w:spacing w:after="0" w:line="230" w:lineRule="auto"/>
        <w:rPr>
          <w:sz w:val="20"/>
          <w:szCs w:val="20"/>
          <w:color w:val="auto"/>
        </w:rPr>
      </w:pPr>
      <w:r>
        <w:rPr>
          <w:rFonts w:ascii="Times New Roman" w:cs="Times New Roman" w:eastAsia="Times New Roman" w:hAnsi="Times New Roman"/>
          <w:sz w:val="22"/>
          <w:szCs w:val="22"/>
          <w:color w:val="auto"/>
        </w:rPr>
        <w:t>CIBL is a holding company with interests in telecommunications operations, primarily in the rural telephone industry. CIBL actively pursues new business ventures and acquisitions. CIBL makes investments in marketable securities to preserve capital and maintain liquidity for financing their business activities and acquisitions and are not engaged in the business of investing, or trading in securities. Mario J. Gabelli is a director, and substantial shareholder of CIBL.</w:t>
      </w:r>
    </w:p>
    <w:p>
      <w:pPr>
        <w:spacing w:after="0" w:line="2" w:lineRule="exact"/>
        <w:rPr>
          <w:sz w:val="20"/>
          <w:szCs w:val="20"/>
          <w:color w:val="auto"/>
        </w:rPr>
      </w:pPr>
    </w:p>
    <w:p>
      <w:pPr>
        <w:ind w:right="220" w:firstLine="1296"/>
        <w:spacing w:after="0" w:line="230" w:lineRule="auto"/>
        <w:rPr>
          <w:sz w:val="20"/>
          <w:szCs w:val="20"/>
          <w:color w:val="auto"/>
        </w:rPr>
      </w:pPr>
      <w:r>
        <w:rPr>
          <w:rFonts w:ascii="Times New Roman" w:cs="Times New Roman" w:eastAsia="Times New Roman" w:hAnsi="Times New Roman"/>
          <w:sz w:val="22"/>
          <w:szCs w:val="22"/>
          <w:color w:val="auto"/>
        </w:rPr>
        <w:t>Mario Gabelli is the controlling stockholder, Chief Executive Officer and a director of GGCP and Chairman and Chief Executive Officer of GBL. He is the Executive Chairman of AC. Mario Gabelli is also a member of GGCP Holdings. Mario Gabelli is the controlling shareholder of Teton.</w:t>
      </w:r>
    </w:p>
    <w:p>
      <w:pPr>
        <w:ind w:left="1300"/>
        <w:spacing w:after="0" w:line="232" w:lineRule="auto"/>
        <w:rPr>
          <w:sz w:val="20"/>
          <w:szCs w:val="20"/>
          <w:color w:val="auto"/>
        </w:rPr>
      </w:pPr>
      <w:r>
        <w:rPr>
          <w:rFonts w:ascii="Times New Roman" w:cs="Times New Roman" w:eastAsia="Times New Roman" w:hAnsi="Times New Roman"/>
          <w:sz w:val="22"/>
          <w:szCs w:val="22"/>
          <w:color w:val="auto"/>
        </w:rPr>
        <w:t>The Reporting Persons do not admit that they constitute a group.</w:t>
      </w:r>
    </w:p>
    <w:p>
      <w:pPr>
        <w:ind w:right="20" w:firstLine="1296"/>
        <w:spacing w:after="0" w:line="230" w:lineRule="auto"/>
        <w:rPr>
          <w:sz w:val="20"/>
          <w:szCs w:val="20"/>
          <w:color w:val="auto"/>
        </w:rPr>
      </w:pPr>
      <w:r>
        <w:rPr>
          <w:rFonts w:ascii="Times New Roman" w:cs="Times New Roman" w:eastAsia="Times New Roman" w:hAnsi="Times New Roman"/>
          <w:sz w:val="22"/>
          <w:szCs w:val="22"/>
          <w:color w:val="auto"/>
        </w:rPr>
        <w:t>GAMCO is a New York corporation and GBL, MGH and Teton Advisors are Delaware corporations, each having its principal business office at One Corporate Center, Rye, New York 10580. GGCP is a Wyoming corporation and AC and GCIA are Delaware corporations each having its principal business office 191 Mason Street, Greenwich, CT 06830. GGCP Holdings is a Delaware limited liability corporation having its principal business office at 191 Mason Street, Greenwich, CT 06830. G.research is a Delaware limited liability company having its principal officers at One Corporate Center, Rye, New York 10580. Gabelli Funds is a New York limited liability company having its principal business office at One Corporate Center, Rye, New York 10580. MJG Associates is a Connecticut corporation having its principal business office at 191 Mason Street, Greenwich, CT 06830. The Foundation is a Nevada corporation having its principal offices at 165 West Liberty Street, Reno, Nevada 89501. LICT is a Delaware corporation having its principal place of business as 401 Theodore Fremd Avenue, Rye, New York 10580. CIBL, Inc. is a Delaware corporation having its principal place of business as 165 West Liberty Street, Suite 220, Reno, NV 89501.</w:t>
      </w:r>
    </w:p>
    <w:p>
      <w:pPr>
        <w:spacing w:after="0" w:line="6" w:lineRule="exact"/>
        <w:rPr>
          <w:sz w:val="20"/>
          <w:szCs w:val="20"/>
          <w:color w:val="auto"/>
        </w:rPr>
      </w:pPr>
    </w:p>
    <w:p>
      <w:pPr>
        <w:ind w:right="40" w:firstLine="1296"/>
        <w:spacing w:after="0" w:line="230" w:lineRule="auto"/>
        <w:rPr>
          <w:sz w:val="20"/>
          <w:szCs w:val="20"/>
          <w:color w:val="auto"/>
        </w:rPr>
      </w:pPr>
      <w:r>
        <w:rPr>
          <w:rFonts w:ascii="Times New Roman" w:cs="Times New Roman" w:eastAsia="Times New Roman" w:hAnsi="Times New Roman"/>
          <w:sz w:val="22"/>
          <w:szCs w:val="22"/>
          <w:color w:val="auto"/>
        </w:rPr>
        <w:t>For information required by instruction C to Schedule 13D with respect to the executive officers and directors of the foregoing entities and other related persons (collectively, “Covered Persons”), reference is made to Schedule I annexed hereto and incorporated herein by reference.</w:t>
      </w:r>
    </w:p>
    <w:p>
      <w:pPr>
        <w:ind w:left="1600" w:hanging="296"/>
        <w:spacing w:after="0" w:line="232" w:lineRule="auto"/>
        <w:tabs>
          <w:tab w:leader="none" w:pos="16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Not applicable.</w:t>
      </w:r>
    </w:p>
    <w:p>
      <w:pPr>
        <w:ind w:left="1600" w:hanging="296"/>
        <w:spacing w:after="0" w:line="230" w:lineRule="auto"/>
        <w:tabs>
          <w:tab w:leader="none" w:pos="16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Not applicable.</w:t>
      </w:r>
    </w:p>
    <w:p>
      <w:pPr>
        <w:ind w:left="1580" w:hanging="276"/>
        <w:spacing w:after="0"/>
        <w:tabs>
          <w:tab w:leader="none" w:pos="15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Reference is made to Schedule I hereto.</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Item 5.</w:t>
            </w:r>
          </w:p>
        </w:tc>
        <w:tc>
          <w:tcPr>
            <w:tcW w:w="1600" w:type="dxa"/>
            <w:vAlign w:val="bottom"/>
          </w:tcPr>
          <w:p>
            <w:pPr>
              <w:spacing w:after="0"/>
              <w:rPr>
                <w:sz w:val="21"/>
                <w:szCs w:val="21"/>
                <w:color w:val="auto"/>
              </w:rPr>
            </w:pPr>
          </w:p>
        </w:tc>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7"/>
              </w:rPr>
              <w:t>Interest In Securities Of The Issuer</w:t>
            </w:r>
          </w:p>
        </w:tc>
        <w:tc>
          <w:tcPr>
            <w:tcW w:w="1320" w:type="dxa"/>
            <w:vAlign w:val="bottom"/>
          </w:tcPr>
          <w:p>
            <w:pPr>
              <w:spacing w:after="0"/>
              <w:rPr>
                <w:sz w:val="21"/>
                <w:szCs w:val="21"/>
                <w:color w:val="auto"/>
              </w:rPr>
            </w:pPr>
          </w:p>
        </w:tc>
      </w:tr>
      <w:tr>
        <w:trPr>
          <w:trHeight w:val="260"/>
        </w:trPr>
        <w:tc>
          <w:tcPr>
            <w:tcW w:w="960" w:type="dxa"/>
            <w:vAlign w:val="bottom"/>
          </w:tcPr>
          <w:p>
            <w:pPr>
              <w:spacing w:after="0"/>
              <w:rPr>
                <w:sz w:val="22"/>
                <w:szCs w:val="22"/>
                <w:color w:val="auto"/>
              </w:rPr>
            </w:pPr>
          </w:p>
        </w:tc>
        <w:tc>
          <w:tcPr>
            <w:tcW w:w="46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Item 5 to Schedule 13D is amended, in pertinent</w:t>
            </w:r>
          </w:p>
        </w:tc>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w w:val="92"/>
              </w:rPr>
              <w:t>part, as follows:</w:t>
            </w:r>
          </w:p>
        </w:tc>
      </w:tr>
    </w:tbl>
    <w:p>
      <w:pPr>
        <w:ind w:right="60" w:firstLine="1304"/>
        <w:spacing w:after="0" w:line="232" w:lineRule="auto"/>
        <w:tabs>
          <w:tab w:leader="none" w:pos="159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number of Securities to which this Schedule 13D relates is 613,106 shares, representing 11.39% of the 5,384,560 shares outstanding as reported by the Issuer in its most recently filed Definitive Proxy Statement as of October 9, 2020. The Reporting Persons beneficially own those Securities as follows:</w:t>
      </w:r>
    </w:p>
    <w:tbl>
      <w:tblPr>
        <w:tblLayout w:type="fixed"/>
        <w:tblInd w:w="0" w:type="dxa"/>
        <w:tblCellMar>
          <w:top w:w="0" w:type="dxa"/>
          <w:left w:w="0" w:type="dxa"/>
          <w:bottom w:w="0" w:type="dxa"/>
          <w:right w:w="0" w:type="dxa"/>
        </w:tblCellMar>
      </w:tblPr>
      <w:tr>
        <w:trPr>
          <w:trHeight w:val="196"/>
        </w:trPr>
        <w:tc>
          <w:tcPr>
            <w:tcW w:w="3240" w:type="dxa"/>
            <w:vAlign w:val="bottom"/>
          </w:tcPr>
          <w:p>
            <w:pPr>
              <w:spacing w:after="0"/>
              <w:rPr>
                <w:sz w:val="17"/>
                <w:szCs w:val="17"/>
                <w:color w:val="auto"/>
              </w:rPr>
            </w:pPr>
          </w:p>
        </w:tc>
        <w:tc>
          <w:tcPr>
            <w:tcW w:w="4420" w:type="dxa"/>
            <w:vAlign w:val="bottom"/>
          </w:tcPr>
          <w:p>
            <w:pPr>
              <w:jc w:val="center"/>
              <w:ind w:left="850"/>
              <w:spacing w:after="0" w:line="196" w:lineRule="exact"/>
              <w:rPr>
                <w:sz w:val="20"/>
                <w:szCs w:val="20"/>
                <w:color w:val="auto"/>
              </w:rPr>
            </w:pPr>
            <w:r>
              <w:rPr>
                <w:rFonts w:ascii="Times New Roman" w:cs="Times New Roman" w:eastAsia="Times New Roman" w:hAnsi="Times New Roman"/>
                <w:sz w:val="18"/>
                <w:szCs w:val="18"/>
                <w:color w:val="auto"/>
              </w:rPr>
              <w:t>Shares of</w:t>
            </w:r>
          </w:p>
        </w:tc>
        <w:tc>
          <w:tcPr>
            <w:tcW w:w="358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rPr>
              <w:t>% of Class of</w:t>
            </w: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42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Common Stock</w:t>
            </w:r>
          </w:p>
        </w:tc>
        <w:tc>
          <w:tcPr>
            <w:tcW w:w="35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Common</w:t>
            </w:r>
          </w:p>
        </w:tc>
      </w:tr>
      <w:tr>
        <w:trPr>
          <w:trHeight w:val="223"/>
        </w:trPr>
        <w:tc>
          <w:tcPr>
            <w:tcW w:w="3240" w:type="dxa"/>
            <w:vAlign w:val="bottom"/>
            <w:tcBorders>
              <w:bottom w:val="single" w:sz="8" w:color="auto"/>
            </w:tcBorders>
          </w:tcPr>
          <w:p>
            <w:pPr>
              <w:spacing w:after="0"/>
              <w:rPr>
                <w:sz w:val="19"/>
                <w:szCs w:val="19"/>
                <w:color w:val="auto"/>
              </w:rPr>
            </w:pPr>
          </w:p>
        </w:tc>
        <w:tc>
          <w:tcPr>
            <w:tcW w:w="442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tcPr>
          <w:p>
            <w:pPr>
              <w:spacing w:after="0"/>
              <w:rPr>
                <w:sz w:val="19"/>
                <w:szCs w:val="19"/>
                <w:color w:val="auto"/>
              </w:rPr>
            </w:pP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Gabelli Funds</w:t>
            </w:r>
          </w:p>
        </w:tc>
        <w:tc>
          <w:tcPr>
            <w:tcW w:w="442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6"/>
              </w:rPr>
              <w:t>83,300</w:t>
            </w:r>
          </w:p>
        </w:tc>
        <w:tc>
          <w:tcPr>
            <w:tcW w:w="3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1.55%</w:t>
            </w:r>
          </w:p>
        </w:tc>
      </w:tr>
      <w:tr>
        <w:trPr>
          <w:trHeight w:val="41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GAMCO</w:t>
            </w:r>
          </w:p>
        </w:tc>
        <w:tc>
          <w:tcPr>
            <w:tcW w:w="442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rPr>
              <w:t>494,006</w:t>
            </w:r>
          </w:p>
        </w:tc>
        <w:tc>
          <w:tcPr>
            <w:tcW w:w="3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9.17%</w:t>
            </w:r>
          </w:p>
        </w:tc>
      </w:tr>
      <w:tr>
        <w:trPr>
          <w:trHeight w:val="432"/>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Teton Advisors</w:t>
            </w:r>
          </w:p>
        </w:tc>
        <w:tc>
          <w:tcPr>
            <w:tcW w:w="442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6"/>
              </w:rPr>
              <w:t>34,300</w:t>
            </w:r>
          </w:p>
        </w:tc>
        <w:tc>
          <w:tcPr>
            <w:tcW w:w="3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0.64%</w:t>
            </w:r>
          </w:p>
        </w:tc>
      </w:tr>
      <w:tr>
        <w:trPr>
          <w:trHeight w:val="432"/>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AC</w:t>
            </w:r>
          </w:p>
        </w:tc>
        <w:tc>
          <w:tcPr>
            <w:tcW w:w="442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8"/>
              </w:rPr>
              <w:t>1,500</w:t>
            </w:r>
          </w:p>
        </w:tc>
        <w:tc>
          <w:tcPr>
            <w:tcW w:w="3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0.03%</w:t>
            </w:r>
          </w:p>
        </w:tc>
      </w:tr>
    </w:tbl>
    <w:p>
      <w:pPr>
        <w:spacing w:after="0" w:line="189" w:lineRule="exact"/>
        <w:rPr>
          <w:sz w:val="20"/>
          <w:szCs w:val="20"/>
          <w:color w:val="auto"/>
        </w:rPr>
      </w:pPr>
    </w:p>
    <w:p>
      <w:pPr>
        <w:ind w:right="220" w:firstLine="1296"/>
        <w:spacing w:after="0" w:line="238" w:lineRule="auto"/>
        <w:rPr>
          <w:sz w:val="20"/>
          <w:szCs w:val="20"/>
          <w:color w:val="auto"/>
        </w:rPr>
      </w:pPr>
      <w:r>
        <w:rPr>
          <w:rFonts w:ascii="Times New Roman" w:cs="Times New Roman" w:eastAsia="Times New Roman" w:hAnsi="Times New Roman"/>
          <w:sz w:val="22"/>
          <w:szCs w:val="22"/>
          <w:color w:val="auto"/>
        </w:rPr>
        <w:t>Mario Gabelli is deemed to have beneficial ownership of the Securities owned beneficially by each of the foregoing persons. AC, GBL and GGCP are deemed to have beneficial ownership of the Securities owned beneficially by each of the foregoing persons other than Mario Gabelli and the Foundation.</w:t>
      </w:r>
    </w:p>
    <w:p>
      <w:pPr>
        <w:jc w:val="both"/>
        <w:ind w:right="240" w:firstLine="1304"/>
        <w:spacing w:after="0" w:line="241" w:lineRule="auto"/>
        <w:tabs>
          <w:tab w:leader="none" w:pos="1602"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Reporting Persons and Covered Persons has the sole power to vote or direct the vote and sole power to dispose or to direct the disposition of the Securities reported for it, either for its own benefit or for the benefit of its investment clients or its partners, as the case may be, except that that (i) GAMCO does not have the authority to vote 26,500 of</w:t>
      </w:r>
    </w:p>
    <w:p>
      <w:pPr>
        <w:spacing w:after="0" w:line="2" w:lineRule="exact"/>
        <w:rPr>
          <w:sz w:val="20"/>
          <w:szCs w:val="20"/>
          <w:color w:val="auto"/>
        </w:rPr>
      </w:pPr>
    </w:p>
    <w:p>
      <w:pPr>
        <w:ind w:right="60"/>
        <w:spacing w:after="0" w:line="230" w:lineRule="auto"/>
        <w:rPr>
          <w:sz w:val="20"/>
          <w:szCs w:val="20"/>
          <w:color w:val="auto"/>
        </w:rPr>
      </w:pPr>
      <w:r>
        <w:rPr>
          <w:rFonts w:ascii="Times New Roman" w:cs="Times New Roman" w:eastAsia="Times New Roman" w:hAnsi="Times New Roman"/>
          <w:sz w:val="22"/>
          <w:szCs w:val="22"/>
          <w:color w:val="auto"/>
        </w:rPr>
        <w:t>the reported shares, (ii) Gabelli Funds has sole dispositive and voting power with respect to the shares of the Issuer held by the Funds so long as the aggregate voting interest of all joint filers does not exceed 25% of their total voting interest in the Issuer and, in that event, the Proxy Voting Committee of each Fund shall respectively vote that Fund’s shares, (iii) at any time, the Proxy Voting Committee of each such Fund may take and exercise in its sole discretion the entire voting power with respect to the shares held by such fund under special circumstances such as regulatory considerations, and (iv) the power of Mario Gabelli, AC, GBL, and GGCP is indirect with respect to Securities beneficially owned directly by other Reporting Persons.</w:t>
      </w:r>
    </w:p>
    <w:p>
      <w:pPr>
        <w:spacing w:after="0" w:line="3" w:lineRule="exact"/>
        <w:rPr>
          <w:sz w:val="20"/>
          <w:szCs w:val="20"/>
          <w:color w:val="auto"/>
        </w:rPr>
      </w:pPr>
    </w:p>
    <w:p>
      <w:pPr>
        <w:ind w:right="180" w:firstLine="1304"/>
        <w:spacing w:after="0" w:line="230" w:lineRule="auto"/>
        <w:tabs>
          <w:tab w:leader="none" w:pos="159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with respect to all transactions in the Securities which were effected during the past sixty days or since the most recent filing on Schedule 13D, whichever is less, by each of the Reporting Persons and Covered Persons is set forth on Schedule II annexed hereto and incorporated herein by reference.</w:t>
      </w:r>
    </w:p>
    <w:p>
      <w:pPr>
        <w:spacing w:after="0" w:line="1" w:lineRule="exact"/>
        <w:rPr>
          <w:rFonts w:ascii="Times New Roman" w:cs="Times New Roman" w:eastAsia="Times New Roman" w:hAnsi="Times New Roman"/>
          <w:sz w:val="22"/>
          <w:szCs w:val="22"/>
          <w:color w:val="auto"/>
        </w:rPr>
      </w:pPr>
    </w:p>
    <w:p>
      <w:pPr>
        <w:ind w:left="1600" w:hanging="296"/>
        <w:spacing w:after="0"/>
        <w:tabs>
          <w:tab w:leader="none" w:pos="160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240"/>
          </w:cols>
          <w:pgMar w:left="320" w:top="111" w:right="339" w:bottom="52" w:gutter="0" w:footer="0" w:header="0"/>
        </w:sect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52"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22"/>
          <w:szCs w:val="22"/>
          <w:u w:val="single" w:color="auto"/>
          <w:color w:val="auto"/>
        </w:rPr>
        <w:t>Signature</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w:t>
      </w:r>
    </w:p>
    <w:p>
      <w:pPr>
        <w:spacing w:after="0" w:line="230" w:lineRule="auto"/>
        <w:rPr>
          <w:sz w:val="20"/>
          <w:szCs w:val="20"/>
          <w:color w:val="auto"/>
        </w:rPr>
      </w:pPr>
      <w:r>
        <w:rPr>
          <w:rFonts w:ascii="Times New Roman" w:cs="Times New Roman" w:eastAsia="Times New Roman" w:hAnsi="Times New Roman"/>
          <w:sz w:val="22"/>
          <w:szCs w:val="22"/>
          <w:color w:val="auto"/>
        </w:rPr>
        <w:t>statement is true, complete and correct.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November 25, 2020</w:t>
      </w:r>
    </w:p>
    <w:p>
      <w:pPr>
        <w:spacing w:after="0" w:line="200" w:lineRule="exact"/>
        <w:rPr>
          <w:sz w:val="20"/>
          <w:szCs w:val="20"/>
          <w:color w:val="auto"/>
        </w:rPr>
      </w:pPr>
    </w:p>
    <w:p>
      <w:pPr>
        <w:spacing w:after="0" w:line="25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GGCP, INC.</w:t>
      </w:r>
    </w:p>
    <w:p>
      <w:pPr>
        <w:spacing w:after="0" w:line="1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MARIO J. GABELLI</w:t>
      </w:r>
    </w:p>
    <w:p>
      <w:pPr>
        <w:spacing w:after="0" w:line="200" w:lineRule="exact"/>
        <w:rPr>
          <w:sz w:val="20"/>
          <w:szCs w:val="20"/>
          <w:color w:val="auto"/>
        </w:rPr>
      </w:pPr>
    </w:p>
    <w:p>
      <w:pPr>
        <w:spacing w:after="0" w:line="25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r>
        <w:rPr>
          <w:rFonts w:ascii="Times New Roman" w:cs="Times New Roman" w:eastAsia="Times New Roman" w:hAnsi="Times New Roman"/>
          <w:sz w:val="22"/>
          <w:szCs w:val="22"/>
          <w:u w:val="single" w:color="auto"/>
          <w:color w:val="auto"/>
        </w:rPr>
        <w:t>/s/ David Goldman</w:t>
      </w:r>
    </w:p>
    <w:p>
      <w:pPr>
        <w:spacing w:after="0" w:line="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David Goldman</w:t>
      </w:r>
    </w:p>
    <w:p>
      <w:pPr>
        <w:ind w:left="4160"/>
        <w:spacing w:after="0"/>
        <w:rPr>
          <w:sz w:val="20"/>
          <w:szCs w:val="20"/>
          <w:color w:val="auto"/>
        </w:rPr>
      </w:pPr>
      <w:r>
        <w:rPr>
          <w:rFonts w:ascii="Times New Roman" w:cs="Times New Roman" w:eastAsia="Times New Roman" w:hAnsi="Times New Roman"/>
          <w:sz w:val="22"/>
          <w:szCs w:val="22"/>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TETON ADVISORS, INC.</w:t>
      </w:r>
    </w:p>
    <w:p>
      <w:pPr>
        <w:spacing w:after="0" w:line="1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GABELLI FUNDS, LLC</w:t>
      </w:r>
    </w:p>
    <w:p>
      <w:pPr>
        <w:spacing w:after="0" w:line="200" w:lineRule="exact"/>
        <w:rPr>
          <w:sz w:val="20"/>
          <w:szCs w:val="20"/>
          <w:color w:val="auto"/>
        </w:rPr>
      </w:pPr>
    </w:p>
    <w:p>
      <w:pPr>
        <w:spacing w:after="0" w:line="25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r>
        <w:rPr>
          <w:rFonts w:ascii="Times New Roman" w:cs="Times New Roman" w:eastAsia="Times New Roman" w:hAnsi="Times New Roman"/>
          <w:sz w:val="22"/>
          <w:szCs w:val="22"/>
          <w:u w:val="single" w:color="auto"/>
          <w:color w:val="auto"/>
        </w:rPr>
        <w:t>/s/ David Goldman</w:t>
      </w:r>
    </w:p>
    <w:p>
      <w:pPr>
        <w:spacing w:after="0" w:line="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David Goldman</w:t>
      </w:r>
    </w:p>
    <w:p>
      <w:pPr>
        <w:jc w:val="center"/>
        <w:ind w:right="160"/>
        <w:spacing w:after="0"/>
        <w:rPr>
          <w:sz w:val="20"/>
          <w:szCs w:val="20"/>
          <w:color w:val="auto"/>
        </w:rPr>
      </w:pPr>
      <w:r>
        <w:rPr>
          <w:rFonts w:ascii="Times New Roman" w:cs="Times New Roman" w:eastAsia="Times New Roman" w:hAnsi="Times New Roman"/>
          <w:sz w:val="18"/>
          <w:szCs w:val="18"/>
          <w:color w:val="auto"/>
        </w:rPr>
        <w:t>General Counsel – Teton Advisors, Inc</w:t>
      </w:r>
      <w:r>
        <w:rPr>
          <w:rFonts w:ascii="Times New Roman" w:cs="Times New Roman" w:eastAsia="Times New Roman" w:hAnsi="Times New Roman"/>
          <w:sz w:val="18"/>
          <w:szCs w:val="18"/>
          <w:b w:val="1"/>
          <w:bCs w:val="1"/>
          <w:color w:val="auto"/>
        </w:rPr>
        <w:t>.</w:t>
      </w:r>
    </w:p>
    <w:p>
      <w:pPr>
        <w:spacing w:after="0" w:line="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color w:val="auto"/>
        </w:rPr>
        <w:t>&amp; Gabelli Funds, LLC</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GAMCO INVESTORS, INC.</w:t>
      </w: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r>
        <w:rPr>
          <w:rFonts w:ascii="Times New Roman" w:cs="Times New Roman" w:eastAsia="Times New Roman" w:hAnsi="Times New Roman"/>
          <w:sz w:val="22"/>
          <w:szCs w:val="22"/>
          <w:u w:val="single" w:color="auto"/>
          <w:color w:val="auto"/>
        </w:rPr>
        <w:t>/s/ Kevin Handwerker</w:t>
      </w:r>
    </w:p>
    <w:p>
      <w:pPr>
        <w:spacing w:after="0" w:line="1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Kevin Handwerker</w:t>
      </w:r>
    </w:p>
    <w:p>
      <w:pPr>
        <w:spacing w:after="0" w:line="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General Counsel &amp; Secretary – GAMCO Investors, Inc.</w:t>
      </w:r>
    </w:p>
    <w:p>
      <w:pPr>
        <w:spacing w:after="0" w:line="200" w:lineRule="exact"/>
        <w:rPr>
          <w:sz w:val="20"/>
          <w:szCs w:val="20"/>
          <w:color w:val="auto"/>
        </w:rPr>
      </w:pPr>
    </w:p>
    <w:p>
      <w:pPr>
        <w:spacing w:after="0" w:line="29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ASSOCIATED CAPITAL GROUP, INC.</w:t>
      </w:r>
    </w:p>
    <w:p>
      <w:pPr>
        <w:spacing w:after="0" w:line="1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GAMCO ASSET MANAGEMENT INC.</w:t>
      </w:r>
    </w:p>
    <w:p>
      <w:pPr>
        <w:spacing w:after="0" w:line="200" w:lineRule="exact"/>
        <w:rPr>
          <w:sz w:val="20"/>
          <w:szCs w:val="20"/>
          <w:color w:val="auto"/>
        </w:rPr>
      </w:pPr>
    </w:p>
    <w:p>
      <w:pPr>
        <w:spacing w:after="0" w:line="25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r>
        <w:rPr>
          <w:rFonts w:ascii="Times New Roman" w:cs="Times New Roman" w:eastAsia="Times New Roman" w:hAnsi="Times New Roman"/>
          <w:sz w:val="22"/>
          <w:szCs w:val="22"/>
          <w:u w:val="single" w:color="auto"/>
          <w:color w:val="auto"/>
        </w:rPr>
        <w:t>/s/ Douglas R. Jamieson</w:t>
      </w:r>
    </w:p>
    <w:p>
      <w:pPr>
        <w:spacing w:after="0" w:line="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Douglas R. Jamieson</w:t>
      </w:r>
    </w:p>
    <w:p>
      <w:pPr>
        <w:ind w:left="4320"/>
        <w:spacing w:after="0" w:line="230" w:lineRule="auto"/>
        <w:rPr>
          <w:sz w:val="20"/>
          <w:szCs w:val="20"/>
          <w:color w:val="auto"/>
        </w:rPr>
      </w:pPr>
      <w:r>
        <w:rPr>
          <w:rFonts w:ascii="Times New Roman" w:cs="Times New Roman" w:eastAsia="Times New Roman" w:hAnsi="Times New Roman"/>
          <w:sz w:val="22"/>
          <w:szCs w:val="22"/>
          <w:color w:val="auto"/>
        </w:rPr>
        <w:t>President &amp; Chief Executive Officer – Associated Capital</w:t>
      </w:r>
    </w:p>
    <w:p>
      <w:pPr>
        <w:ind w:left="4540"/>
        <w:spacing w:after="0" w:line="231" w:lineRule="auto"/>
        <w:rPr>
          <w:sz w:val="20"/>
          <w:szCs w:val="20"/>
          <w:color w:val="auto"/>
        </w:rPr>
      </w:pPr>
      <w:r>
        <w:rPr>
          <w:rFonts w:ascii="Times New Roman" w:cs="Times New Roman" w:eastAsia="Times New Roman" w:hAnsi="Times New Roman"/>
          <w:sz w:val="22"/>
          <w:szCs w:val="22"/>
          <w:color w:val="auto"/>
        </w:rPr>
        <w:t>Group, Inc.</w:t>
      </w:r>
    </w:p>
    <w:p>
      <w:pPr>
        <w:ind w:left="4220"/>
        <w:spacing w:after="0"/>
        <w:rPr>
          <w:sz w:val="20"/>
          <w:szCs w:val="20"/>
          <w:color w:val="auto"/>
        </w:rPr>
      </w:pPr>
      <w:r>
        <w:rPr>
          <w:rFonts w:ascii="Times New Roman" w:cs="Times New Roman" w:eastAsia="Times New Roman" w:hAnsi="Times New Roman"/>
          <w:sz w:val="22"/>
          <w:szCs w:val="22"/>
          <w:color w:val="auto"/>
        </w:rPr>
        <w:t>President – GAMCO Asset Management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 w:name="page12"/>
    <w:bookmarkEnd w:id="11"/>
    <w:p>
      <w:pPr>
        <w:ind w:left="5320"/>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I</w:t>
      </w:r>
    </w:p>
    <w:p>
      <w:pPr>
        <w:spacing w:after="0" w:line="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Information with Respect to Executive</w:t>
      </w:r>
    </w:p>
    <w:p>
      <w:pPr>
        <w:ind w:left="3800"/>
        <w:spacing w:after="0" w:line="230" w:lineRule="auto"/>
        <w:rPr>
          <w:sz w:val="20"/>
          <w:szCs w:val="20"/>
          <w:color w:val="auto"/>
        </w:rPr>
      </w:pPr>
      <w:r>
        <w:rPr>
          <w:rFonts w:ascii="Times New Roman" w:cs="Times New Roman" w:eastAsia="Times New Roman" w:hAnsi="Times New Roman"/>
          <w:sz w:val="22"/>
          <w:szCs w:val="22"/>
          <w:u w:val="single" w:color="auto"/>
          <w:color w:val="auto"/>
        </w:rPr>
        <w:t>Officers and Directors of the Undersigned</w:t>
      </w:r>
    </w:p>
    <w:p>
      <w:pPr>
        <w:spacing w:after="0" w:line="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color w:val="auto"/>
        </w:rPr>
        <w:t>Schedule I to Schedule 13D is amended, in pertinent part, as follows:</w:t>
      </w:r>
    </w:p>
    <w:p>
      <w:pPr>
        <w:spacing w:after="0" w:line="2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sets forth as to each of the executive officers and directors of the undersigned: his name; his business address; his present principal occupation or employment and the name, principal business and address of any corporation or other organization in which such employment is conducted. Unless otherwise specified, the principal employer of each such individual is GAMCO Asset Management Inc., Gabelli Funds, LLC, Gabelli &amp; Company Investment Advisers, Inc., G.research, LLC, Teton Advisors, Inc., Associated Capital Group, Inc. or GAMCO Investors, Inc., the business address of each of which is One Corporate Center, Rye, New York 10580, and each such individual identified below is a citizen of the United States. To the knowledge of the undersigned, during the last five years, no such person has been convicted in a criminal proceeding (excluding traffic violations or similar misdemeanors), and no such person was a party to a civil proceeding of a judicial or administrative body of competent jurisdiction as a result of which he was or is subject to a judgment, decree or final order enjoining future violations of, or prohibiting or mandating activities subject to, federal or state securities law or finding any violation with respect to such laws except as reported in Item 2(d) and (e) of this Schedule 13D.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GAMCO Investors,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47713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477135" cy="1714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Edwin L. Artzt</w:t>
            </w:r>
          </w:p>
        </w:tc>
        <w:tc>
          <w:tcPr>
            <w:tcW w:w="7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Former Chairman and Chief Executive Officer</w:t>
            </w:r>
          </w:p>
        </w:tc>
      </w:tr>
      <w:tr>
        <w:trPr>
          <w:trHeight w:val="216"/>
        </w:trPr>
        <w:tc>
          <w:tcPr>
            <w:tcW w:w="3160" w:type="dxa"/>
            <w:vAlign w:val="bottom"/>
          </w:tcPr>
          <w:p>
            <w:pPr>
              <w:spacing w:after="0"/>
              <w:rPr>
                <w:sz w:val="18"/>
                <w:szCs w:val="18"/>
                <w:color w:val="auto"/>
              </w:rPr>
            </w:pPr>
          </w:p>
        </w:tc>
        <w:tc>
          <w:tcPr>
            <w:tcW w:w="7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Procter &amp; Gamble Company</w:t>
            </w:r>
          </w:p>
        </w:tc>
      </w:tr>
      <w:tr>
        <w:trPr>
          <w:trHeight w:val="216"/>
        </w:trPr>
        <w:tc>
          <w:tcPr>
            <w:tcW w:w="3160" w:type="dxa"/>
            <w:vAlign w:val="bottom"/>
          </w:tcPr>
          <w:p>
            <w:pPr>
              <w:spacing w:after="0"/>
              <w:rPr>
                <w:sz w:val="18"/>
                <w:szCs w:val="18"/>
                <w:color w:val="auto"/>
              </w:rPr>
            </w:pPr>
          </w:p>
        </w:tc>
        <w:tc>
          <w:tcPr>
            <w:tcW w:w="7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900 Adams Crossing</w:t>
            </w:r>
          </w:p>
        </w:tc>
      </w:tr>
      <w:tr>
        <w:trPr>
          <w:trHeight w:val="234"/>
        </w:trPr>
        <w:tc>
          <w:tcPr>
            <w:tcW w:w="3160" w:type="dxa"/>
            <w:vAlign w:val="bottom"/>
          </w:tcPr>
          <w:p>
            <w:pPr>
              <w:spacing w:after="0"/>
              <w:rPr>
                <w:sz w:val="20"/>
                <w:szCs w:val="20"/>
                <w:color w:val="auto"/>
              </w:rPr>
            </w:pPr>
          </w:p>
        </w:tc>
        <w:tc>
          <w:tcPr>
            <w:tcW w:w="7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Cincinnati, OH 45202</w:t>
            </w:r>
          </w:p>
        </w:tc>
      </w:tr>
      <w:tr>
        <w:trPr>
          <w:trHeight w:val="414"/>
        </w:trPr>
        <w:tc>
          <w:tcPr>
            <w:tcW w:w="31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Raymond C. Avansino</w:t>
            </w:r>
          </w:p>
        </w:tc>
        <w:tc>
          <w:tcPr>
            <w:tcW w:w="7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Chairman &amp; Chief Executive Officer</w:t>
            </w:r>
          </w:p>
        </w:tc>
      </w:tr>
      <w:tr>
        <w:trPr>
          <w:trHeight w:val="216"/>
        </w:trPr>
        <w:tc>
          <w:tcPr>
            <w:tcW w:w="3160" w:type="dxa"/>
            <w:vAlign w:val="bottom"/>
          </w:tcPr>
          <w:p>
            <w:pPr>
              <w:spacing w:after="0"/>
              <w:rPr>
                <w:sz w:val="18"/>
                <w:szCs w:val="18"/>
                <w:color w:val="auto"/>
              </w:rPr>
            </w:pPr>
          </w:p>
        </w:tc>
        <w:tc>
          <w:tcPr>
            <w:tcW w:w="7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E.L. Wiegand Foundation</w:t>
            </w:r>
          </w:p>
        </w:tc>
      </w:tr>
      <w:tr>
        <w:trPr>
          <w:trHeight w:val="216"/>
        </w:trPr>
        <w:tc>
          <w:tcPr>
            <w:tcW w:w="3160" w:type="dxa"/>
            <w:vAlign w:val="bottom"/>
          </w:tcPr>
          <w:p>
            <w:pPr>
              <w:spacing w:after="0"/>
              <w:rPr>
                <w:sz w:val="18"/>
                <w:szCs w:val="18"/>
                <w:color w:val="auto"/>
              </w:rPr>
            </w:pPr>
          </w:p>
        </w:tc>
        <w:tc>
          <w:tcPr>
            <w:tcW w:w="7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165 West Liberty Street</w:t>
            </w:r>
          </w:p>
        </w:tc>
      </w:tr>
      <w:tr>
        <w:trPr>
          <w:trHeight w:val="234"/>
        </w:trPr>
        <w:tc>
          <w:tcPr>
            <w:tcW w:w="3160" w:type="dxa"/>
            <w:vAlign w:val="bottom"/>
          </w:tcPr>
          <w:p>
            <w:pPr>
              <w:spacing w:after="0"/>
              <w:rPr>
                <w:sz w:val="20"/>
                <w:szCs w:val="20"/>
                <w:color w:val="auto"/>
              </w:rPr>
            </w:pPr>
          </w:p>
        </w:tc>
        <w:tc>
          <w:tcPr>
            <w:tcW w:w="7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Reno, NV 89501</w:t>
            </w:r>
          </w:p>
        </w:tc>
      </w:tr>
      <w:tr>
        <w:trPr>
          <w:trHeight w:val="414"/>
        </w:trPr>
        <w:tc>
          <w:tcPr>
            <w:tcW w:w="3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Leslie B. Daniels</w:t>
            </w:r>
          </w:p>
        </w:tc>
        <w:tc>
          <w:tcPr>
            <w:tcW w:w="7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Operating Partner</w:t>
            </w:r>
          </w:p>
        </w:tc>
      </w:tr>
      <w:tr>
        <w:trPr>
          <w:trHeight w:val="216"/>
        </w:trPr>
        <w:tc>
          <w:tcPr>
            <w:tcW w:w="3160" w:type="dxa"/>
            <w:vAlign w:val="bottom"/>
          </w:tcPr>
          <w:p>
            <w:pPr>
              <w:spacing w:after="0"/>
              <w:rPr>
                <w:sz w:val="18"/>
                <w:szCs w:val="18"/>
                <w:color w:val="auto"/>
              </w:rPr>
            </w:pPr>
          </w:p>
        </w:tc>
        <w:tc>
          <w:tcPr>
            <w:tcW w:w="7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AE Industrial Partners, LP</w:t>
            </w:r>
          </w:p>
        </w:tc>
      </w:tr>
      <w:tr>
        <w:trPr>
          <w:trHeight w:val="216"/>
        </w:trPr>
        <w:tc>
          <w:tcPr>
            <w:tcW w:w="3160" w:type="dxa"/>
            <w:vAlign w:val="bottom"/>
          </w:tcPr>
          <w:p>
            <w:pPr>
              <w:spacing w:after="0"/>
              <w:rPr>
                <w:sz w:val="18"/>
                <w:szCs w:val="18"/>
                <w:color w:val="auto"/>
              </w:rPr>
            </w:pPr>
          </w:p>
        </w:tc>
        <w:tc>
          <w:tcPr>
            <w:tcW w:w="7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2500 N. Military Trail, Suite 470</w:t>
            </w:r>
          </w:p>
        </w:tc>
      </w:tr>
      <w:tr>
        <w:trPr>
          <w:trHeight w:val="234"/>
        </w:trPr>
        <w:tc>
          <w:tcPr>
            <w:tcW w:w="3160" w:type="dxa"/>
            <w:vAlign w:val="bottom"/>
          </w:tcPr>
          <w:p>
            <w:pPr>
              <w:spacing w:after="0"/>
              <w:rPr>
                <w:sz w:val="20"/>
                <w:szCs w:val="20"/>
                <w:color w:val="auto"/>
              </w:rPr>
            </w:pPr>
          </w:p>
        </w:tc>
        <w:tc>
          <w:tcPr>
            <w:tcW w:w="7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Boca Raton, FL 33431</w:t>
            </w:r>
          </w:p>
        </w:tc>
      </w:tr>
      <w:tr>
        <w:trPr>
          <w:trHeight w:val="414"/>
        </w:trPr>
        <w:tc>
          <w:tcPr>
            <w:tcW w:w="31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Mario J. Gabelli</w:t>
            </w:r>
          </w:p>
        </w:tc>
        <w:tc>
          <w:tcPr>
            <w:tcW w:w="7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Chief Executive Officer and Chief Investment Officer of GGCP, Inc.</w:t>
            </w:r>
          </w:p>
        </w:tc>
      </w:tr>
      <w:tr>
        <w:trPr>
          <w:trHeight w:val="216"/>
        </w:trPr>
        <w:tc>
          <w:tcPr>
            <w:tcW w:w="3160" w:type="dxa"/>
            <w:vAlign w:val="bottom"/>
          </w:tcPr>
          <w:p>
            <w:pPr>
              <w:spacing w:after="0"/>
              <w:rPr>
                <w:sz w:val="18"/>
                <w:szCs w:val="18"/>
                <w:color w:val="auto"/>
              </w:rPr>
            </w:pPr>
          </w:p>
        </w:tc>
        <w:tc>
          <w:tcPr>
            <w:tcW w:w="7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Chairman &amp; Chief Executive Officer of GAMCO Investors, Inc.</w:t>
            </w:r>
          </w:p>
        </w:tc>
      </w:tr>
      <w:tr>
        <w:trPr>
          <w:trHeight w:val="216"/>
        </w:trPr>
        <w:tc>
          <w:tcPr>
            <w:tcW w:w="3160" w:type="dxa"/>
            <w:vAlign w:val="bottom"/>
          </w:tcPr>
          <w:p>
            <w:pPr>
              <w:spacing w:after="0"/>
              <w:rPr>
                <w:sz w:val="18"/>
                <w:szCs w:val="18"/>
                <w:color w:val="auto"/>
              </w:rPr>
            </w:pPr>
          </w:p>
        </w:tc>
        <w:tc>
          <w:tcPr>
            <w:tcW w:w="7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Executive Chairman of Associated Capital Group, Inc.</w:t>
            </w:r>
          </w:p>
        </w:tc>
      </w:tr>
      <w:tr>
        <w:trPr>
          <w:trHeight w:val="234"/>
        </w:trPr>
        <w:tc>
          <w:tcPr>
            <w:tcW w:w="3160" w:type="dxa"/>
            <w:vAlign w:val="bottom"/>
          </w:tcPr>
          <w:p>
            <w:pPr>
              <w:spacing w:after="0"/>
              <w:rPr>
                <w:sz w:val="20"/>
                <w:szCs w:val="20"/>
                <w:color w:val="auto"/>
              </w:rPr>
            </w:pPr>
          </w:p>
        </w:tc>
        <w:tc>
          <w:tcPr>
            <w:tcW w:w="7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w w:val="99"/>
              </w:rPr>
              <w:t>Director/Trustee of all registered investment companies advised by Gabelli Funds, LLC.</w:t>
            </w:r>
          </w:p>
        </w:tc>
      </w:tr>
      <w:tr>
        <w:trPr>
          <w:trHeight w:val="414"/>
        </w:trPr>
        <w:tc>
          <w:tcPr>
            <w:tcW w:w="3160" w:type="dxa"/>
            <w:vAlign w:val="bottom"/>
          </w:tcPr>
          <w:p>
            <w:pPr>
              <w:spacing w:after="0"/>
              <w:rPr>
                <w:sz w:val="24"/>
                <w:szCs w:val="24"/>
                <w:color w:val="auto"/>
              </w:rPr>
            </w:pPr>
          </w:p>
        </w:tc>
        <w:tc>
          <w:tcPr>
            <w:tcW w:w="7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160" w:type="dxa"/>
            <w:vAlign w:val="bottom"/>
          </w:tcPr>
          <w:p>
            <w:pPr>
              <w:spacing w:after="0"/>
              <w:rPr>
                <w:sz w:val="18"/>
                <w:szCs w:val="18"/>
                <w:color w:val="auto"/>
              </w:rPr>
            </w:pPr>
          </w:p>
        </w:tc>
        <w:tc>
          <w:tcPr>
            <w:tcW w:w="7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c/o GAMCO Investors, Inc.</w:t>
            </w:r>
          </w:p>
        </w:tc>
      </w:tr>
      <w:tr>
        <w:trPr>
          <w:trHeight w:val="216"/>
        </w:trPr>
        <w:tc>
          <w:tcPr>
            <w:tcW w:w="3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Elisa M. Wilson</w:t>
            </w:r>
          </w:p>
        </w:tc>
        <w:tc>
          <w:tcPr>
            <w:tcW w:w="7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One Corporate Center</w:t>
            </w:r>
          </w:p>
        </w:tc>
      </w:tr>
      <w:tr>
        <w:trPr>
          <w:trHeight w:val="234"/>
        </w:trPr>
        <w:tc>
          <w:tcPr>
            <w:tcW w:w="3160" w:type="dxa"/>
            <w:vAlign w:val="bottom"/>
          </w:tcPr>
          <w:p>
            <w:pPr>
              <w:spacing w:after="0"/>
              <w:rPr>
                <w:sz w:val="20"/>
                <w:szCs w:val="20"/>
                <w:color w:val="auto"/>
              </w:rPr>
            </w:pPr>
          </w:p>
        </w:tc>
        <w:tc>
          <w:tcPr>
            <w:tcW w:w="7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Rye, NY 10580</w:t>
            </w:r>
          </w:p>
        </w:tc>
      </w:tr>
      <w:tr>
        <w:trPr>
          <w:trHeight w:val="414"/>
        </w:trPr>
        <w:tc>
          <w:tcPr>
            <w:tcW w:w="31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Eugene R. McGrath</w:t>
            </w:r>
          </w:p>
        </w:tc>
        <w:tc>
          <w:tcPr>
            <w:tcW w:w="7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Former Chairman and Chief Executive Officer</w:t>
            </w:r>
          </w:p>
        </w:tc>
      </w:tr>
      <w:tr>
        <w:trPr>
          <w:trHeight w:val="216"/>
        </w:trPr>
        <w:tc>
          <w:tcPr>
            <w:tcW w:w="3160" w:type="dxa"/>
            <w:vAlign w:val="bottom"/>
          </w:tcPr>
          <w:p>
            <w:pPr>
              <w:spacing w:after="0"/>
              <w:rPr>
                <w:sz w:val="18"/>
                <w:szCs w:val="18"/>
                <w:color w:val="auto"/>
              </w:rPr>
            </w:pPr>
          </w:p>
        </w:tc>
        <w:tc>
          <w:tcPr>
            <w:tcW w:w="7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Consolidated Edison, Inc.</w:t>
            </w:r>
          </w:p>
        </w:tc>
      </w:tr>
      <w:tr>
        <w:trPr>
          <w:trHeight w:val="216"/>
        </w:trPr>
        <w:tc>
          <w:tcPr>
            <w:tcW w:w="3160" w:type="dxa"/>
            <w:vAlign w:val="bottom"/>
          </w:tcPr>
          <w:p>
            <w:pPr>
              <w:spacing w:after="0"/>
              <w:rPr>
                <w:sz w:val="18"/>
                <w:szCs w:val="18"/>
                <w:color w:val="auto"/>
              </w:rPr>
            </w:pPr>
          </w:p>
        </w:tc>
        <w:tc>
          <w:tcPr>
            <w:tcW w:w="7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4 Irving Place</w:t>
            </w:r>
          </w:p>
        </w:tc>
      </w:tr>
      <w:tr>
        <w:trPr>
          <w:trHeight w:val="234"/>
        </w:trPr>
        <w:tc>
          <w:tcPr>
            <w:tcW w:w="3160" w:type="dxa"/>
            <w:vAlign w:val="bottom"/>
          </w:tcPr>
          <w:p>
            <w:pPr>
              <w:spacing w:after="0"/>
              <w:rPr>
                <w:sz w:val="20"/>
                <w:szCs w:val="20"/>
                <w:color w:val="auto"/>
              </w:rPr>
            </w:pPr>
          </w:p>
        </w:tc>
        <w:tc>
          <w:tcPr>
            <w:tcW w:w="7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New York, NY 10003</w:t>
            </w:r>
          </w:p>
        </w:tc>
      </w:tr>
      <w:tr>
        <w:trPr>
          <w:trHeight w:val="414"/>
        </w:trPr>
        <w:tc>
          <w:tcPr>
            <w:tcW w:w="31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Robert S. Prather</w:t>
            </w:r>
          </w:p>
        </w:tc>
        <w:tc>
          <w:tcPr>
            <w:tcW w:w="7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President &amp; Chief Executive Officer</w:t>
            </w:r>
          </w:p>
        </w:tc>
      </w:tr>
      <w:tr>
        <w:trPr>
          <w:trHeight w:val="216"/>
        </w:trPr>
        <w:tc>
          <w:tcPr>
            <w:tcW w:w="3160" w:type="dxa"/>
            <w:vAlign w:val="bottom"/>
          </w:tcPr>
          <w:p>
            <w:pPr>
              <w:spacing w:after="0"/>
              <w:rPr>
                <w:sz w:val="18"/>
                <w:szCs w:val="18"/>
                <w:color w:val="auto"/>
              </w:rPr>
            </w:pPr>
          </w:p>
        </w:tc>
        <w:tc>
          <w:tcPr>
            <w:tcW w:w="7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Heartland Media, LLC</w:t>
            </w:r>
          </w:p>
        </w:tc>
      </w:tr>
      <w:tr>
        <w:trPr>
          <w:trHeight w:val="216"/>
        </w:trPr>
        <w:tc>
          <w:tcPr>
            <w:tcW w:w="3160" w:type="dxa"/>
            <w:vAlign w:val="bottom"/>
          </w:tcPr>
          <w:p>
            <w:pPr>
              <w:spacing w:after="0"/>
              <w:rPr>
                <w:sz w:val="18"/>
                <w:szCs w:val="18"/>
                <w:color w:val="auto"/>
              </w:rPr>
            </w:pPr>
          </w:p>
        </w:tc>
        <w:tc>
          <w:tcPr>
            <w:tcW w:w="7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1843 West Wesley Road</w:t>
            </w:r>
          </w:p>
        </w:tc>
      </w:tr>
      <w:tr>
        <w:trPr>
          <w:trHeight w:val="234"/>
        </w:trPr>
        <w:tc>
          <w:tcPr>
            <w:tcW w:w="3160" w:type="dxa"/>
            <w:vAlign w:val="bottom"/>
          </w:tcPr>
          <w:p>
            <w:pPr>
              <w:spacing w:after="0"/>
              <w:rPr>
                <w:sz w:val="20"/>
                <w:szCs w:val="20"/>
                <w:color w:val="auto"/>
              </w:rPr>
            </w:pPr>
          </w:p>
        </w:tc>
        <w:tc>
          <w:tcPr>
            <w:tcW w:w="7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Atlanta, GA 30327</w:t>
            </w:r>
          </w:p>
        </w:tc>
      </w:tr>
      <w:tr>
        <w:trPr>
          <w:trHeight w:val="41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Officers:</w:t>
            </w:r>
          </w:p>
        </w:tc>
        <w:tc>
          <w:tcPr>
            <w:tcW w:w="740" w:type="dxa"/>
            <w:vAlign w:val="bottom"/>
          </w:tcPr>
          <w:p>
            <w:pPr>
              <w:spacing w:after="0"/>
              <w:rPr>
                <w:sz w:val="24"/>
                <w:szCs w:val="24"/>
                <w:color w:val="auto"/>
              </w:rPr>
            </w:pPr>
          </w:p>
        </w:tc>
        <w:tc>
          <w:tcPr>
            <w:tcW w:w="6360" w:type="dxa"/>
            <w:vAlign w:val="bottom"/>
          </w:tcPr>
          <w:p>
            <w:pPr>
              <w:spacing w:after="0"/>
              <w:rPr>
                <w:sz w:val="24"/>
                <w:szCs w:val="24"/>
                <w:color w:val="auto"/>
              </w:rPr>
            </w:pPr>
          </w:p>
        </w:tc>
      </w:tr>
      <w:tr>
        <w:trPr>
          <w:trHeight w:val="234"/>
        </w:trPr>
        <w:tc>
          <w:tcPr>
            <w:tcW w:w="31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Mario J. Gabelli</w:t>
            </w:r>
          </w:p>
        </w:tc>
        <w:tc>
          <w:tcPr>
            <w:tcW w:w="7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432"/>
        </w:trPr>
        <w:tc>
          <w:tcPr>
            <w:tcW w:w="31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Henry G. Van der Eb</w:t>
            </w:r>
          </w:p>
        </w:tc>
        <w:tc>
          <w:tcPr>
            <w:tcW w:w="7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432"/>
        </w:trPr>
        <w:tc>
          <w:tcPr>
            <w:tcW w:w="31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Bruce N. Alpert</w:t>
            </w:r>
          </w:p>
        </w:tc>
        <w:tc>
          <w:tcPr>
            <w:tcW w:w="7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432"/>
        </w:trPr>
        <w:tc>
          <w:tcPr>
            <w:tcW w:w="31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Kevin Handwerker</w:t>
            </w:r>
          </w:p>
        </w:tc>
        <w:tc>
          <w:tcPr>
            <w:tcW w:w="7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432"/>
        </w:trPr>
        <w:tc>
          <w:tcPr>
            <w:tcW w:w="31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Kieran Caterina</w:t>
            </w:r>
          </w:p>
        </w:tc>
        <w:tc>
          <w:tcPr>
            <w:tcW w:w="7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84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GAMCO Asset Management Inc.</w:t>
            </w:r>
          </w:p>
        </w:tc>
        <w:tc>
          <w:tcPr>
            <w:tcW w:w="740" w:type="dxa"/>
            <w:vAlign w:val="bottom"/>
          </w:tcPr>
          <w:p>
            <w:pPr>
              <w:spacing w:after="0"/>
              <w:rPr>
                <w:sz w:val="24"/>
                <w:szCs w:val="24"/>
                <w:color w:val="auto"/>
              </w:rPr>
            </w:pPr>
          </w:p>
        </w:tc>
        <w:tc>
          <w:tcPr>
            <w:tcW w:w="6360" w:type="dxa"/>
            <w:vAlign w:val="bottom"/>
          </w:tcPr>
          <w:p>
            <w:pPr>
              <w:spacing w:after="0"/>
              <w:rPr>
                <w:sz w:val="24"/>
                <w:szCs w:val="24"/>
                <w:color w:val="auto"/>
              </w:rPr>
            </w:pP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740" w:type="dxa"/>
            <w:vAlign w:val="bottom"/>
          </w:tcPr>
          <w:p>
            <w:pPr>
              <w:spacing w:after="0"/>
              <w:rPr>
                <w:sz w:val="20"/>
                <w:szCs w:val="20"/>
                <w:color w:val="auto"/>
              </w:rPr>
            </w:pPr>
          </w:p>
        </w:tc>
        <w:tc>
          <w:tcPr>
            <w:tcW w:w="6360" w:type="dxa"/>
            <w:vAlign w:val="bottom"/>
          </w:tcPr>
          <w:p>
            <w:pPr>
              <w:spacing w:after="0"/>
              <w:rPr>
                <w:sz w:val="20"/>
                <w:szCs w:val="20"/>
                <w:color w:val="auto"/>
              </w:rPr>
            </w:pPr>
          </w:p>
        </w:tc>
      </w:tr>
      <w:tr>
        <w:trPr>
          <w:trHeight w:val="223"/>
        </w:trPr>
        <w:tc>
          <w:tcPr>
            <w:tcW w:w="3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360" w:type="dxa"/>
            <w:vAlign w:val="bottom"/>
          </w:tcPr>
          <w:p>
            <w:pPr>
              <w:spacing w:after="0"/>
              <w:rPr>
                <w:sz w:val="19"/>
                <w:szCs w:val="19"/>
                <w:color w:val="auto"/>
              </w:rPr>
            </w:pPr>
          </w:p>
        </w:tc>
      </w:tr>
      <w:tr>
        <w:trPr>
          <w:trHeight w:val="198"/>
        </w:trPr>
        <w:tc>
          <w:tcPr>
            <w:tcW w:w="3160" w:type="dxa"/>
            <w:vAlign w:val="bottom"/>
          </w:tcPr>
          <w:p>
            <w:pPr>
              <w:ind w:left="660"/>
              <w:spacing w:after="0" w:line="198" w:lineRule="exact"/>
              <w:rPr>
                <w:sz w:val="20"/>
                <w:szCs w:val="20"/>
                <w:color w:val="auto"/>
              </w:rPr>
            </w:pPr>
            <w:r>
              <w:rPr>
                <w:rFonts w:ascii="Times New Roman" w:cs="Times New Roman" w:eastAsia="Times New Roman" w:hAnsi="Times New Roman"/>
                <w:sz w:val="18"/>
                <w:szCs w:val="18"/>
                <w:color w:val="auto"/>
              </w:rPr>
              <w:t>Douglas R. Jamieson</w:t>
            </w:r>
          </w:p>
        </w:tc>
        <w:tc>
          <w:tcPr>
            <w:tcW w:w="740" w:type="dxa"/>
            <w:vAlign w:val="bottom"/>
          </w:tcPr>
          <w:p>
            <w:pPr>
              <w:spacing w:after="0"/>
              <w:rPr>
                <w:sz w:val="17"/>
                <w:szCs w:val="17"/>
                <w:color w:val="auto"/>
              </w:rPr>
            </w:pPr>
          </w:p>
        </w:tc>
        <w:tc>
          <w:tcPr>
            <w:tcW w:w="6360" w:type="dxa"/>
            <w:vAlign w:val="bottom"/>
          </w:tcPr>
          <w:p>
            <w:pPr>
              <w:spacing w:after="0"/>
              <w:rPr>
                <w:sz w:val="17"/>
                <w:szCs w:val="17"/>
                <w:color w:val="auto"/>
              </w:rPr>
            </w:pPr>
          </w:p>
        </w:tc>
      </w:tr>
      <w:tr>
        <w:trPr>
          <w:trHeight w:val="216"/>
        </w:trPr>
        <w:tc>
          <w:tcPr>
            <w:tcW w:w="31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Regina M. Pitaro</w:t>
            </w:r>
          </w:p>
        </w:tc>
        <w:tc>
          <w:tcPr>
            <w:tcW w:w="740" w:type="dxa"/>
            <w:vAlign w:val="bottom"/>
          </w:tcPr>
          <w:p>
            <w:pPr>
              <w:spacing w:after="0"/>
              <w:rPr>
                <w:sz w:val="18"/>
                <w:szCs w:val="18"/>
                <w:color w:val="auto"/>
              </w:rPr>
            </w:pPr>
          </w:p>
        </w:tc>
        <w:tc>
          <w:tcPr>
            <w:tcW w:w="6360" w:type="dxa"/>
            <w:vAlign w:val="bottom"/>
          </w:tcPr>
          <w:p>
            <w:pPr>
              <w:spacing w:after="0"/>
              <w:rPr>
                <w:sz w:val="18"/>
                <w:szCs w:val="18"/>
                <w:color w:val="auto"/>
              </w:rPr>
            </w:pPr>
          </w:p>
        </w:tc>
      </w:tr>
      <w:tr>
        <w:trPr>
          <w:trHeight w:val="216"/>
        </w:trPr>
        <w:tc>
          <w:tcPr>
            <w:tcW w:w="3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Paul Swirbul</w:t>
            </w:r>
          </w:p>
        </w:tc>
        <w:tc>
          <w:tcPr>
            <w:tcW w:w="740" w:type="dxa"/>
            <w:vAlign w:val="bottom"/>
          </w:tcPr>
          <w:p>
            <w:pPr>
              <w:spacing w:after="0"/>
              <w:rPr>
                <w:sz w:val="18"/>
                <w:szCs w:val="18"/>
                <w:color w:val="auto"/>
              </w:rPr>
            </w:pPr>
          </w:p>
        </w:tc>
        <w:tc>
          <w:tcPr>
            <w:tcW w:w="6360" w:type="dxa"/>
            <w:vAlign w:val="bottom"/>
          </w:tcPr>
          <w:p>
            <w:pPr>
              <w:spacing w:after="0"/>
              <w:rPr>
                <w:sz w:val="18"/>
                <w:szCs w:val="18"/>
                <w:color w:val="auto"/>
              </w:rPr>
            </w:pPr>
          </w:p>
        </w:tc>
      </w:tr>
      <w:tr>
        <w:trPr>
          <w:trHeight w:val="216"/>
        </w:trPr>
        <w:tc>
          <w:tcPr>
            <w:tcW w:w="3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Christopher Desmarais</w:t>
            </w:r>
          </w:p>
        </w:tc>
        <w:tc>
          <w:tcPr>
            <w:tcW w:w="740" w:type="dxa"/>
            <w:vAlign w:val="bottom"/>
          </w:tcPr>
          <w:p>
            <w:pPr>
              <w:spacing w:after="0"/>
              <w:rPr>
                <w:sz w:val="18"/>
                <w:szCs w:val="18"/>
                <w:color w:val="auto"/>
              </w:rPr>
            </w:pPr>
          </w:p>
        </w:tc>
        <w:tc>
          <w:tcPr>
            <w:tcW w:w="6360" w:type="dxa"/>
            <w:vAlign w:val="bottom"/>
          </w:tcPr>
          <w:p>
            <w:pPr>
              <w:spacing w:after="0"/>
              <w:rPr>
                <w:sz w:val="18"/>
                <w:szCs w:val="18"/>
                <w:color w:val="auto"/>
              </w:rPr>
            </w:pP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Officers:</w:t>
            </w:r>
          </w:p>
        </w:tc>
        <w:tc>
          <w:tcPr>
            <w:tcW w:w="740" w:type="dxa"/>
            <w:vAlign w:val="bottom"/>
          </w:tcPr>
          <w:p>
            <w:pPr>
              <w:spacing w:after="0"/>
              <w:rPr>
                <w:sz w:val="20"/>
                <w:szCs w:val="20"/>
                <w:color w:val="auto"/>
              </w:rPr>
            </w:pPr>
          </w:p>
        </w:tc>
        <w:tc>
          <w:tcPr>
            <w:tcW w:w="6360" w:type="dxa"/>
            <w:vAlign w:val="bottom"/>
          </w:tcPr>
          <w:p>
            <w:pPr>
              <w:spacing w:after="0"/>
              <w:rPr>
                <w:sz w:val="20"/>
                <w:szCs w:val="20"/>
                <w:color w:val="auto"/>
              </w:rPr>
            </w:pPr>
          </w:p>
        </w:tc>
      </w:tr>
      <w:tr>
        <w:trPr>
          <w:trHeight w:val="432"/>
        </w:trPr>
        <w:tc>
          <w:tcPr>
            <w:tcW w:w="31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Mario J. Gabelli</w:t>
            </w:r>
          </w:p>
        </w:tc>
        <w:tc>
          <w:tcPr>
            <w:tcW w:w="7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Chief Executive Officer and Chief Investment Officer – Value Portfolios</w:t>
            </w:r>
          </w:p>
        </w:tc>
      </w:tr>
      <w:tr>
        <w:trPr>
          <w:trHeight w:val="432"/>
        </w:trPr>
        <w:tc>
          <w:tcPr>
            <w:tcW w:w="31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Douglas R. Jamieson</w:t>
            </w:r>
          </w:p>
        </w:tc>
        <w:tc>
          <w:tcPr>
            <w:tcW w:w="7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President, Chief Operating Officer and Managing Director</w:t>
            </w:r>
          </w:p>
        </w:tc>
      </w:tr>
      <w:tr>
        <w:trPr>
          <w:trHeight w:val="432"/>
        </w:trPr>
        <w:tc>
          <w:tcPr>
            <w:tcW w:w="31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David Goldman</w:t>
            </w:r>
          </w:p>
        </w:tc>
        <w:tc>
          <w:tcPr>
            <w:tcW w:w="7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General Counsel, Secretary &amp; Chief Compliance Officer</w:t>
            </w:r>
          </w:p>
        </w:tc>
      </w:tr>
      <w:tr>
        <w:trPr>
          <w:trHeight w:val="41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Gabelli Funds, LLC</w:t>
            </w:r>
          </w:p>
        </w:tc>
        <w:tc>
          <w:tcPr>
            <w:tcW w:w="740" w:type="dxa"/>
            <w:vAlign w:val="bottom"/>
          </w:tcPr>
          <w:p>
            <w:pPr>
              <w:spacing w:after="0"/>
              <w:rPr>
                <w:sz w:val="24"/>
                <w:szCs w:val="24"/>
                <w:color w:val="auto"/>
              </w:rPr>
            </w:pPr>
          </w:p>
        </w:tc>
        <w:tc>
          <w:tcPr>
            <w:tcW w:w="6360" w:type="dxa"/>
            <w:vAlign w:val="bottom"/>
          </w:tcPr>
          <w:p>
            <w:pPr>
              <w:spacing w:after="0"/>
              <w:rPr>
                <w:sz w:val="24"/>
                <w:szCs w:val="24"/>
                <w:color w:val="auto"/>
              </w:rPr>
            </w:pP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Officers:</w:t>
            </w:r>
          </w:p>
        </w:tc>
        <w:tc>
          <w:tcPr>
            <w:tcW w:w="740" w:type="dxa"/>
            <w:vAlign w:val="bottom"/>
          </w:tcPr>
          <w:p>
            <w:pPr>
              <w:spacing w:after="0"/>
              <w:rPr>
                <w:sz w:val="20"/>
                <w:szCs w:val="20"/>
                <w:color w:val="auto"/>
              </w:rPr>
            </w:pPr>
          </w:p>
        </w:tc>
        <w:tc>
          <w:tcPr>
            <w:tcW w:w="6360" w:type="dxa"/>
            <w:vAlign w:val="bottom"/>
          </w:tcPr>
          <w:p>
            <w:pPr>
              <w:spacing w:after="0"/>
              <w:rPr>
                <w:sz w:val="20"/>
                <w:szCs w:val="20"/>
                <w:color w:val="auto"/>
              </w:rPr>
            </w:pPr>
          </w:p>
        </w:tc>
      </w:tr>
      <w:tr>
        <w:trPr>
          <w:trHeight w:val="223"/>
        </w:trPr>
        <w:tc>
          <w:tcPr>
            <w:tcW w:w="3160" w:type="dxa"/>
            <w:vAlign w:val="bottom"/>
          </w:tcPr>
          <w:p>
            <w:pPr>
              <w:spacing w:after="0"/>
              <w:rPr>
                <w:sz w:val="19"/>
                <w:szCs w:val="19"/>
                <w:color w:val="auto"/>
              </w:rPr>
            </w:pPr>
          </w:p>
        </w:tc>
        <w:tc>
          <w:tcPr>
            <w:tcW w:w="7100" w:type="dxa"/>
            <w:vAlign w:val="bottom"/>
            <w:gridSpan w:val="2"/>
          </w:tcPr>
          <w:p>
            <w:pPr>
              <w:spacing w:after="0"/>
              <w:rPr>
                <w:sz w:val="19"/>
                <w:szCs w:val="19"/>
                <w:color w:val="auto"/>
              </w:rPr>
            </w:pPr>
          </w:p>
        </w:tc>
      </w:tr>
      <w:tr>
        <w:trPr>
          <w:trHeight w:val="234"/>
        </w:trPr>
        <w:tc>
          <w:tcPr>
            <w:tcW w:w="316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Mario J. Gabelli</w:t>
            </w:r>
          </w:p>
        </w:tc>
        <w:tc>
          <w:tcPr>
            <w:tcW w:w="740" w:type="dxa"/>
            <w:vAlign w:val="bottom"/>
            <w:tcBorders>
              <w:top w:val="single" w:sz="8" w:color="auto"/>
            </w:tcBorders>
          </w:tcPr>
          <w:p>
            <w:pPr>
              <w:spacing w:after="0"/>
              <w:rPr>
                <w:sz w:val="20"/>
                <w:szCs w:val="20"/>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Chief Investment Officer – Value Portfolios</w:t>
            </w:r>
          </w:p>
        </w:tc>
      </w:tr>
    </w:tbl>
    <w:p>
      <w:pPr>
        <w:sectPr>
          <w:pgSz w:w="11900" w:h="16838" w:orient="portrait"/>
          <w:cols w:equalWidth="0" w:num="1">
            <w:col w:w="10260"/>
          </w:cols>
          <w:pgMar w:left="320" w:top="1336" w:right="131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Bruce N. Alpert</w:t>
            </w:r>
          </w:p>
        </w:tc>
        <w:tc>
          <w:tcPr>
            <w:tcW w:w="860" w:type="dxa"/>
            <w:vAlign w:val="bottom"/>
          </w:tcPr>
          <w:p>
            <w:pPr>
              <w:spacing w:after="0"/>
              <w:rPr>
                <w:sz w:val="20"/>
                <w:szCs w:val="20"/>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Operating Officer</w:t>
            </w:r>
          </w:p>
        </w:tc>
      </w:tr>
      <w:tr>
        <w:trPr>
          <w:trHeight w:val="648"/>
        </w:trPr>
        <w:tc>
          <w:tcPr>
            <w:tcW w:w="3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David Goldman</w:t>
            </w:r>
          </w:p>
        </w:tc>
        <w:tc>
          <w:tcPr>
            <w:tcW w:w="86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Vice President, Corporate Development and General Counsel</w:t>
            </w:r>
          </w:p>
        </w:tc>
      </w:tr>
      <w:tr>
        <w:trPr>
          <w:trHeight w:val="432"/>
        </w:trPr>
        <w:tc>
          <w:tcPr>
            <w:tcW w:w="3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Richard Walz</w:t>
            </w:r>
          </w:p>
        </w:tc>
        <w:tc>
          <w:tcPr>
            <w:tcW w:w="86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Compliance Officer</w:t>
            </w:r>
          </w:p>
        </w:tc>
      </w:tr>
      <w:tr>
        <w:trPr>
          <w:trHeight w:val="432"/>
        </w:trPr>
        <w:tc>
          <w:tcPr>
            <w:tcW w:w="3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Kieran Caterina</w:t>
            </w:r>
          </w:p>
        </w:tc>
        <w:tc>
          <w:tcPr>
            <w:tcW w:w="86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432"/>
        </w:trPr>
        <w:tc>
          <w:tcPr>
            <w:tcW w:w="3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John Ball</w:t>
            </w:r>
          </w:p>
        </w:tc>
        <w:tc>
          <w:tcPr>
            <w:tcW w:w="86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Fund Administration</w:t>
            </w:r>
          </w:p>
        </w:tc>
      </w:tr>
      <w:tr>
        <w:trPr>
          <w:trHeight w:val="630"/>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Gabelli Foundation, Inc.</w:t>
            </w:r>
          </w:p>
        </w:tc>
        <w:tc>
          <w:tcPr>
            <w:tcW w:w="86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241"/>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Officers:</w:t>
            </w:r>
          </w:p>
        </w:tc>
        <w:tc>
          <w:tcPr>
            <w:tcW w:w="860" w:type="dxa"/>
            <w:vAlign w:val="bottom"/>
            <w:tcBorders>
              <w:bottom w:val="single" w:sz="8" w:color="auto"/>
            </w:tcBorders>
          </w:tcPr>
          <w:p>
            <w:pPr>
              <w:spacing w:after="0"/>
              <w:rPr>
                <w:sz w:val="20"/>
                <w:szCs w:val="20"/>
                <w:color w:val="auto"/>
              </w:rPr>
            </w:pPr>
          </w:p>
        </w:tc>
        <w:tc>
          <w:tcPr>
            <w:tcW w:w="4460" w:type="dxa"/>
            <w:vAlign w:val="bottom"/>
          </w:tcPr>
          <w:p>
            <w:pPr>
              <w:spacing w:after="0"/>
              <w:rPr>
                <w:sz w:val="20"/>
                <w:szCs w:val="20"/>
                <w:color w:val="auto"/>
              </w:rPr>
            </w:pPr>
          </w:p>
        </w:tc>
      </w:tr>
      <w:tr>
        <w:trPr>
          <w:trHeight w:val="234"/>
        </w:trPr>
        <w:tc>
          <w:tcPr>
            <w:tcW w:w="3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Mario J. Gabelli</w:t>
            </w:r>
          </w:p>
        </w:tc>
        <w:tc>
          <w:tcPr>
            <w:tcW w:w="86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Chairman, Trustee &amp; Chief Investment Officer</w:t>
            </w:r>
          </w:p>
        </w:tc>
      </w:tr>
      <w:tr>
        <w:trPr>
          <w:trHeight w:val="414"/>
        </w:trPr>
        <w:tc>
          <w:tcPr>
            <w:tcW w:w="3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Elisa M. Wilson</w:t>
            </w:r>
          </w:p>
        </w:tc>
        <w:tc>
          <w:tcPr>
            <w:tcW w:w="53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President</w:t>
            </w:r>
          </w:p>
        </w:tc>
      </w:tr>
      <w:tr>
        <w:trPr>
          <w:trHeight w:val="432"/>
        </w:trPr>
        <w:tc>
          <w:tcPr>
            <w:tcW w:w="3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Marc Gabelli</w:t>
            </w:r>
          </w:p>
        </w:tc>
        <w:tc>
          <w:tcPr>
            <w:tcW w:w="53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Trustee</w:t>
            </w:r>
          </w:p>
        </w:tc>
      </w:tr>
      <w:tr>
        <w:trPr>
          <w:trHeight w:val="432"/>
        </w:trPr>
        <w:tc>
          <w:tcPr>
            <w:tcW w:w="3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Matthew R. Gabelli</w:t>
            </w:r>
          </w:p>
        </w:tc>
        <w:tc>
          <w:tcPr>
            <w:tcW w:w="53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Trustee</w:t>
            </w:r>
          </w:p>
        </w:tc>
      </w:tr>
      <w:tr>
        <w:trPr>
          <w:trHeight w:val="432"/>
        </w:trPr>
        <w:tc>
          <w:tcPr>
            <w:tcW w:w="3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Michael Gabelli</w:t>
            </w:r>
          </w:p>
        </w:tc>
        <w:tc>
          <w:tcPr>
            <w:tcW w:w="53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Trustee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GGCP,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40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r>
      <w:tr>
        <w:trPr>
          <w:trHeight w:val="185"/>
        </w:trPr>
        <w:tc>
          <w:tcPr>
            <w:tcW w:w="4040" w:type="dxa"/>
            <w:vAlign w:val="bottom"/>
          </w:tcPr>
          <w:p>
            <w:pPr>
              <w:ind w:left="460"/>
              <w:spacing w:after="0" w:line="185" w:lineRule="exact"/>
              <w:rPr>
                <w:sz w:val="20"/>
                <w:szCs w:val="20"/>
                <w:color w:val="auto"/>
              </w:rPr>
            </w:pPr>
            <w:r>
              <w:rPr>
                <w:rFonts w:ascii="Times New Roman" w:cs="Times New Roman" w:eastAsia="Times New Roman" w:hAnsi="Times New Roman"/>
                <w:sz w:val="18"/>
                <w:szCs w:val="18"/>
                <w:color w:val="auto"/>
              </w:rPr>
              <w:t>Mario J. Gabelli</w:t>
            </w:r>
          </w:p>
        </w:tc>
        <w:tc>
          <w:tcPr>
            <w:tcW w:w="636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Chief Executive Officer and Chief Investment Officer of GGCP, Inc.</w:t>
            </w:r>
          </w:p>
        </w:tc>
      </w:tr>
      <w:tr>
        <w:trPr>
          <w:trHeight w:val="216"/>
        </w:trPr>
        <w:tc>
          <w:tcPr>
            <w:tcW w:w="404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&amp; Chief Executive Officer of GAMCO Investors, Inc.</w:t>
            </w:r>
          </w:p>
        </w:tc>
      </w:tr>
      <w:tr>
        <w:trPr>
          <w:trHeight w:val="216"/>
        </w:trPr>
        <w:tc>
          <w:tcPr>
            <w:tcW w:w="404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Chairman of Associated Capital Group, Inc.</w:t>
            </w:r>
          </w:p>
        </w:tc>
      </w:tr>
      <w:tr>
        <w:trPr>
          <w:trHeight w:val="234"/>
        </w:trPr>
        <w:tc>
          <w:tcPr>
            <w:tcW w:w="4040" w:type="dxa"/>
            <w:vAlign w:val="bottom"/>
          </w:tcPr>
          <w:p>
            <w:pPr>
              <w:spacing w:after="0"/>
              <w:rPr>
                <w:sz w:val="20"/>
                <w:szCs w:val="20"/>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Director/Trustee of all registered investment companies advised by Gabelli Funds, LLC.</w:t>
            </w:r>
          </w:p>
        </w:tc>
      </w:tr>
      <w:tr>
        <w:trPr>
          <w:trHeight w:val="432"/>
        </w:trPr>
        <w:tc>
          <w:tcPr>
            <w:tcW w:w="4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Marc Gabelli</w:t>
            </w: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 GGCP, Inc.</w:t>
            </w:r>
          </w:p>
        </w:tc>
      </w:tr>
      <w:tr>
        <w:trPr>
          <w:trHeight w:val="414"/>
        </w:trPr>
        <w:tc>
          <w:tcPr>
            <w:tcW w:w="4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Matthew R. Gabelli</w:t>
            </w: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 – Trading</w:t>
            </w:r>
          </w:p>
        </w:tc>
      </w:tr>
      <w:tr>
        <w:trPr>
          <w:trHeight w:val="216"/>
        </w:trPr>
        <w:tc>
          <w:tcPr>
            <w:tcW w:w="404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G.research, LLC</w:t>
            </w:r>
          </w:p>
        </w:tc>
      </w:tr>
      <w:tr>
        <w:trPr>
          <w:trHeight w:val="216"/>
        </w:trPr>
        <w:tc>
          <w:tcPr>
            <w:tcW w:w="404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One Corporate Center</w:t>
            </w:r>
          </w:p>
        </w:tc>
      </w:tr>
      <w:tr>
        <w:trPr>
          <w:trHeight w:val="234"/>
        </w:trPr>
        <w:tc>
          <w:tcPr>
            <w:tcW w:w="4040" w:type="dxa"/>
            <w:vAlign w:val="bottom"/>
          </w:tcPr>
          <w:p>
            <w:pPr>
              <w:spacing w:after="0"/>
              <w:rPr>
                <w:sz w:val="20"/>
                <w:szCs w:val="20"/>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Rye, NY 10580</w:t>
            </w:r>
          </w:p>
        </w:tc>
      </w:tr>
      <w:tr>
        <w:trPr>
          <w:trHeight w:val="414"/>
        </w:trPr>
        <w:tc>
          <w:tcPr>
            <w:tcW w:w="4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Michael Gabelli</w:t>
            </w: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&amp; COO</w:t>
            </w:r>
          </w:p>
        </w:tc>
      </w:tr>
      <w:tr>
        <w:trPr>
          <w:trHeight w:val="216"/>
        </w:trPr>
        <w:tc>
          <w:tcPr>
            <w:tcW w:w="404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Gabelli &amp; Partners, LLC</w:t>
            </w:r>
          </w:p>
        </w:tc>
      </w:tr>
      <w:tr>
        <w:trPr>
          <w:trHeight w:val="216"/>
        </w:trPr>
        <w:tc>
          <w:tcPr>
            <w:tcW w:w="404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One Corporate Center</w:t>
            </w:r>
          </w:p>
        </w:tc>
      </w:tr>
      <w:tr>
        <w:trPr>
          <w:trHeight w:val="234"/>
        </w:trPr>
        <w:tc>
          <w:tcPr>
            <w:tcW w:w="4040" w:type="dxa"/>
            <w:vAlign w:val="bottom"/>
          </w:tcPr>
          <w:p>
            <w:pPr>
              <w:spacing w:after="0"/>
              <w:rPr>
                <w:sz w:val="20"/>
                <w:szCs w:val="20"/>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Rye, NY 10580</w:t>
            </w:r>
          </w:p>
        </w:tc>
      </w:tr>
      <w:tr>
        <w:trPr>
          <w:trHeight w:val="630"/>
        </w:trPr>
        <w:tc>
          <w:tcPr>
            <w:tcW w:w="4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Frederic V. Salerno</w:t>
            </w: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w:t>
            </w:r>
          </w:p>
        </w:tc>
      </w:tr>
      <w:tr>
        <w:trPr>
          <w:trHeight w:val="216"/>
        </w:trPr>
        <w:tc>
          <w:tcPr>
            <w:tcW w:w="404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Former Vice Chairman and Chief Financial Officer</w:t>
            </w:r>
          </w:p>
        </w:tc>
      </w:tr>
      <w:tr>
        <w:trPr>
          <w:trHeight w:val="234"/>
        </w:trPr>
        <w:tc>
          <w:tcPr>
            <w:tcW w:w="4040" w:type="dxa"/>
            <w:vAlign w:val="bottom"/>
          </w:tcPr>
          <w:p>
            <w:pPr>
              <w:spacing w:after="0"/>
              <w:rPr>
                <w:sz w:val="20"/>
                <w:szCs w:val="20"/>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Verizon Communications</w:t>
            </w:r>
          </w:p>
        </w:tc>
      </w:tr>
      <w:tr>
        <w:trPr>
          <w:trHeight w:val="648"/>
        </w:trPr>
        <w:tc>
          <w:tcPr>
            <w:tcW w:w="4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Vincent S. Tese</w:t>
            </w: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Chairman – FCB Financial Corp</w:t>
            </w:r>
          </w:p>
        </w:tc>
      </w:tr>
      <w:tr>
        <w:trPr>
          <w:trHeight w:val="432"/>
        </w:trPr>
        <w:tc>
          <w:tcPr>
            <w:tcW w:w="4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Elisa M. Wilson</w:t>
            </w: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1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Officers:</w:t>
            </w:r>
          </w:p>
        </w:tc>
        <w:tc>
          <w:tcPr>
            <w:tcW w:w="960" w:type="dxa"/>
            <w:vAlign w:val="bottom"/>
          </w:tcPr>
          <w:p>
            <w:pPr>
              <w:spacing w:after="0"/>
              <w:rPr>
                <w:sz w:val="24"/>
                <w:szCs w:val="24"/>
                <w:color w:val="auto"/>
              </w:rPr>
            </w:pPr>
          </w:p>
        </w:tc>
        <w:tc>
          <w:tcPr>
            <w:tcW w:w="5400" w:type="dxa"/>
            <w:vAlign w:val="bottom"/>
          </w:tcPr>
          <w:p>
            <w:pPr>
              <w:spacing w:after="0"/>
              <w:rPr>
                <w:sz w:val="24"/>
                <w:szCs w:val="24"/>
                <w:color w:val="auto"/>
              </w:rPr>
            </w:pPr>
          </w:p>
        </w:tc>
      </w:tr>
      <w:tr>
        <w:trPr>
          <w:trHeight w:val="216"/>
        </w:trPr>
        <w:tc>
          <w:tcPr>
            <w:tcW w:w="4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Mario J. Gabelli</w:t>
            </w: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Chief Investment Officer</w:t>
            </w:r>
          </w:p>
        </w:tc>
      </w:tr>
      <w:tr>
        <w:trPr>
          <w:trHeight w:val="234"/>
        </w:trPr>
        <w:tc>
          <w:tcPr>
            <w:tcW w:w="40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Marc Gabelli</w:t>
            </w: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41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GGCP Holdings LLC</w:t>
            </w:r>
          </w:p>
        </w:tc>
        <w:tc>
          <w:tcPr>
            <w:tcW w:w="960" w:type="dxa"/>
            <w:vAlign w:val="bottom"/>
          </w:tcPr>
          <w:p>
            <w:pPr>
              <w:spacing w:after="0"/>
              <w:rPr>
                <w:sz w:val="24"/>
                <w:szCs w:val="24"/>
                <w:color w:val="auto"/>
              </w:rPr>
            </w:pPr>
          </w:p>
        </w:tc>
        <w:tc>
          <w:tcPr>
            <w:tcW w:w="5400" w:type="dxa"/>
            <w:vAlign w:val="bottom"/>
          </w:tcPr>
          <w:p>
            <w:pPr>
              <w:spacing w:after="0"/>
              <w:rPr>
                <w:sz w:val="24"/>
                <w:szCs w:val="24"/>
                <w:color w:val="auto"/>
              </w:rPr>
            </w:pPr>
          </w:p>
        </w:tc>
      </w:t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Members:</w:t>
            </w:r>
          </w:p>
        </w:tc>
        <w:tc>
          <w:tcPr>
            <w:tcW w:w="960" w:type="dxa"/>
            <w:vAlign w:val="bottom"/>
          </w:tcPr>
          <w:p>
            <w:pPr>
              <w:spacing w:after="0"/>
              <w:rPr>
                <w:sz w:val="20"/>
                <w:szCs w:val="20"/>
                <w:color w:val="auto"/>
              </w:rPr>
            </w:pPr>
          </w:p>
        </w:tc>
        <w:tc>
          <w:tcPr>
            <w:tcW w:w="5400" w:type="dxa"/>
            <w:vAlign w:val="bottom"/>
          </w:tcPr>
          <w:p>
            <w:pPr>
              <w:spacing w:after="0"/>
              <w:rPr>
                <w:sz w:val="20"/>
                <w:szCs w:val="20"/>
                <w:color w:val="auto"/>
              </w:rPr>
            </w:pPr>
          </w:p>
        </w:tc>
      </w:tr>
      <w:tr>
        <w:trPr>
          <w:trHeight w:val="432"/>
        </w:trPr>
        <w:tc>
          <w:tcPr>
            <w:tcW w:w="40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GGCP, Inc.</w:t>
            </w: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Manager and Member</w:t>
            </w:r>
          </w:p>
        </w:tc>
      </w:tr>
      <w:tr>
        <w:trPr>
          <w:trHeight w:val="439"/>
        </w:trPr>
        <w:tc>
          <w:tcPr>
            <w:tcW w:w="40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Mario J. Gabelli</w:t>
            </w: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00"/>
          </w:cols>
          <w:pgMar w:left="320" w:top="850" w:right="11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Teton Advisors,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4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Marc Gabelli</w:t>
            </w: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Executive Chairman</w:t>
            </w:r>
          </w:p>
        </w:tc>
      </w:tr>
      <w:tr>
        <w:trPr>
          <w:trHeight w:val="414"/>
        </w:trPr>
        <w:tc>
          <w:tcPr>
            <w:tcW w:w="4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Vincent J. Amabile</w:t>
            </w: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Founder- Amabile Partners</w:t>
            </w:r>
          </w:p>
        </w:tc>
      </w:tr>
      <w:tr>
        <w:trPr>
          <w:trHeight w:val="432"/>
        </w:trPr>
        <w:tc>
          <w:tcPr>
            <w:tcW w:w="4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Stephen G. Bondi, CPA</w:t>
            </w: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 Mittleman Brothers, LLC</w:t>
            </w:r>
          </w:p>
        </w:tc>
      </w:tr>
      <w:tr>
        <w:trPr>
          <w:trHeight w:val="432"/>
        </w:trPr>
        <w:tc>
          <w:tcPr>
            <w:tcW w:w="4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Aaron J. Feingold, M.D.</w:t>
            </w: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Founder – Raritan Bay Cardiology Group</w:t>
            </w:r>
          </w:p>
        </w:tc>
      </w:tr>
      <w:tr>
        <w:trPr>
          <w:trHeight w:val="432"/>
        </w:trPr>
        <w:tc>
          <w:tcPr>
            <w:tcW w:w="4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Nicholas F. Galluccio</w:t>
            </w: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432"/>
        </w:trPr>
        <w:tc>
          <w:tcPr>
            <w:tcW w:w="4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Kevin M. Keeley</w:t>
            </w: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w w:val="99"/>
              </w:rPr>
              <w:t>President &amp; Executive Chairman – Keeley Teton Advisors, LLC</w:t>
            </w:r>
          </w:p>
        </w:tc>
      </w:tr>
      <w:tr>
        <w:trPr>
          <w:trHeight w:val="432"/>
        </w:trPr>
        <w:tc>
          <w:tcPr>
            <w:tcW w:w="4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John M. Tesoro, CPA</w:t>
            </w: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Retired Partner – KPMG LLP</w:t>
            </w:r>
          </w:p>
        </w:tc>
      </w:tr>
      <w:tr>
        <w:trPr>
          <w:trHeight w:val="648"/>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Officers:</w:t>
            </w:r>
          </w:p>
        </w:tc>
        <w:tc>
          <w:tcPr>
            <w:tcW w:w="4640" w:type="dxa"/>
            <w:vAlign w:val="bottom"/>
          </w:tcPr>
          <w:p>
            <w:pPr>
              <w:spacing w:after="0"/>
              <w:rPr>
                <w:sz w:val="24"/>
                <w:szCs w:val="24"/>
                <w:color w:val="auto"/>
              </w:rPr>
            </w:pPr>
          </w:p>
        </w:tc>
      </w:tr>
      <w:tr>
        <w:trPr>
          <w:trHeight w:val="432"/>
        </w:trPr>
        <w:tc>
          <w:tcPr>
            <w:tcW w:w="4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Nicholas F. Galluccio</w:t>
            </w: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See above</w:t>
            </w:r>
          </w:p>
        </w:tc>
      </w:tr>
      <w:tr>
        <w:trPr>
          <w:trHeight w:val="432"/>
        </w:trPr>
        <w:tc>
          <w:tcPr>
            <w:tcW w:w="4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Patrick B. Huvane, CPA, CFA</w:t>
            </w: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4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Deanna B. Marotz</w:t>
            </w: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Chief Compliance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309" w:right="1440" w:bottom="1440" w:gutter="0" w:footer="0" w:header="0"/>
        </w:sectPr>
      </w:pPr>
    </w:p>
    <w:bookmarkStart w:id="16" w:name="page17"/>
    <w:bookmarkEnd w:id="16"/>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Associated Capital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20" w:type="dxa"/>
            <w:vAlign w:val="bottom"/>
            <w:tcBorders>
              <w:top w:val="single" w:sz="8" w:color="auto"/>
            </w:tcBorders>
          </w:tcPr>
          <w:p>
            <w:pPr>
              <w:ind w:left="660"/>
              <w:spacing w:after="0" w:line="205" w:lineRule="exact"/>
              <w:rPr>
                <w:sz w:val="20"/>
                <w:szCs w:val="20"/>
                <w:color w:val="auto"/>
              </w:rPr>
            </w:pPr>
            <w:r>
              <w:rPr>
                <w:rFonts w:ascii="Times New Roman" w:cs="Times New Roman" w:eastAsia="Times New Roman" w:hAnsi="Times New Roman"/>
                <w:sz w:val="18"/>
                <w:szCs w:val="18"/>
                <w:color w:val="auto"/>
              </w:rPr>
              <w:t>Mario J. Gabelli</w:t>
            </w:r>
          </w:p>
        </w:tc>
        <w:tc>
          <w:tcPr>
            <w:tcW w:w="2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3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Chief Executive Officer and Chief Investment Officer of GGCP, Inc.</w:t>
            </w:r>
          </w:p>
        </w:tc>
      </w:tr>
      <w:tr>
        <w:trPr>
          <w:trHeight w:val="216"/>
        </w:trPr>
        <w:tc>
          <w:tcPr>
            <w:tcW w:w="3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Chairman &amp; Chief Executive Officer of GAMCO Investors, Inc.</w:t>
            </w:r>
          </w:p>
        </w:tc>
      </w:tr>
      <w:tr>
        <w:trPr>
          <w:trHeight w:val="216"/>
        </w:trPr>
        <w:tc>
          <w:tcPr>
            <w:tcW w:w="3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Executive Chairman of Associated Capital Group, Inc.</w:t>
            </w:r>
          </w:p>
        </w:tc>
      </w:tr>
      <w:tr>
        <w:trPr>
          <w:trHeight w:val="234"/>
        </w:trPr>
        <w:tc>
          <w:tcPr>
            <w:tcW w:w="3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w w:val="99"/>
              </w:rPr>
              <w:t>Director/Trustee of all registered investment companies advised by Gabelli Funds, LLC.</w:t>
            </w:r>
          </w:p>
        </w:tc>
      </w:tr>
      <w:tr>
        <w:trPr>
          <w:trHeight w:val="648"/>
        </w:trPr>
        <w:tc>
          <w:tcPr>
            <w:tcW w:w="36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Marc Gabelli</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President – GGCP, Inc.</w:t>
            </w:r>
          </w:p>
        </w:tc>
      </w:tr>
      <w:tr>
        <w:trPr>
          <w:trHeight w:val="432"/>
        </w:trPr>
        <w:tc>
          <w:tcPr>
            <w:tcW w:w="36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Douglas R. Jamieson</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36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Bruce Lisman</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Former Chairman - JP Morgan – Global Equity Division</w:t>
            </w:r>
          </w:p>
        </w:tc>
      </w:tr>
      <w:tr>
        <w:trPr>
          <w:trHeight w:val="630"/>
        </w:trPr>
        <w:tc>
          <w:tcPr>
            <w:tcW w:w="3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Daniel R. Lee</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3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Full House Resorts, Inc.</w:t>
            </w:r>
          </w:p>
        </w:tc>
      </w:tr>
      <w:tr>
        <w:trPr>
          <w:trHeight w:val="216"/>
        </w:trPr>
        <w:tc>
          <w:tcPr>
            <w:tcW w:w="3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4670 South Ford Apache Road, Suite 190</w:t>
            </w:r>
          </w:p>
        </w:tc>
      </w:tr>
      <w:tr>
        <w:trPr>
          <w:trHeight w:val="234"/>
        </w:trPr>
        <w:tc>
          <w:tcPr>
            <w:tcW w:w="3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Las Vegas, NV 89147</w:t>
            </w:r>
          </w:p>
        </w:tc>
      </w:tr>
      <w:tr>
        <w:trPr>
          <w:trHeight w:val="432"/>
        </w:trPr>
        <w:tc>
          <w:tcPr>
            <w:tcW w:w="36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Salvatore F. Sodano</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Vice Chairman – Broadridge Financial Solutions</w:t>
            </w:r>
          </w:p>
        </w:tc>
      </w:tr>
      <w:tr>
        <w:trPr>
          <w:trHeight w:val="648"/>
        </w:trPr>
        <w:tc>
          <w:tcPr>
            <w:tcW w:w="36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Frederic V. Salerno</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See above</w:t>
            </w:r>
          </w:p>
        </w:tc>
      </w:tr>
      <w:tr>
        <w:trPr>
          <w:trHeight w:val="648"/>
        </w:trPr>
        <w:tc>
          <w:tcPr>
            <w:tcW w:w="36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Elisa M. Wilson</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1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Officers: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4"/>
                <w:szCs w:val="24"/>
                <w:color w:val="auto"/>
              </w:rPr>
            </w:pPr>
          </w:p>
        </w:tc>
      </w:tr>
      <w:tr>
        <w:trPr>
          <w:trHeight w:val="234"/>
        </w:trPr>
        <w:tc>
          <w:tcPr>
            <w:tcW w:w="3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Mario J. Gabelli</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Executive Chairman</w:t>
            </w:r>
          </w:p>
        </w:tc>
      </w:tr>
      <w:tr>
        <w:trPr>
          <w:trHeight w:val="432"/>
        </w:trPr>
        <w:tc>
          <w:tcPr>
            <w:tcW w:w="3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Douglas R. Jamieson</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3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Kenneth D. Masiello</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432"/>
        </w:trPr>
        <w:tc>
          <w:tcPr>
            <w:tcW w:w="3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Kevin Handwerker</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432"/>
        </w:trPr>
        <w:tc>
          <w:tcPr>
            <w:tcW w:w="3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David Fitzgerald</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Assistant Secretary</w:t>
            </w:r>
          </w:p>
        </w:tc>
      </w:tr>
      <w:tr>
        <w:trPr>
          <w:trHeight w:val="655"/>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Gabelli &amp; Company Investment Advisers, Inc.</w:t>
            </w: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360" w:type="dxa"/>
            <w:vAlign w:val="bottom"/>
          </w:tcPr>
          <w:p>
            <w:pPr>
              <w:spacing w:after="0"/>
              <w:rPr>
                <w:sz w:val="24"/>
                <w:szCs w:val="24"/>
                <w:color w:val="auto"/>
              </w:rPr>
            </w:pP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60" w:type="dxa"/>
            <w:vAlign w:val="bottom"/>
          </w:tcPr>
          <w:p>
            <w:pPr>
              <w:spacing w:after="0"/>
              <w:rPr>
                <w:sz w:val="20"/>
                <w:szCs w:val="20"/>
                <w:color w:val="auto"/>
              </w:rPr>
            </w:pPr>
          </w:p>
        </w:tc>
      </w:tr>
      <w:tr>
        <w:trPr>
          <w:trHeight w:val="414"/>
        </w:trPr>
        <w:tc>
          <w:tcPr>
            <w:tcW w:w="36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Douglas R. Jamieson</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4"/>
                <w:szCs w:val="24"/>
                <w:color w:val="auto"/>
              </w:rPr>
            </w:pPr>
          </w:p>
        </w:tc>
      </w:tr>
      <w:tr>
        <w:trPr>
          <w:trHeight w:val="657"/>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Officers: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4"/>
                <w:szCs w:val="24"/>
                <w:color w:val="auto"/>
              </w:rPr>
            </w:pPr>
          </w:p>
        </w:tc>
      </w:tr>
      <w:tr>
        <w:trPr>
          <w:trHeight w:val="234"/>
        </w:trPr>
        <w:tc>
          <w:tcPr>
            <w:tcW w:w="36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Douglas R. Jamieson</w:t>
            </w:r>
          </w:p>
        </w:tc>
        <w:tc>
          <w:tcPr>
            <w:tcW w:w="67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432"/>
        </w:trPr>
        <w:tc>
          <w:tcPr>
            <w:tcW w:w="36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John Givissis</w:t>
            </w:r>
          </w:p>
        </w:tc>
        <w:tc>
          <w:tcPr>
            <w:tcW w:w="67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Controller</w:t>
            </w:r>
          </w:p>
        </w:tc>
      </w:tr>
      <w:tr>
        <w:trPr>
          <w:trHeight w:val="432"/>
        </w:trPr>
        <w:tc>
          <w:tcPr>
            <w:tcW w:w="3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Kevin Handwerker</w:t>
            </w:r>
          </w:p>
        </w:tc>
        <w:tc>
          <w:tcPr>
            <w:tcW w:w="67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Secretary</w:t>
            </w:r>
          </w:p>
        </w:tc>
      </w:tr>
      <w:tr>
        <w:trPr>
          <w:trHeight w:val="432"/>
        </w:trPr>
        <w:tc>
          <w:tcPr>
            <w:tcW w:w="3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David Fitzgerald</w:t>
            </w:r>
          </w:p>
        </w:tc>
        <w:tc>
          <w:tcPr>
            <w:tcW w:w="67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Assistant Secretary</w:t>
            </w:r>
          </w:p>
        </w:tc>
      </w:tr>
      <w:tr>
        <w:trPr>
          <w:trHeight w:val="439"/>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G.research, LLC</w:t>
            </w:r>
          </w:p>
        </w:tc>
        <w:tc>
          <w:tcPr>
            <w:tcW w:w="2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4"/>
                <w:szCs w:val="24"/>
                <w:color w:val="auto"/>
              </w:rPr>
            </w:pPr>
          </w:p>
        </w:tc>
      </w:tr>
      <w:tr>
        <w:trPr>
          <w:trHeight w:val="41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Officers: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4"/>
                <w:szCs w:val="24"/>
                <w:color w:val="auto"/>
              </w:rPr>
            </w:pPr>
          </w:p>
        </w:tc>
      </w:tr>
      <w:tr>
        <w:trPr>
          <w:trHeight w:val="234"/>
        </w:trPr>
        <w:tc>
          <w:tcPr>
            <w:tcW w:w="3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Cornelius V. McGinity</w:t>
            </w:r>
          </w:p>
        </w:tc>
        <w:tc>
          <w:tcPr>
            <w:tcW w:w="67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Office of the Chairman</w:t>
            </w:r>
          </w:p>
        </w:tc>
      </w:tr>
      <w:tr>
        <w:trPr>
          <w:trHeight w:val="432"/>
        </w:trPr>
        <w:tc>
          <w:tcPr>
            <w:tcW w:w="3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Vincent Amabile</w:t>
            </w:r>
          </w:p>
        </w:tc>
        <w:tc>
          <w:tcPr>
            <w:tcW w:w="67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President</w:t>
            </w:r>
          </w:p>
        </w:tc>
      </w:tr>
      <w:tr>
        <w:trPr>
          <w:trHeight w:val="432"/>
        </w:trPr>
        <w:tc>
          <w:tcPr>
            <w:tcW w:w="36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Bruce N. Alpert</w:t>
            </w:r>
          </w:p>
        </w:tc>
        <w:tc>
          <w:tcPr>
            <w:tcW w:w="67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432"/>
        </w:trPr>
        <w:tc>
          <w:tcPr>
            <w:tcW w:w="3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Bernard Frize</w:t>
            </w:r>
          </w:p>
        </w:tc>
        <w:tc>
          <w:tcPr>
            <w:tcW w:w="67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Chief Compliance Officer</w:t>
            </w:r>
          </w:p>
        </w:tc>
      </w:tr>
      <w:tr>
        <w:trPr>
          <w:trHeight w:val="432"/>
        </w:trPr>
        <w:tc>
          <w:tcPr>
            <w:tcW w:w="3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Joseph Fernandez</w:t>
            </w:r>
          </w:p>
        </w:tc>
        <w:tc>
          <w:tcPr>
            <w:tcW w:w="67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Controller and Financial and Operations Principal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15</w:t>
      </w:r>
    </w:p>
    <w:p>
      <w:pPr>
        <w:sectPr>
          <w:pgSz w:w="11900" w:h="16854" w:orient="portrait"/>
          <w:cols w:equalWidth="0" w:num="1">
            <w:col w:w="10400"/>
          </w:cols>
          <w:pgMar w:left="320" w:top="823" w:right="1179" w:bottom="0"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ind w:left="1740"/>
        <w:spacing w:after="0"/>
        <w:rPr>
          <w:sz w:val="20"/>
          <w:szCs w:val="20"/>
          <w:color w:val="auto"/>
        </w:rPr>
      </w:pPr>
      <w:r>
        <w:rPr>
          <w:rFonts w:ascii="Times New Roman" w:cs="Times New Roman" w:eastAsia="Times New Roman" w:hAnsi="Times New Roman"/>
          <w:sz w:val="22"/>
          <w:szCs w:val="22"/>
          <w:color w:val="auto"/>
        </w:rPr>
        <w:t>SCHEDULE II</w:t>
      </w:r>
    </w:p>
    <w:p>
      <w:pPr>
        <w:spacing w:after="0" w:line="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INFORMATION WITH RESPECT TO</w:t>
      </w:r>
    </w:p>
    <w:p>
      <w:pPr>
        <w:ind w:left="920" w:right="2859" w:hanging="3"/>
        <w:spacing w:after="0" w:line="230" w:lineRule="auto"/>
        <w:rPr>
          <w:sz w:val="20"/>
          <w:szCs w:val="20"/>
          <w:color w:val="auto"/>
        </w:rPr>
      </w:pPr>
      <w:r>
        <w:rPr>
          <w:rFonts w:ascii="Times New Roman" w:cs="Times New Roman" w:eastAsia="Times New Roman" w:hAnsi="Times New Roman"/>
          <w:sz w:val="22"/>
          <w:szCs w:val="22"/>
          <w:color w:val="auto"/>
        </w:rPr>
        <w:t>TRANSACTIONS EFFECTED DURING THE PAST SIXTY DAYS OR SINCE THE MOST RECENT FILING ON SCHEDULE 13D (1)</w:t>
      </w:r>
    </w:p>
    <w:p>
      <w:pPr>
        <w:ind w:left="1900"/>
        <w:spacing w:after="0"/>
        <w:tabs>
          <w:tab w:leader="none" w:pos="4480" w:val="left"/>
        </w:tabs>
        <w:rPr>
          <w:sz w:val="20"/>
          <w:szCs w:val="20"/>
          <w:color w:val="auto"/>
        </w:rPr>
      </w:pPr>
      <w:r>
        <w:rPr>
          <w:rFonts w:ascii="Times New Roman" w:cs="Times New Roman" w:eastAsia="Times New Roman" w:hAnsi="Times New Roman"/>
          <w:sz w:val="22"/>
          <w:szCs w:val="22"/>
          <w:color w:val="auto"/>
        </w:rPr>
        <w:t>SHARES PURCHASED</w:t>
      </w:r>
      <w:r>
        <w:rPr>
          <w:sz w:val="20"/>
          <w:szCs w:val="20"/>
          <w:color w:val="auto"/>
        </w:rPr>
        <w:tab/>
      </w:r>
      <w:r>
        <w:rPr>
          <w:rFonts w:ascii="Times New Roman" w:cs="Times New Roman" w:eastAsia="Times New Roman" w:hAnsi="Times New Roman"/>
          <w:sz w:val="19"/>
          <w:szCs w:val="19"/>
          <w:color w:val="auto"/>
        </w:rPr>
        <w:t>AVERAGE</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82"/>
        </w:trPr>
        <w:tc>
          <w:tcPr>
            <w:tcW w:w="218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SOLD(-)</w:t>
            </w:r>
          </w:p>
        </w:tc>
        <w:tc>
          <w:tcPr>
            <w:tcW w:w="218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PRICE(2)</w:t>
            </w:r>
          </w:p>
        </w:tc>
      </w:tr>
      <w:tr>
        <w:trPr>
          <w:trHeight w:val="462"/>
        </w:trPr>
        <w:tc>
          <w:tcPr>
            <w:tcW w:w="558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7"/>
              </w:rPr>
              <w:t>COMMON STOCK-OIL-DRI CORPORATION OF AMERICA</w:t>
            </w:r>
          </w:p>
        </w:tc>
      </w:tr>
      <w:tr>
        <w:trPr>
          <w:trHeight w:val="447"/>
        </w:trPr>
        <w:tc>
          <w:tcPr>
            <w:tcW w:w="5580" w:type="dxa"/>
            <w:vAlign w:val="bottom"/>
            <w:gridSpan w:val="3"/>
          </w:tcPr>
          <w:p>
            <w:pPr>
              <w:ind w:left="480"/>
              <w:spacing w:after="0"/>
              <w:rPr>
                <w:sz w:val="20"/>
                <w:szCs w:val="20"/>
                <w:color w:val="auto"/>
              </w:rPr>
            </w:pPr>
            <w:r>
              <w:rPr>
                <w:rFonts w:ascii="Times New Roman" w:cs="Times New Roman" w:eastAsia="Times New Roman" w:hAnsi="Times New Roman"/>
                <w:sz w:val="22"/>
                <w:szCs w:val="22"/>
                <w:color w:val="auto"/>
              </w:rPr>
              <w:t>GAMCO ASSET MANAGEMENT INC.</w:t>
            </w:r>
          </w:p>
        </w:tc>
      </w:tr>
      <w:tr>
        <w:trPr>
          <w:trHeight w:val="243"/>
        </w:trPr>
        <w:tc>
          <w:tcPr>
            <w:tcW w:w="218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11/11/20</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700-</w:t>
            </w:r>
          </w:p>
        </w:tc>
        <w:tc>
          <w:tcPr>
            <w:tcW w:w="2180" w:type="dxa"/>
            <w:vAlign w:val="bottom"/>
          </w:tcPr>
          <w:p>
            <w:pPr>
              <w:jc w:val="right"/>
              <w:ind w:right="1312"/>
              <w:spacing w:after="0" w:line="243" w:lineRule="exact"/>
              <w:rPr>
                <w:sz w:val="20"/>
                <w:szCs w:val="20"/>
                <w:color w:val="auto"/>
              </w:rPr>
            </w:pPr>
            <w:r>
              <w:rPr>
                <w:rFonts w:ascii="Times New Roman" w:cs="Times New Roman" w:eastAsia="Times New Roman" w:hAnsi="Times New Roman"/>
                <w:sz w:val="22"/>
                <w:szCs w:val="22"/>
                <w:color w:val="auto"/>
              </w:rPr>
              <w:t>*DO</w:t>
            </w:r>
          </w:p>
        </w:tc>
      </w:tr>
      <w:tr>
        <w:trPr>
          <w:trHeight w:val="243"/>
        </w:trPr>
        <w:tc>
          <w:tcPr>
            <w:tcW w:w="218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11/05/20</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1,500-</w:t>
            </w:r>
          </w:p>
        </w:tc>
        <w:tc>
          <w:tcPr>
            <w:tcW w:w="2180" w:type="dxa"/>
            <w:vAlign w:val="bottom"/>
          </w:tcPr>
          <w:p>
            <w:pPr>
              <w:jc w:val="right"/>
              <w:ind w:right="1072"/>
              <w:spacing w:after="0" w:line="243" w:lineRule="exact"/>
              <w:rPr>
                <w:sz w:val="20"/>
                <w:szCs w:val="20"/>
                <w:color w:val="auto"/>
              </w:rPr>
            </w:pPr>
            <w:r>
              <w:rPr>
                <w:rFonts w:ascii="Times New Roman" w:cs="Times New Roman" w:eastAsia="Times New Roman" w:hAnsi="Times New Roman"/>
                <w:sz w:val="22"/>
                <w:szCs w:val="22"/>
                <w:color w:val="auto"/>
              </w:rPr>
              <w:t>33.0264</w:t>
            </w:r>
          </w:p>
        </w:tc>
      </w:tr>
      <w:tr>
        <w:trPr>
          <w:trHeight w:val="243"/>
        </w:trPr>
        <w:tc>
          <w:tcPr>
            <w:tcW w:w="218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10/26/20</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1,000-</w:t>
            </w:r>
          </w:p>
        </w:tc>
        <w:tc>
          <w:tcPr>
            <w:tcW w:w="2180" w:type="dxa"/>
            <w:vAlign w:val="bottom"/>
          </w:tcPr>
          <w:p>
            <w:pPr>
              <w:jc w:val="right"/>
              <w:ind w:right="1072"/>
              <w:spacing w:after="0" w:line="243" w:lineRule="exact"/>
              <w:rPr>
                <w:sz w:val="20"/>
                <w:szCs w:val="20"/>
                <w:color w:val="auto"/>
              </w:rPr>
            </w:pPr>
            <w:r>
              <w:rPr>
                <w:rFonts w:ascii="Times New Roman" w:cs="Times New Roman" w:eastAsia="Times New Roman" w:hAnsi="Times New Roman"/>
                <w:sz w:val="22"/>
                <w:szCs w:val="22"/>
                <w:color w:val="auto"/>
              </w:rPr>
              <w:t>35.4780</w:t>
            </w:r>
          </w:p>
        </w:tc>
      </w:tr>
      <w:tr>
        <w:trPr>
          <w:trHeight w:val="243"/>
        </w:trPr>
        <w:tc>
          <w:tcPr>
            <w:tcW w:w="218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10/13/20</w:t>
            </w:r>
          </w:p>
        </w:tc>
        <w:tc>
          <w:tcPr>
            <w:tcW w:w="122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color w:val="auto"/>
                <w:w w:val="99"/>
              </w:rPr>
              <w:t>300-</w:t>
            </w:r>
          </w:p>
        </w:tc>
        <w:tc>
          <w:tcPr>
            <w:tcW w:w="2180" w:type="dxa"/>
            <w:vAlign w:val="bottom"/>
          </w:tcPr>
          <w:p>
            <w:pPr>
              <w:jc w:val="right"/>
              <w:ind w:right="1112"/>
              <w:spacing w:after="0" w:line="243" w:lineRule="exact"/>
              <w:rPr>
                <w:sz w:val="20"/>
                <w:szCs w:val="20"/>
                <w:color w:val="auto"/>
              </w:rPr>
            </w:pPr>
            <w:r>
              <w:rPr>
                <w:rFonts w:ascii="Times New Roman" w:cs="Times New Roman" w:eastAsia="Times New Roman" w:hAnsi="Times New Roman"/>
                <w:sz w:val="22"/>
                <w:szCs w:val="22"/>
                <w:color w:val="auto"/>
              </w:rPr>
              <w:t>35.8633</w:t>
            </w:r>
          </w:p>
        </w:tc>
      </w:tr>
      <w:tr>
        <w:trPr>
          <w:trHeight w:val="243"/>
        </w:trPr>
        <w:tc>
          <w:tcPr>
            <w:tcW w:w="2180" w:type="dxa"/>
            <w:vAlign w:val="bottom"/>
          </w:tcPr>
          <w:p>
            <w:pPr>
              <w:ind w:left="1200"/>
              <w:spacing w:after="0" w:line="243" w:lineRule="exact"/>
              <w:rPr>
                <w:sz w:val="20"/>
                <w:szCs w:val="20"/>
                <w:color w:val="auto"/>
              </w:rPr>
            </w:pPr>
            <w:r>
              <w:rPr>
                <w:rFonts w:ascii="Times New Roman" w:cs="Times New Roman" w:eastAsia="Times New Roman" w:hAnsi="Times New Roman"/>
                <w:sz w:val="22"/>
                <w:szCs w:val="22"/>
                <w:color w:val="auto"/>
              </w:rPr>
              <w:t>9/29/20</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600-</w:t>
            </w:r>
          </w:p>
        </w:tc>
        <w:tc>
          <w:tcPr>
            <w:tcW w:w="2180" w:type="dxa"/>
            <w:vAlign w:val="bottom"/>
          </w:tcPr>
          <w:p>
            <w:pPr>
              <w:jc w:val="right"/>
              <w:ind w:right="1172"/>
              <w:spacing w:after="0" w:line="243" w:lineRule="exact"/>
              <w:rPr>
                <w:sz w:val="20"/>
                <w:szCs w:val="20"/>
                <w:color w:val="auto"/>
              </w:rPr>
            </w:pPr>
            <w:r>
              <w:rPr>
                <w:rFonts w:ascii="Times New Roman" w:cs="Times New Roman" w:eastAsia="Times New Roman" w:hAnsi="Times New Roman"/>
                <w:sz w:val="22"/>
                <w:szCs w:val="22"/>
                <w:color w:val="auto"/>
              </w:rPr>
              <w:t>36.3037</w:t>
            </w:r>
          </w:p>
        </w:tc>
      </w:tr>
      <w:tr>
        <w:trPr>
          <w:trHeight w:val="243"/>
        </w:trPr>
        <w:tc>
          <w:tcPr>
            <w:tcW w:w="3400" w:type="dxa"/>
            <w:vAlign w:val="bottom"/>
            <w:gridSpan w:val="2"/>
          </w:tcPr>
          <w:p>
            <w:pPr>
              <w:ind w:left="480"/>
              <w:spacing w:after="0" w:line="243" w:lineRule="exact"/>
              <w:rPr>
                <w:sz w:val="20"/>
                <w:szCs w:val="20"/>
                <w:color w:val="auto"/>
              </w:rPr>
            </w:pPr>
            <w:r>
              <w:rPr>
                <w:rFonts w:ascii="Times New Roman" w:cs="Times New Roman" w:eastAsia="Times New Roman" w:hAnsi="Times New Roman"/>
                <w:sz w:val="22"/>
                <w:szCs w:val="22"/>
                <w:color w:val="auto"/>
              </w:rPr>
              <w:t>TETON ADVISORS, INC.</w:t>
            </w:r>
          </w:p>
        </w:tc>
        <w:tc>
          <w:tcPr>
            <w:tcW w:w="2180" w:type="dxa"/>
            <w:vAlign w:val="bottom"/>
          </w:tcPr>
          <w:p>
            <w:pPr>
              <w:spacing w:after="0"/>
              <w:rPr>
                <w:sz w:val="21"/>
                <w:szCs w:val="21"/>
                <w:color w:val="auto"/>
              </w:rPr>
            </w:pPr>
          </w:p>
        </w:tc>
      </w:tr>
      <w:tr>
        <w:trPr>
          <w:trHeight w:val="243"/>
        </w:trPr>
        <w:tc>
          <w:tcPr>
            <w:tcW w:w="218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11/02/20</w:t>
            </w:r>
          </w:p>
        </w:tc>
        <w:tc>
          <w:tcPr>
            <w:tcW w:w="122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color w:val="auto"/>
                <w:w w:val="94"/>
              </w:rPr>
              <w:t>500-</w:t>
            </w:r>
          </w:p>
        </w:tc>
        <w:tc>
          <w:tcPr>
            <w:tcW w:w="2180" w:type="dxa"/>
            <w:vAlign w:val="bottom"/>
          </w:tcPr>
          <w:p>
            <w:pPr>
              <w:jc w:val="right"/>
              <w:ind w:right="1132"/>
              <w:spacing w:after="0" w:line="243" w:lineRule="exact"/>
              <w:rPr>
                <w:sz w:val="20"/>
                <w:szCs w:val="20"/>
                <w:color w:val="auto"/>
              </w:rPr>
            </w:pPr>
            <w:r>
              <w:rPr>
                <w:rFonts w:ascii="Times New Roman" w:cs="Times New Roman" w:eastAsia="Times New Roman" w:hAnsi="Times New Roman"/>
                <w:sz w:val="22"/>
                <w:szCs w:val="22"/>
                <w:color w:val="auto"/>
              </w:rPr>
              <w:t>33.7816</w:t>
            </w:r>
          </w:p>
        </w:tc>
      </w:tr>
      <w:tr>
        <w:trPr>
          <w:trHeight w:val="282"/>
        </w:trPr>
        <w:tc>
          <w:tcPr>
            <w:tcW w:w="218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10/08/20</w:t>
            </w:r>
          </w:p>
        </w:tc>
        <w:tc>
          <w:tcPr>
            <w:tcW w:w="1220" w:type="dxa"/>
            <w:vAlign w:val="bottom"/>
          </w:tcPr>
          <w:p>
            <w:pPr>
              <w:jc w:val="center"/>
              <w:ind w:left="32"/>
              <w:spacing w:after="0"/>
              <w:rPr>
                <w:sz w:val="20"/>
                <w:szCs w:val="20"/>
                <w:color w:val="auto"/>
              </w:rPr>
            </w:pPr>
            <w:r>
              <w:rPr>
                <w:rFonts w:ascii="Times New Roman" w:cs="Times New Roman" w:eastAsia="Times New Roman" w:hAnsi="Times New Roman"/>
                <w:sz w:val="22"/>
                <w:szCs w:val="22"/>
                <w:color w:val="auto"/>
                <w:w w:val="99"/>
              </w:rPr>
              <w:t>500-</w:t>
            </w:r>
          </w:p>
        </w:tc>
        <w:tc>
          <w:tcPr>
            <w:tcW w:w="2180" w:type="dxa"/>
            <w:vAlign w:val="bottom"/>
          </w:tcPr>
          <w:p>
            <w:pPr>
              <w:jc w:val="right"/>
              <w:ind w:right="1112"/>
              <w:spacing w:after="0"/>
              <w:rPr>
                <w:sz w:val="20"/>
                <w:szCs w:val="20"/>
                <w:color w:val="auto"/>
              </w:rPr>
            </w:pPr>
            <w:r>
              <w:rPr>
                <w:rFonts w:ascii="Times New Roman" w:cs="Times New Roman" w:eastAsia="Times New Roman" w:hAnsi="Times New Roman"/>
                <w:sz w:val="22"/>
                <w:szCs w:val="22"/>
                <w:color w:val="auto"/>
              </w:rPr>
              <w:t>37.0000</w:t>
            </w:r>
          </w:p>
        </w:tc>
      </w:tr>
    </w:tbl>
    <w:p>
      <w:pPr>
        <w:spacing w:after="0" w:line="200" w:lineRule="exact"/>
        <w:rPr>
          <w:sz w:val="20"/>
          <w:szCs w:val="20"/>
          <w:color w:val="auto"/>
        </w:rPr>
      </w:pPr>
    </w:p>
    <w:p>
      <w:pPr>
        <w:spacing w:after="0" w:line="237" w:lineRule="exact"/>
        <w:rPr>
          <w:sz w:val="20"/>
          <w:szCs w:val="20"/>
          <w:color w:val="auto"/>
        </w:rPr>
      </w:pPr>
    </w:p>
    <w:tbl>
      <w:tblPr>
        <w:tblLayout w:type="fixed"/>
        <w:tblInd w:w="1200" w:type="dxa"/>
        <w:tblCellMar>
          <w:top w:w="0" w:type="dxa"/>
          <w:left w:w="0" w:type="dxa"/>
          <w:bottom w:w="0" w:type="dxa"/>
          <w:right w:w="0" w:type="dxa"/>
        </w:tblCellMar>
      </w:tblPr>
      <w:tr>
        <w:trPr>
          <w:trHeight w:val="253"/>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11/24/20</w:t>
            </w:r>
          </w:p>
        </w:tc>
        <w:tc>
          <w:tcPr>
            <w:tcW w:w="116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1,169-</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35.4803</w:t>
            </w:r>
          </w:p>
        </w:tc>
      </w:tr>
      <w:tr>
        <w:trPr>
          <w:trHeight w:val="243"/>
        </w:trPr>
        <w:tc>
          <w:tcPr>
            <w:tcW w:w="10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10/09/20</w:t>
            </w:r>
          </w:p>
        </w:tc>
        <w:tc>
          <w:tcPr>
            <w:tcW w:w="1160" w:type="dxa"/>
            <w:vAlign w:val="bottom"/>
          </w:tcPr>
          <w:p>
            <w:pPr>
              <w:jc w:val="right"/>
              <w:ind w:right="212"/>
              <w:spacing w:after="0" w:line="243" w:lineRule="exact"/>
              <w:rPr>
                <w:sz w:val="20"/>
                <w:szCs w:val="20"/>
                <w:color w:val="auto"/>
              </w:rPr>
            </w:pPr>
            <w:r>
              <w:rPr>
                <w:rFonts w:ascii="Times New Roman" w:cs="Times New Roman" w:eastAsia="Times New Roman" w:hAnsi="Times New Roman"/>
                <w:sz w:val="22"/>
                <w:szCs w:val="22"/>
                <w:color w:val="auto"/>
              </w:rPr>
              <w:t>831-</w:t>
            </w:r>
          </w:p>
        </w:tc>
        <w:tc>
          <w:tcPr>
            <w:tcW w:w="10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37.0904</w:t>
            </w:r>
          </w:p>
        </w:tc>
      </w:tr>
      <w:tr>
        <w:trPr>
          <w:trHeight w:val="282"/>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10/07/20</w:t>
            </w:r>
          </w:p>
        </w:tc>
        <w:tc>
          <w:tcPr>
            <w:tcW w:w="116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500-</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37.2712</w:t>
            </w:r>
          </w:p>
        </w:tc>
      </w:tr>
    </w:tbl>
    <w:p>
      <w:pPr>
        <w:spacing w:after="0" w:line="204" w:lineRule="exact"/>
        <w:rPr>
          <w:sz w:val="20"/>
          <w:szCs w:val="20"/>
          <w:color w:val="auto"/>
        </w:rPr>
      </w:pPr>
    </w:p>
    <w:p>
      <w:pPr>
        <w:ind w:left="220" w:right="2499" w:hanging="212"/>
        <w:spacing w:after="0" w:line="258" w:lineRule="auto"/>
        <w:tabs>
          <w:tab w:leader="none" w:pos="31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INDICATED, ALL TRANSACTIONS WERE EFFECTED ON THE NYSE.</w:t>
      </w:r>
    </w:p>
    <w:p>
      <w:pPr>
        <w:spacing w:after="0" w:line="185"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PRICE EXCLUDES COMMISSION.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RESULTS IN CHANGE OF DISPOSITIVE POWER AND BENEFICIAL OWNERSHIP.</w:t>
      </w:r>
    </w:p>
    <w:p>
      <w:pPr>
        <w:spacing w:after="0" w:line="200" w:lineRule="exact"/>
        <w:rPr>
          <w:sz w:val="20"/>
          <w:szCs w:val="20"/>
          <w:color w:val="auto"/>
        </w:rPr>
      </w:pPr>
    </w:p>
    <w:p>
      <w:pPr>
        <w:spacing w:after="0" w:line="29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16</w:t>
      </w:r>
    </w:p>
    <w:sectPr>
      <w:pgSz w:w="11900" w:h="16838" w:orient="portrait"/>
      <w:cols w:equalWidth="0" w:num="1">
        <w:col w:w="10139"/>
      </w:cols>
      <w:pgMar w:left="320" w:top="8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C3DBD3D"/>
    <w:multiLevelType w:val="hybridMultilevel"/>
    <w:lvl w:ilvl="0">
      <w:lvlJc w:val="left"/>
      <w:lvlText w:val="1"/>
      <w:numFmt w:val="bullet"/>
      <w:start w:val="1"/>
    </w:lvl>
  </w:abstractNum>
  <w:abstractNum w:abstractNumId="1">
    <w:nsid w:val="737B8DDC"/>
    <w:multiLevelType w:val="hybridMultilevel"/>
    <w:lvl w:ilvl="0">
      <w:lvlJc w:val="left"/>
      <w:lvlText w:val="3"/>
      <w:numFmt w:val="bullet"/>
      <w:start w:val="1"/>
    </w:lvl>
  </w:abstractNum>
  <w:abstractNum w:abstractNumId="2">
    <w:nsid w:val="6CEAF087"/>
    <w:multiLevelType w:val="hybridMultilevel"/>
    <w:lvl w:ilvl="0">
      <w:lvlJc w:val="left"/>
      <w:lvlText w:val="4"/>
      <w:numFmt w:val="bullet"/>
      <w:start w:val="1"/>
    </w:lvl>
  </w:abstractNum>
  <w:abstractNum w:abstractNumId="3">
    <w:nsid w:val="22221A70"/>
    <w:multiLevelType w:val="hybridMultilevel"/>
    <w:lvl w:ilvl="0">
      <w:lvlJc w:val="left"/>
      <w:lvlText w:val="5"/>
      <w:numFmt w:val="bullet"/>
      <w:start w:val="1"/>
    </w:lvl>
  </w:abstractNum>
  <w:abstractNum w:abstractNumId="4">
    <w:nsid w:val="4516DDE9"/>
    <w:multiLevelType w:val="hybridMultilevel"/>
    <w:lvl w:ilvl="0">
      <w:lvlJc w:val="left"/>
      <w:lvlText w:val="6"/>
      <w:numFmt w:val="bullet"/>
      <w:start w:val="1"/>
    </w:lvl>
  </w:abstractNum>
  <w:abstractNum w:abstractNumId="5">
    <w:nsid w:val="3006C83E"/>
    <w:multiLevelType w:val="hybridMultilevel"/>
    <w:lvl w:ilvl="0">
      <w:lvlJc w:val="left"/>
      <w:lvlText w:val="%1"/>
      <w:numFmt w:val="decimal"/>
      <w:start w:val="11"/>
    </w:lvl>
  </w:abstractNum>
  <w:abstractNum w:abstractNumId="6">
    <w:nsid w:val="614FD4A1"/>
    <w:multiLevelType w:val="hybridMultilevel"/>
    <w:lvl w:ilvl="0">
      <w:lvlJc w:val="left"/>
      <w:lvlText w:val="%1"/>
      <w:numFmt w:val="decimal"/>
      <w:start w:val="12"/>
    </w:lvl>
  </w:abstractNum>
  <w:abstractNum w:abstractNumId="7">
    <w:nsid w:val="419AC241"/>
    <w:multiLevelType w:val="hybridMultilevel"/>
    <w:lvl w:ilvl="0">
      <w:lvlJc w:val="left"/>
      <w:lvlText w:val="%1"/>
      <w:numFmt w:val="decimal"/>
      <w:start w:val="13"/>
    </w:lvl>
  </w:abstractNum>
  <w:abstractNum w:abstractNumId="8">
    <w:nsid w:val="5577F8E1"/>
    <w:multiLevelType w:val="hybridMultilevel"/>
    <w:lvl w:ilvl="0">
      <w:lvlJc w:val="left"/>
      <w:lvlText w:val="%1"/>
      <w:numFmt w:val="decimal"/>
      <w:start w:val="14"/>
    </w:lvl>
  </w:abstractNum>
  <w:abstractNum w:abstractNumId="9">
    <w:nsid w:val="440BADFC"/>
    <w:multiLevelType w:val="hybridMultilevel"/>
    <w:lvl w:ilvl="0">
      <w:lvlJc w:val="left"/>
      <w:lvlText w:val="1"/>
      <w:numFmt w:val="bullet"/>
      <w:start w:val="1"/>
    </w:lvl>
  </w:abstractNum>
  <w:abstractNum w:abstractNumId="10">
    <w:nsid w:val="5072367"/>
    <w:multiLevelType w:val="hybridMultilevel"/>
    <w:lvl w:ilvl="0">
      <w:lvlJc w:val="left"/>
      <w:lvlText w:val="3"/>
      <w:numFmt w:val="bullet"/>
      <w:start w:val="1"/>
    </w:lvl>
  </w:abstractNum>
  <w:abstractNum w:abstractNumId="11">
    <w:nsid w:val="3804823E"/>
    <w:multiLevelType w:val="hybridMultilevel"/>
    <w:lvl w:ilvl="0">
      <w:lvlJc w:val="left"/>
      <w:lvlText w:val="4"/>
      <w:numFmt w:val="bullet"/>
      <w:start w:val="1"/>
    </w:lvl>
  </w:abstractNum>
  <w:abstractNum w:abstractNumId="12">
    <w:nsid w:val="77465F01"/>
    <w:multiLevelType w:val="hybridMultilevel"/>
    <w:lvl w:ilvl="0">
      <w:lvlJc w:val="left"/>
      <w:lvlText w:val="5"/>
      <w:numFmt w:val="bullet"/>
      <w:start w:val="1"/>
    </w:lvl>
  </w:abstractNum>
  <w:abstractNum w:abstractNumId="13">
    <w:nsid w:val="7724C67E"/>
    <w:multiLevelType w:val="hybridMultilevel"/>
    <w:lvl w:ilvl="0">
      <w:lvlJc w:val="left"/>
      <w:lvlText w:val="6"/>
      <w:numFmt w:val="bullet"/>
      <w:start w:val="1"/>
    </w:lvl>
  </w:abstractNum>
  <w:abstractNum w:abstractNumId="14">
    <w:nsid w:val="5C482A97"/>
    <w:multiLevelType w:val="hybridMultilevel"/>
    <w:lvl w:ilvl="0">
      <w:lvlJc w:val="left"/>
      <w:lvlText w:val="%1"/>
      <w:numFmt w:val="decimal"/>
      <w:start w:val="11"/>
    </w:lvl>
  </w:abstractNum>
  <w:abstractNum w:abstractNumId="15">
    <w:nsid w:val="2463B9EA"/>
    <w:multiLevelType w:val="hybridMultilevel"/>
    <w:lvl w:ilvl="0">
      <w:lvlJc w:val="left"/>
      <w:lvlText w:val="%1"/>
      <w:numFmt w:val="decimal"/>
      <w:start w:val="12"/>
    </w:lvl>
  </w:abstractNum>
  <w:abstractNum w:abstractNumId="16">
    <w:nsid w:val="5E884ADC"/>
    <w:multiLevelType w:val="hybridMultilevel"/>
    <w:lvl w:ilvl="0">
      <w:lvlJc w:val="left"/>
      <w:lvlText w:val="%1"/>
      <w:numFmt w:val="decimal"/>
      <w:start w:val="13"/>
    </w:lvl>
  </w:abstractNum>
  <w:abstractNum w:abstractNumId="17">
    <w:nsid w:val="51EAD36B"/>
    <w:multiLevelType w:val="hybridMultilevel"/>
    <w:lvl w:ilvl="0">
      <w:lvlJc w:val="left"/>
      <w:lvlText w:val="%1"/>
      <w:numFmt w:val="decimal"/>
      <w:start w:val="14"/>
    </w:lvl>
  </w:abstractNum>
  <w:abstractNum w:abstractNumId="18">
    <w:nsid w:val="2D517796"/>
    <w:multiLevelType w:val="hybridMultilevel"/>
    <w:lvl w:ilvl="0">
      <w:lvlJc w:val="left"/>
      <w:lvlText w:val="1"/>
      <w:numFmt w:val="bullet"/>
      <w:start w:val="1"/>
    </w:lvl>
  </w:abstractNum>
  <w:abstractNum w:abstractNumId="19">
    <w:nsid w:val="580BD78F"/>
    <w:multiLevelType w:val="hybridMultilevel"/>
    <w:lvl w:ilvl="0">
      <w:lvlJc w:val="left"/>
      <w:lvlText w:val="3"/>
      <w:numFmt w:val="bullet"/>
      <w:start w:val="1"/>
    </w:lvl>
  </w:abstractNum>
  <w:abstractNum w:abstractNumId="20">
    <w:nsid w:val="153EA438"/>
    <w:multiLevelType w:val="hybridMultilevel"/>
    <w:lvl w:ilvl="0">
      <w:lvlJc w:val="left"/>
      <w:lvlText w:val="4"/>
      <w:numFmt w:val="bullet"/>
      <w:start w:val="1"/>
    </w:lvl>
  </w:abstractNum>
  <w:abstractNum w:abstractNumId="21">
    <w:nsid w:val="3855585C"/>
    <w:multiLevelType w:val="hybridMultilevel"/>
    <w:lvl w:ilvl="0">
      <w:lvlJc w:val="left"/>
      <w:lvlText w:val="5"/>
      <w:numFmt w:val="bullet"/>
      <w:start w:val="1"/>
    </w:lvl>
  </w:abstractNum>
  <w:abstractNum w:abstractNumId="22">
    <w:nsid w:val="70A64E2A"/>
    <w:multiLevelType w:val="hybridMultilevel"/>
    <w:lvl w:ilvl="0">
      <w:lvlJc w:val="left"/>
      <w:lvlText w:val="6"/>
      <w:numFmt w:val="bullet"/>
      <w:start w:val="1"/>
    </w:lvl>
  </w:abstractNum>
  <w:abstractNum w:abstractNumId="23">
    <w:nsid w:val="6A2342EC"/>
    <w:multiLevelType w:val="hybridMultilevel"/>
    <w:lvl w:ilvl="0">
      <w:lvlJc w:val="left"/>
      <w:lvlText w:val="%1"/>
      <w:numFmt w:val="decimal"/>
      <w:start w:val="11"/>
    </w:lvl>
  </w:abstractNum>
  <w:abstractNum w:abstractNumId="24">
    <w:nsid w:val="2A487CB0"/>
    <w:multiLevelType w:val="hybridMultilevel"/>
    <w:lvl w:ilvl="0">
      <w:lvlJc w:val="left"/>
      <w:lvlText w:val="%1"/>
      <w:numFmt w:val="decimal"/>
      <w:start w:val="12"/>
    </w:lvl>
  </w:abstractNum>
  <w:abstractNum w:abstractNumId="25">
    <w:nsid w:val="1D4ED43B"/>
    <w:multiLevelType w:val="hybridMultilevel"/>
    <w:lvl w:ilvl="0">
      <w:lvlJc w:val="left"/>
      <w:lvlText w:val="%1"/>
      <w:numFmt w:val="decimal"/>
      <w:start w:val="13"/>
    </w:lvl>
  </w:abstractNum>
  <w:abstractNum w:abstractNumId="26">
    <w:nsid w:val="725A06FB"/>
    <w:multiLevelType w:val="hybridMultilevel"/>
    <w:lvl w:ilvl="0">
      <w:lvlJc w:val="left"/>
      <w:lvlText w:val="%1"/>
      <w:numFmt w:val="decimal"/>
      <w:start w:val="14"/>
    </w:lvl>
  </w:abstractNum>
  <w:abstractNum w:abstractNumId="27">
    <w:nsid w:val="2CD89A32"/>
    <w:multiLevelType w:val="hybridMultilevel"/>
    <w:lvl w:ilvl="0">
      <w:lvlJc w:val="left"/>
      <w:lvlText w:val="1"/>
      <w:numFmt w:val="bullet"/>
      <w:start w:val="1"/>
    </w:lvl>
  </w:abstractNum>
  <w:abstractNum w:abstractNumId="28">
    <w:nsid w:val="57E4CCAF"/>
    <w:multiLevelType w:val="hybridMultilevel"/>
    <w:lvl w:ilvl="0">
      <w:lvlJc w:val="left"/>
      <w:lvlText w:val="3"/>
      <w:numFmt w:val="bullet"/>
      <w:start w:val="1"/>
    </w:lvl>
  </w:abstractNum>
  <w:abstractNum w:abstractNumId="29">
    <w:nsid w:val="7A6D8D3C"/>
    <w:multiLevelType w:val="hybridMultilevel"/>
    <w:lvl w:ilvl="0">
      <w:lvlJc w:val="left"/>
      <w:lvlText w:val="4"/>
      <w:numFmt w:val="bullet"/>
      <w:start w:val="1"/>
    </w:lvl>
  </w:abstractNum>
  <w:abstractNum w:abstractNumId="30">
    <w:nsid w:val="4B588F54"/>
    <w:multiLevelType w:val="hybridMultilevel"/>
    <w:lvl w:ilvl="0">
      <w:lvlJc w:val="left"/>
      <w:lvlText w:val="5"/>
      <w:numFmt w:val="bullet"/>
      <w:start w:val="1"/>
    </w:lvl>
  </w:abstractNum>
  <w:abstractNum w:abstractNumId="31">
    <w:nsid w:val="542289EC"/>
    <w:multiLevelType w:val="hybridMultilevel"/>
    <w:lvl w:ilvl="0">
      <w:lvlJc w:val="left"/>
      <w:lvlText w:val="6"/>
      <w:numFmt w:val="bullet"/>
      <w:start w:val="1"/>
    </w:lvl>
  </w:abstractNum>
  <w:abstractNum w:abstractNumId="32">
    <w:nsid w:val="6DE91B18"/>
    <w:multiLevelType w:val="hybridMultilevel"/>
    <w:lvl w:ilvl="0">
      <w:lvlJc w:val="left"/>
      <w:lvlText w:val="%1"/>
      <w:numFmt w:val="decimal"/>
      <w:start w:val="13"/>
    </w:lvl>
  </w:abstractNum>
  <w:abstractNum w:abstractNumId="33">
    <w:nsid w:val="38437FDB"/>
    <w:multiLevelType w:val="hybridMultilevel"/>
    <w:lvl w:ilvl="0">
      <w:lvlJc w:val="left"/>
      <w:lvlText w:val="%1"/>
      <w:numFmt w:val="decimal"/>
      <w:start w:val="14"/>
    </w:lvl>
  </w:abstractNum>
  <w:abstractNum w:abstractNumId="34">
    <w:nsid w:val="7644A45C"/>
    <w:multiLevelType w:val="hybridMultilevel"/>
    <w:lvl w:ilvl="0">
      <w:lvlJc w:val="left"/>
      <w:lvlText w:val="1"/>
      <w:numFmt w:val="bullet"/>
      <w:start w:val="1"/>
    </w:lvl>
  </w:abstractNum>
  <w:abstractNum w:abstractNumId="35">
    <w:nsid w:val="32FFF902"/>
    <w:multiLevelType w:val="hybridMultilevel"/>
    <w:lvl w:ilvl="0">
      <w:lvlJc w:val="left"/>
      <w:lvlText w:val="3"/>
      <w:numFmt w:val="bullet"/>
      <w:start w:val="1"/>
    </w:lvl>
  </w:abstractNum>
  <w:abstractNum w:abstractNumId="36">
    <w:nsid w:val="684A481A"/>
    <w:multiLevelType w:val="hybridMultilevel"/>
    <w:lvl w:ilvl="0">
      <w:lvlJc w:val="left"/>
      <w:lvlText w:val="4"/>
      <w:numFmt w:val="bullet"/>
      <w:start w:val="1"/>
    </w:lvl>
  </w:abstractNum>
  <w:abstractNum w:abstractNumId="37">
    <w:nsid w:val="579478FE"/>
    <w:multiLevelType w:val="hybridMultilevel"/>
    <w:lvl w:ilvl="0">
      <w:lvlJc w:val="left"/>
      <w:lvlText w:val="5"/>
      <w:numFmt w:val="bullet"/>
      <w:start w:val="1"/>
    </w:lvl>
  </w:abstractNum>
  <w:abstractNum w:abstractNumId="38">
    <w:nsid w:val="749ABB43"/>
    <w:multiLevelType w:val="hybridMultilevel"/>
    <w:lvl w:ilvl="0">
      <w:lvlJc w:val="left"/>
      <w:lvlText w:val="6"/>
      <w:numFmt w:val="bullet"/>
      <w:start w:val="1"/>
    </w:lvl>
  </w:abstractNum>
  <w:abstractNum w:abstractNumId="39">
    <w:nsid w:val="3DC240FB"/>
    <w:multiLevelType w:val="hybridMultilevel"/>
    <w:lvl w:ilvl="0">
      <w:lvlJc w:val="left"/>
      <w:lvlText w:val="%1"/>
      <w:numFmt w:val="decimal"/>
      <w:start w:val="13"/>
    </w:lvl>
  </w:abstractNum>
  <w:abstractNum w:abstractNumId="40">
    <w:nsid w:val="1BA026FA"/>
    <w:multiLevelType w:val="hybridMultilevel"/>
    <w:lvl w:ilvl="0">
      <w:lvlJc w:val="left"/>
      <w:lvlText w:val="%1"/>
      <w:numFmt w:val="decimal"/>
      <w:start w:val="14"/>
    </w:lvl>
  </w:abstractNum>
  <w:abstractNum w:abstractNumId="41">
    <w:nsid w:val="79A1DEAA"/>
    <w:multiLevelType w:val="hybridMultilevel"/>
    <w:lvl w:ilvl="0">
      <w:lvlJc w:val="left"/>
      <w:lvlText w:val="1"/>
      <w:numFmt w:val="bullet"/>
      <w:start w:val="1"/>
    </w:lvl>
  </w:abstractNum>
  <w:abstractNum w:abstractNumId="42">
    <w:nsid w:val="75C6C33A"/>
    <w:multiLevelType w:val="hybridMultilevel"/>
    <w:lvl w:ilvl="0">
      <w:lvlJc w:val="left"/>
      <w:lvlText w:val="4"/>
      <w:numFmt w:val="bullet"/>
      <w:start w:val="1"/>
    </w:lvl>
  </w:abstractNum>
  <w:abstractNum w:abstractNumId="43">
    <w:nsid w:val="12E685FB"/>
    <w:multiLevelType w:val="hybridMultilevel"/>
    <w:lvl w:ilvl="0">
      <w:lvlJc w:val="left"/>
      <w:lvlText w:val="5"/>
      <w:numFmt w:val="bullet"/>
      <w:start w:val="1"/>
    </w:lvl>
  </w:abstractNum>
  <w:abstractNum w:abstractNumId="44">
    <w:nsid w:val="70C6A529"/>
    <w:multiLevelType w:val="hybridMultilevel"/>
    <w:lvl w:ilvl="0">
      <w:lvlJc w:val="left"/>
      <w:lvlText w:val="6"/>
      <w:numFmt w:val="bullet"/>
      <w:start w:val="1"/>
    </w:lvl>
  </w:abstractNum>
  <w:abstractNum w:abstractNumId="45">
    <w:nsid w:val="520EEDD1"/>
    <w:multiLevelType w:val="hybridMultilevel"/>
    <w:lvl w:ilvl="0">
      <w:lvlJc w:val="left"/>
      <w:lvlText w:val="%1"/>
      <w:numFmt w:val="decimal"/>
      <w:start w:val="11"/>
    </w:lvl>
  </w:abstractNum>
  <w:abstractNum w:abstractNumId="46">
    <w:nsid w:val="374A3FE6"/>
    <w:multiLevelType w:val="hybridMultilevel"/>
    <w:lvl w:ilvl="0">
      <w:lvlJc w:val="left"/>
      <w:lvlText w:val="%1"/>
      <w:numFmt w:val="decimal"/>
      <w:start w:val="12"/>
    </w:lvl>
  </w:abstractNum>
  <w:abstractNum w:abstractNumId="47">
    <w:nsid w:val="4F4EF005"/>
    <w:multiLevelType w:val="hybridMultilevel"/>
    <w:lvl w:ilvl="0">
      <w:lvlJc w:val="left"/>
      <w:lvlText w:val="1"/>
      <w:numFmt w:val="bullet"/>
      <w:start w:val="1"/>
    </w:lvl>
  </w:abstractNum>
  <w:abstractNum w:abstractNumId="48">
    <w:nsid w:val="23F9C13C"/>
    <w:multiLevelType w:val="hybridMultilevel"/>
    <w:lvl w:ilvl="0">
      <w:lvlJc w:val="left"/>
      <w:lvlText w:val="3"/>
      <w:numFmt w:val="bullet"/>
      <w:start w:val="1"/>
    </w:lvl>
  </w:abstractNum>
  <w:abstractNum w:abstractNumId="49">
    <w:nsid w:val="649BB77C"/>
    <w:multiLevelType w:val="hybridMultilevel"/>
    <w:lvl w:ilvl="0">
      <w:lvlJc w:val="left"/>
      <w:lvlText w:val="4"/>
      <w:numFmt w:val="bullet"/>
      <w:start w:val="1"/>
    </w:lvl>
  </w:abstractNum>
  <w:abstractNum w:abstractNumId="50">
    <w:nsid w:val="275AC794"/>
    <w:multiLevelType w:val="hybridMultilevel"/>
    <w:lvl w:ilvl="0">
      <w:lvlJc w:val="left"/>
      <w:lvlText w:val="5"/>
      <w:numFmt w:val="bullet"/>
      <w:start w:val="1"/>
    </w:lvl>
  </w:abstractNum>
  <w:abstractNum w:abstractNumId="51">
    <w:nsid w:val="39386575"/>
    <w:multiLevelType w:val="hybridMultilevel"/>
    <w:lvl w:ilvl="0">
      <w:lvlJc w:val="left"/>
      <w:lvlText w:val="6"/>
      <w:numFmt w:val="bullet"/>
      <w:start w:val="1"/>
    </w:lvl>
  </w:abstractNum>
  <w:abstractNum w:abstractNumId="52">
    <w:nsid w:val="1CF10FD8"/>
    <w:multiLevelType w:val="hybridMultilevel"/>
    <w:lvl w:ilvl="0">
      <w:lvlJc w:val="left"/>
      <w:lvlText w:val="%1"/>
      <w:numFmt w:val="decimal"/>
      <w:start w:val="13"/>
    </w:lvl>
  </w:abstractNum>
  <w:abstractNum w:abstractNumId="53">
    <w:nsid w:val="180115BE"/>
    <w:multiLevelType w:val="hybridMultilevel"/>
    <w:lvl w:ilvl="0">
      <w:lvlJc w:val="left"/>
      <w:lvlText w:val="%1"/>
      <w:numFmt w:val="decimal"/>
      <w:start w:val="14"/>
    </w:lvl>
  </w:abstractNum>
  <w:abstractNum w:abstractNumId="54">
    <w:nsid w:val="235BA861"/>
    <w:multiLevelType w:val="hybridMultilevel"/>
    <w:lvl w:ilvl="0">
      <w:lvlJc w:val="left"/>
      <w:lvlText w:val="&amp;"/>
      <w:numFmt w:val="bullet"/>
      <w:start w:val="1"/>
    </w:lvl>
  </w:abstractNum>
  <w:abstractNum w:abstractNumId="55">
    <w:nsid w:val="47398C89"/>
    <w:multiLevelType w:val="hybridMultilevel"/>
    <w:lvl w:ilvl="0">
      <w:lvlJc w:val="left"/>
      <w:lvlText w:val="(%1)"/>
      <w:numFmt w:val="lowerLetter"/>
      <w:start w:val="4"/>
    </w:lvl>
  </w:abstractNum>
  <w:abstractNum w:abstractNumId="56">
    <w:nsid w:val="354FE9F9"/>
    <w:multiLevelType w:val="hybridMultilevel"/>
    <w:lvl w:ilvl="0">
      <w:lvlJc w:val="left"/>
      <w:lvlText w:val="(%1)"/>
      <w:numFmt w:val="lowerLetter"/>
      <w:start w:val="1"/>
    </w:lvl>
  </w:abstractNum>
  <w:abstractNum w:abstractNumId="57">
    <w:nsid w:val="15B5AF5C"/>
    <w:multiLevelType w:val="hybridMultilevel"/>
    <w:lvl w:ilvl="0">
      <w:lvlJc w:val="left"/>
      <w:lvlText w:val="(%1)"/>
      <w:numFmt w:val="lowerLetter"/>
      <w:start w:val="2"/>
    </w:lvl>
  </w:abstractNum>
  <w:abstractNum w:abstractNumId="58">
    <w:nsid w:val="741226BB"/>
    <w:multiLevelType w:val="hybridMultilevel"/>
    <w:lvl w:ilvl="0">
      <w:lvlJc w:val="left"/>
      <w:lvlText w:val="(%1)"/>
      <w:numFmt w:val="lowerLetter"/>
      <w:start w:val="3"/>
    </w:lvl>
  </w:abstractNum>
  <w:abstractNum w:abstractNumId="59">
    <w:nsid w:val="D34B6A8"/>
    <w:multiLevelType w:val="hybridMultilevel"/>
    <w:lvl w:ilvl="0">
      <w:lvlJc w:val="left"/>
      <w:lvlText w:val="(%1)"/>
      <w:numFmt w:val="lowerLetter"/>
      <w:start w:val="5"/>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2020-11-25T15:11:18Z</dcterms:created>
  <dcterms:modified xsi:type="dcterms:W3CDTF">2020-11-25T15:11:18Z</dcterms:modified>
</cp:coreProperties>
</file>