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VandenHeuvel Molly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410 N. MICHIGAN AVE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IL</w:t>
            </w:r>
          </w:p>
        </w:tc>
        <w:tc>
          <w:tcPr>
            <w:tcW w:w="10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60611</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04/15/2019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30,000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5"/>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granted pursuant to the Oil-Dri Corporation of America 2006 Long Term Incentive Plan in a transaction exempt under Rule 16b-3.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7,000 shares will vest on each of the second, third and fourth anniversaries of April 15, 2019 and the remaining 9,000 shares will vest on the fifth anniversary of April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Laura G. Scheland by Power of </w:t>
      </w:r>
      <w:r>
        <w:rPr>
          <w:rFonts w:ascii="Arial" w:cs="Arial" w:eastAsia="Arial" w:hAnsi="Arial"/>
          <w:sz w:val="35"/>
          <w:szCs w:val="35"/>
          <w:color w:val="0000FF"/>
          <w:vertAlign w:val="subscript"/>
        </w:rPr>
        <w:t>04/15/2019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517"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2020-02-18T23:26:37Z</dcterms:created>
  <dcterms:modified xsi:type="dcterms:W3CDTF">2020-02-18T23:26:37Z</dcterms:modified>
</cp:coreProperties>
</file>