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Lamson Christopher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20" w:lineRule="auto"/>
        <w:rPr>
          <w:sz w:val="20"/>
          <w:szCs w:val="20"/>
          <w:color w:val="auto"/>
        </w:rPr>
      </w:pPr>
      <w:r>
        <w:rPr>
          <w:rFonts w:ascii="Times New Roman" w:cs="Times New Roman" w:eastAsia="Times New Roman" w:hAnsi="Times New Roman"/>
          <w:sz w:val="17"/>
          <w:szCs w:val="17"/>
          <w:color w:val="0000FF"/>
        </w:rPr>
        <w:t>410 N.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Oil-Dri Corp of America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Group VP of Retail &amp; Wholesale</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60611-4213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07/21/2025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61.75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11,453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held by the reporting person prior to the transaction reported herein reflect a transfer of 13,953 shares previously reported as directly held by the reporting person to the reporting person's Family Trust on April 11, 2025. The transfer of shares to the Family Trust was a change in form of ownership and was not required to be reported on Form 4 pursuant to Rule 16a-13.</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resulting in multiple transactions at a range of prices from $61.66 to $62.04.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Anthony W. Parker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07/21/2025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830"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2025-07-21T16:31:48Z</dcterms:created>
  <dcterms:modified xsi:type="dcterms:W3CDTF">2025-07-21T16:31:48Z</dcterms:modified>
</cp:coreProperties>
</file>