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Walsh Patrick James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40"/>
        <w:spacing w:after="0" w:line="315" w:lineRule="auto"/>
        <w:rPr>
          <w:sz w:val="20"/>
          <w:szCs w:val="20"/>
          <w:color w:val="auto"/>
        </w:rPr>
      </w:pPr>
      <w:r>
        <w:rPr>
          <w:rFonts w:ascii="Arial" w:cs="Arial" w:eastAsia="Arial" w:hAnsi="Arial"/>
          <w:sz w:val="17"/>
          <w:szCs w:val="17"/>
          <w:color w:val="0000FF"/>
        </w:rPr>
        <w:t>410 N. MICHIGAN AVENUE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Oil-Dri Corp of America</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ODC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VP, Human Resources</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500" w:type="dxa"/>
            <w:vAlign w:val="bottom"/>
            <w:gridSpan w:val="9"/>
          </w:tcPr>
          <w:p>
            <w:pPr>
              <w:ind w:left="16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CHICAGO</w:t>
            </w:r>
          </w:p>
        </w:tc>
        <w:tc>
          <w:tcPr>
            <w:tcW w:w="260" w:type="dxa"/>
            <w:vAlign w:val="bottom"/>
            <w:vMerge w:val="restart"/>
          </w:tcPr>
          <w:p>
            <w:pPr>
              <w:ind w:left="40"/>
              <w:spacing w:after="0"/>
              <w:rPr>
                <w:sz w:val="20"/>
                <w:szCs w:val="20"/>
                <w:color w:val="auto"/>
              </w:rPr>
            </w:pPr>
            <w:r>
              <w:rPr>
                <w:rFonts w:ascii="Arial" w:cs="Arial" w:eastAsia="Arial" w:hAnsi="Arial"/>
                <w:sz w:val="17"/>
                <w:szCs w:val="17"/>
                <w:color w:val="0000FF"/>
              </w:rPr>
              <w:t>IL</w:t>
            </w:r>
          </w:p>
        </w:tc>
        <w:tc>
          <w:tcPr>
            <w:tcW w:w="8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60611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03/23/2022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15,000</w:t>
            </w:r>
            <w:r>
              <w:rPr>
                <w:rFonts w:ascii="Arial" w:cs="Arial" w:eastAsia="Arial" w:hAnsi="Arial"/>
                <w:sz w:val="22"/>
                <w:szCs w:val="22"/>
                <w:color w:val="008000"/>
                <w:w w:val="88"/>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15,000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granted pursuant to the Oil-Dri Corporation of America 2006 Long Term Incentive Plan in a transaction exempt under rule 16b-3.</w:t>
      </w:r>
    </w:p>
    <w:p>
      <w:pPr>
        <w:spacing w:after="0" w:line="50"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shall vest as follows: (a) Nine Thousand (9,000) shares shall vest on March 21, 2025, (b) Three Thousand (3,000) shares shall vest on March 21, 2026, and (c) Three Thousand (3,000) shares shall vest on March 21, 2027.</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5"/>
              </w:rPr>
              <w:t>Laura G. Scheland by Power</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03/23/2022</w:t>
            </w:r>
          </w:p>
        </w:tc>
        <w:tc>
          <w:tcPr>
            <w:tcW w:w="0" w:type="dxa"/>
            <w:vAlign w:val="bottom"/>
          </w:tcPr>
          <w:p>
            <w:pPr>
              <w:spacing w:after="0"/>
              <w:rPr>
                <w:sz w:val="1"/>
                <w:szCs w:val="1"/>
                <w:color w:val="auto"/>
              </w:rPr>
            </w:pPr>
          </w:p>
        </w:tc>
      </w:tr>
      <w:tr>
        <w:trPr>
          <w:trHeight w:val="87"/>
        </w:trPr>
        <w:tc>
          <w:tcPr>
            <w:tcW w:w="82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of Attorney</w:t>
            </w:r>
          </w:p>
        </w:tc>
        <w:tc>
          <w:tcPr>
            <w:tcW w:w="11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top w:val="single" w:sz="8" w:color="auto"/>
              <w:bottom w:val="single" w:sz="8" w:color="auto"/>
            </w:tcBorders>
            <w:vMerge w:val="continue"/>
          </w:tcPr>
          <w:p>
            <w:pPr>
              <w:spacing w:after="0"/>
              <w:rPr>
                <w:sz w:val="7"/>
                <w:szCs w:val="7"/>
                <w:color w:val="auto"/>
              </w:rPr>
            </w:pPr>
          </w:p>
        </w:tc>
        <w:tc>
          <w:tcPr>
            <w:tcW w:w="11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217"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2022-03-23T15:36:49Z</dcterms:created>
  <dcterms:modified xsi:type="dcterms:W3CDTF">2022-03-23T15:36:49Z</dcterms:modified>
</cp:coreProperties>
</file>