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SCHEDULE 13D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 (Amendment No. 24)</w:t>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Oil-Dri Corporation of America</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Issuer)</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Common Stock Par Value $0.10 Per Share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(Title of Class of Securities)</w:t>
      </w:r>
    </w:p>
    <w:p>
      <w:pPr>
        <w:spacing w:after="0" w:line="339" w:lineRule="exact"/>
        <w:rPr>
          <w:sz w:val="24"/>
          <w:szCs w:val="24"/>
          <w:color w:val="auto"/>
        </w:rPr>
      </w:pPr>
    </w:p>
    <w:p>
      <w:pPr>
        <w:ind w:left="3560"/>
        <w:spacing w:after="0"/>
        <w:rPr>
          <w:sz w:val="20"/>
          <w:szCs w:val="20"/>
          <w:color w:val="auto"/>
        </w:rPr>
      </w:pPr>
      <w:r>
        <w:rPr>
          <w:rFonts w:ascii="Arial" w:cs="Arial" w:eastAsia="Arial" w:hAnsi="Arial"/>
          <w:sz w:val="13"/>
          <w:szCs w:val="13"/>
          <w:color w:val="auto"/>
        </w:rPr>
        <w:t>_________</w:t>
      </w:r>
      <w:r>
        <w:rPr>
          <w:rFonts w:ascii="Arial" w:cs="Arial" w:eastAsia="Arial" w:hAnsi="Arial"/>
          <w:sz w:val="13"/>
          <w:szCs w:val="13"/>
          <w:u w:val="single" w:color="auto"/>
          <w:color w:val="auto"/>
        </w:rPr>
        <w:t>677864100</w:t>
      </w:r>
      <w:r>
        <w:rPr>
          <w:rFonts w:ascii="Arial" w:cs="Arial" w:eastAsia="Arial" w:hAnsi="Arial"/>
          <w:sz w:val="13"/>
          <w:szCs w:val="13"/>
          <w:color w:val="auto"/>
        </w:rPr>
        <w:t>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u w:val="single" w:color="auto"/>
          <w:color w:val="auto"/>
        </w:rPr>
        <w:t>(CUSIP Number)</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David Goldman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GAMCO Investors,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One Corporate Center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Rye, New York 10580-1435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(914) 921-5000</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(Name, Address and Telephone Number of Person Authorized to Receive Notices and Communications)</w:t>
      </w:r>
    </w:p>
    <w:p>
      <w:pPr>
        <w:spacing w:after="0" w:line="339" w:lineRule="exact"/>
        <w:rPr>
          <w:sz w:val="24"/>
          <w:szCs w:val="24"/>
          <w:color w:val="auto"/>
        </w:rPr>
      </w:pPr>
    </w:p>
    <w:p>
      <w:pPr>
        <w:ind w:left="4020"/>
        <w:spacing w:after="0"/>
        <w:rPr>
          <w:sz w:val="20"/>
          <w:szCs w:val="20"/>
          <w:color w:val="auto"/>
        </w:rPr>
      </w:pPr>
      <w:r>
        <w:rPr>
          <w:rFonts w:ascii="Arial" w:cs="Arial" w:eastAsia="Arial" w:hAnsi="Arial"/>
          <w:sz w:val="13"/>
          <w:szCs w:val="13"/>
          <w:color w:val="auto"/>
        </w:rPr>
        <w:t>____________________</w:t>
      </w:r>
      <w:r>
        <w:rPr>
          <w:rFonts w:ascii="Arial" w:cs="Arial" w:eastAsia="Arial" w:hAnsi="Arial"/>
          <w:sz w:val="13"/>
          <w:szCs w:val="13"/>
          <w:u w:val="single" w:color="auto"/>
          <w:color w:val="auto"/>
        </w:rPr>
        <w:t>January 3, 2017</w:t>
      </w:r>
      <w:r>
        <w:rPr>
          <w:rFonts w:ascii="Arial" w:cs="Arial" w:eastAsia="Arial" w:hAnsi="Arial"/>
          <w:sz w:val="13"/>
          <w:szCs w:val="13"/>
          <w:color w:val="auto"/>
        </w:rPr>
        <w:t>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(Date of Event which Requires Filing of this Statement)</w:t>
      </w:r>
    </w:p>
    <w:p>
      <w:pPr>
        <w:spacing w:after="0" w:line="339" w:lineRule="exact"/>
        <w:rPr>
          <w:sz w:val="24"/>
          <w:szCs w:val="24"/>
          <w:color w:val="auto"/>
        </w:rPr>
      </w:pPr>
    </w:p>
    <w:p>
      <w:pPr>
        <w:spacing w:after="0" w:line="265" w:lineRule="auto"/>
        <w:rPr>
          <w:sz w:val="20"/>
          <w:szCs w:val="20"/>
          <w:color w:val="auto"/>
        </w:rPr>
      </w:pPr>
      <w:r>
        <w:rPr>
          <w:rFonts w:ascii="Arial" w:cs="Arial" w:eastAsia="Arial" w:hAnsi="Arial"/>
          <w:sz w:val="13"/>
          <w:szCs w:val="13"/>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1" w:name="page2"/>
    <w:bookmarkEnd w:id="1"/>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8043" w:val="left"/>
        </w:tabs>
        <w:rPr>
          <w:sz w:val="20"/>
          <w:szCs w:val="20"/>
          <w:color w:val="auto"/>
        </w:rPr>
      </w:pPr>
      <w:r>
        <w:rPr>
          <w:rFonts w:ascii="Arial" w:cs="Arial" w:eastAsia="Arial" w:hAnsi="Arial"/>
          <w:sz w:val="13"/>
          <w:szCs w:val="13"/>
          <w:b w:val="1"/>
          <w:bCs w:val="1"/>
          <w:color w:val="auto"/>
        </w:rPr>
        <w:t>Gabelli Funds, LLC</w:t>
      </w:r>
      <w:r>
        <w:rPr>
          <w:sz w:val="20"/>
          <w:szCs w:val="20"/>
          <w:color w:val="auto"/>
        </w:rPr>
        <w:tab/>
      </w:r>
      <w:r>
        <w:rPr>
          <w:rFonts w:ascii="Arial" w:cs="Arial" w:eastAsia="Arial" w:hAnsi="Arial"/>
          <w:sz w:val="12"/>
          <w:szCs w:val="12"/>
          <w:b w:val="1"/>
          <w:bCs w:val="1"/>
          <w:color w:val="auto"/>
        </w:rPr>
        <w:t>I.D. No. 13-4044523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724" w:right="8620" w:hanging="459"/>
        <w:spacing w:after="0" w:line="364" w:lineRule="auto"/>
        <w:tabs>
          <w:tab w:leader="none" w:pos="596"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8662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74" w:lineRule="exact"/>
        <w:rPr>
          <w:sz w:val="20"/>
          <w:szCs w:val="20"/>
          <w:color w:val="auto"/>
        </w:rPr>
      </w:pPr>
    </w:p>
    <w:p>
      <w:pPr>
        <w:ind w:left="584"/>
        <w:spacing w:after="0"/>
        <w:rPr>
          <w:sz w:val="20"/>
          <w:szCs w:val="20"/>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16" w:lineRule="exact"/>
        <w:rPr>
          <w:sz w:val="20"/>
          <w:szCs w:val="20"/>
          <w:color w:val="auto"/>
        </w:rPr>
      </w:pPr>
    </w:p>
    <w:p>
      <w:pPr>
        <w:ind w:left="264"/>
        <w:spacing w:after="0"/>
        <w:rPr>
          <w:sz w:val="20"/>
          <w:szCs w:val="20"/>
          <w:color w:val="auto"/>
        </w:rPr>
      </w:pPr>
      <w:r>
        <w:rPr>
          <w:rFonts w:ascii="Arial" w:cs="Arial" w:eastAsia="Arial" w:hAnsi="Arial"/>
          <w:sz w:val="13"/>
          <w:szCs w:val="13"/>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8662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43" w:lineRule="exact"/>
        <w:rPr>
          <w:sz w:val="20"/>
          <w:szCs w:val="20"/>
          <w:color w:val="auto"/>
        </w:rPr>
      </w:pPr>
    </w:p>
    <w:p>
      <w:pPr>
        <w:ind w:left="684" w:right="8960" w:hanging="419"/>
        <w:spacing w:after="0" w:line="271" w:lineRule="auto"/>
        <w:tabs>
          <w:tab w:leader="none" w:pos="588"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New York</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136,000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136,000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136,000 (Item 5)</w:t>
      </w:r>
    </w:p>
    <w:p>
      <w:pPr>
        <w:ind w:left="584" w:hanging="584"/>
        <w:spacing w:after="0"/>
        <w:tabs>
          <w:tab w:leader="none" w:pos="584"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16"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2.68%</w:t>
      </w:r>
    </w:p>
    <w:p>
      <w:pPr>
        <w:ind w:left="584" w:hanging="584"/>
        <w:spacing w:after="0"/>
        <w:tabs>
          <w:tab w:leader="none" w:pos="584"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-899795</wp:posOffset>
            </wp:positionV>
            <wp:extent cx="7286625"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131" w:right="199" w:bottom="1440" w:gutter="0" w:footer="0" w:header="0"/>
        </w:sectPr>
      </w:pPr>
    </w:p>
    <w:bookmarkStart w:id="2" w:name="page3"/>
    <w:bookmarkEnd w:id="2"/>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8763" w:val="left"/>
        </w:tabs>
        <w:rPr>
          <w:sz w:val="20"/>
          <w:szCs w:val="20"/>
          <w:color w:val="auto"/>
        </w:rPr>
      </w:pPr>
      <w:r>
        <w:rPr>
          <w:rFonts w:ascii="Arial" w:cs="Arial" w:eastAsia="Arial" w:hAnsi="Arial"/>
          <w:sz w:val="13"/>
          <w:szCs w:val="13"/>
          <w:b w:val="1"/>
          <w:bCs w:val="1"/>
          <w:color w:val="auto"/>
        </w:rPr>
        <w:t>GAMCO Asset Management, Inc.</w:t>
      </w:r>
      <w:r>
        <w:rPr>
          <w:sz w:val="20"/>
          <w:szCs w:val="20"/>
          <w:color w:val="auto"/>
        </w:rPr>
        <w:tab/>
      </w:r>
      <w:r>
        <w:rPr>
          <w:rFonts w:ascii="Arial" w:cs="Arial" w:eastAsia="Arial" w:hAnsi="Arial"/>
          <w:sz w:val="12"/>
          <w:szCs w:val="12"/>
          <w:b w:val="1"/>
          <w:bCs w:val="1"/>
          <w:color w:val="auto"/>
        </w:rPr>
        <w:t>I.D. No. 13-4044521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jc w:val="both"/>
        <w:ind w:left="624" w:right="8680" w:hanging="359"/>
        <w:spacing w:after="0" w:line="364" w:lineRule="auto"/>
        <w:tabs>
          <w:tab w:leader="none" w:pos="592" w:val="left"/>
        </w:tabs>
        <w:numPr>
          <w:ilvl w:val="0"/>
          <w:numId w:val="8"/>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86625"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74" w:lineRule="exact"/>
        <w:rPr>
          <w:sz w:val="20"/>
          <w:szCs w:val="20"/>
          <w:color w:val="auto"/>
        </w:rPr>
      </w:pPr>
    </w:p>
    <w:p>
      <w:pPr>
        <w:ind w:left="584" w:hanging="319"/>
        <w:spacing w:after="0"/>
        <w:tabs>
          <w:tab w:leader="none" w:pos="584"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84" w:right="8960" w:hanging="419"/>
        <w:spacing w:after="0" w:line="271" w:lineRule="auto"/>
        <w:tabs>
          <w:tab w:leader="none" w:pos="588"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New York</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8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475,994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514,994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80" w:type="dxa"/>
            <w:vAlign w:val="bottom"/>
            <w:vMerge w:val="continue"/>
          </w:tcPr>
          <w:p>
            <w:pPr>
              <w:spacing w:after="0"/>
              <w:rPr>
                <w:sz w:val="8"/>
                <w:szCs w:val="8"/>
                <w:color w:val="auto"/>
              </w:rPr>
            </w:pPr>
          </w:p>
        </w:tc>
        <w:tc>
          <w:tcPr>
            <w:tcW w:w="142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8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514,994 (Item 5)</w:t>
      </w:r>
    </w:p>
    <w:p>
      <w:pPr>
        <w:ind w:left="584" w:hanging="584"/>
        <w:spacing w:after="0"/>
        <w:tabs>
          <w:tab w:leader="none" w:pos="584"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16"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10.14%</w:t>
      </w:r>
    </w:p>
    <w:p>
      <w:pPr>
        <w:ind w:left="584" w:hanging="584"/>
        <w:spacing w:after="0"/>
        <w:tabs>
          <w:tab w:leader="none" w:pos="584"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-899795</wp:posOffset>
            </wp:positionV>
            <wp:extent cx="7286625"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131" w:right="199" w:bottom="1440" w:gutter="0" w:footer="0" w:header="0"/>
        </w:sectPr>
      </w:pPr>
    </w:p>
    <w:bookmarkStart w:id="3" w:name="page4"/>
    <w:bookmarkEnd w:id="3"/>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9383" w:val="left"/>
        </w:tabs>
        <w:rPr>
          <w:sz w:val="20"/>
          <w:szCs w:val="20"/>
          <w:color w:val="auto"/>
        </w:rPr>
      </w:pPr>
      <w:r>
        <w:rPr>
          <w:rFonts w:ascii="Arial" w:cs="Arial" w:eastAsia="Arial" w:hAnsi="Arial"/>
          <w:sz w:val="13"/>
          <w:szCs w:val="13"/>
          <w:b w:val="1"/>
          <w:bCs w:val="1"/>
          <w:color w:val="auto"/>
        </w:rPr>
        <w:t>Teton Advisors, Inc.</w:t>
      </w:r>
      <w:r>
        <w:rPr>
          <w:sz w:val="20"/>
          <w:szCs w:val="20"/>
          <w:color w:val="auto"/>
        </w:rPr>
        <w:tab/>
      </w:r>
      <w:r>
        <w:rPr>
          <w:rFonts w:ascii="Arial" w:cs="Arial" w:eastAsia="Arial" w:hAnsi="Arial"/>
          <w:sz w:val="12"/>
          <w:szCs w:val="12"/>
          <w:b w:val="1"/>
          <w:bCs w:val="1"/>
          <w:color w:val="auto"/>
        </w:rPr>
        <w:t>I.D. No. 13-4008049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86625"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 w:lineRule="exact"/>
        <w:rPr>
          <w:sz w:val="20"/>
          <w:szCs w:val="20"/>
          <w:color w:val="auto"/>
        </w:rPr>
      </w:pPr>
    </w:p>
    <w:p>
      <w:pPr>
        <w:ind w:left="584" w:hanging="319"/>
        <w:spacing w:after="0"/>
        <w:tabs>
          <w:tab w:leader="none" w:pos="584"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jc w:val="both"/>
        <w:ind w:left="584" w:right="8660" w:hanging="319"/>
        <w:spacing w:after="0" w:line="364" w:lineRule="auto"/>
        <w:tabs>
          <w:tab w:leader="none" w:pos="584" w:val="left"/>
        </w:tabs>
        <w:numPr>
          <w:ilvl w:val="0"/>
          <w:numId w:val="14"/>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86625"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74" w:lineRule="exact"/>
        <w:rPr>
          <w:sz w:val="20"/>
          <w:szCs w:val="20"/>
          <w:color w:val="auto"/>
        </w:rPr>
      </w:pPr>
    </w:p>
    <w:p>
      <w:pPr>
        <w:ind w:left="584" w:hanging="319"/>
        <w:spacing w:after="0"/>
        <w:tabs>
          <w:tab w:leader="none" w:pos="584"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84" w:right="8960" w:hanging="419"/>
        <w:spacing w:after="0" w:line="271" w:lineRule="auto"/>
        <w:tabs>
          <w:tab w:leader="none" w:pos="588"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8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128,300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128,300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80" w:type="dxa"/>
            <w:vAlign w:val="bottom"/>
            <w:vMerge w:val="continue"/>
          </w:tcPr>
          <w:p>
            <w:pPr>
              <w:spacing w:after="0"/>
              <w:rPr>
                <w:sz w:val="8"/>
                <w:szCs w:val="8"/>
                <w:color w:val="auto"/>
              </w:rPr>
            </w:pPr>
          </w:p>
        </w:tc>
        <w:tc>
          <w:tcPr>
            <w:tcW w:w="142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8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128,300 (Item 5)</w:t>
      </w:r>
    </w:p>
    <w:p>
      <w:pPr>
        <w:ind w:left="584" w:hanging="584"/>
        <w:spacing w:after="0"/>
        <w:tabs>
          <w:tab w:leader="none" w:pos="584"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16"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2.53%</w:t>
      </w:r>
    </w:p>
    <w:p>
      <w:pPr>
        <w:ind w:left="584" w:hanging="584"/>
        <w:spacing w:after="0"/>
        <w:tabs>
          <w:tab w:leader="none" w:pos="584"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-899795</wp:posOffset>
            </wp:positionV>
            <wp:extent cx="7286625"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4" w:name="page5"/>
    <w:bookmarkEnd w:id="4"/>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8783" w:val="left"/>
        </w:tabs>
        <w:rPr>
          <w:sz w:val="20"/>
          <w:szCs w:val="20"/>
          <w:color w:val="auto"/>
        </w:rPr>
      </w:pPr>
      <w:r>
        <w:rPr>
          <w:rFonts w:ascii="Arial" w:cs="Arial" w:eastAsia="Arial" w:hAnsi="Arial"/>
          <w:sz w:val="13"/>
          <w:szCs w:val="13"/>
          <w:b w:val="1"/>
          <w:bCs w:val="1"/>
          <w:color w:val="auto"/>
        </w:rPr>
        <w:t>GGCP, Inc.</w:t>
      </w:r>
      <w:r>
        <w:rPr>
          <w:sz w:val="20"/>
          <w:szCs w:val="20"/>
          <w:color w:val="auto"/>
        </w:rPr>
        <w:tab/>
      </w:r>
      <w:r>
        <w:rPr>
          <w:rFonts w:ascii="Arial" w:cs="Arial" w:eastAsia="Arial" w:hAnsi="Arial"/>
          <w:sz w:val="12"/>
          <w:szCs w:val="12"/>
          <w:b w:val="1"/>
          <w:bCs w:val="1"/>
          <w:color w:val="auto"/>
        </w:rPr>
        <w:t>I.D. No. 13-3056041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86625"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 w:lineRule="exact"/>
        <w:rPr>
          <w:sz w:val="20"/>
          <w:szCs w:val="20"/>
          <w:color w:val="auto"/>
        </w:rPr>
      </w:pPr>
    </w:p>
    <w:p>
      <w:pPr>
        <w:ind w:left="584" w:hanging="319"/>
        <w:spacing w:after="0"/>
        <w:tabs>
          <w:tab w:leader="none" w:pos="584"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684" w:right="8680" w:hanging="419"/>
        <w:spacing w:after="0" w:line="271" w:lineRule="auto"/>
        <w:tabs>
          <w:tab w:leader="none" w:pos="588"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584" w:right="8960" w:hanging="319"/>
        <w:spacing w:after="0" w:line="271" w:lineRule="auto"/>
        <w:tabs>
          <w:tab w:leader="none" w:pos="584"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Wyoming</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line="187" w:lineRule="auto"/>
        <w:tabs>
          <w:tab w:leader="none" w:pos="584" w:val="left"/>
        </w:tabs>
        <w:numPr>
          <w:ilvl w:val="0"/>
          <w:numId w:val="23"/>
        </w:numPr>
        <w:rPr>
          <w:rFonts w:ascii="Arial" w:cs="Arial" w:eastAsia="Arial" w:hAnsi="Arial"/>
          <w:sz w:val="17"/>
          <w:szCs w:val="17"/>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7"/>
          <w:szCs w:val="17"/>
          <w:b w:val="1"/>
          <w:bCs w:val="1"/>
          <w:color w:val="auto"/>
          <w:vertAlign w:val="subscript"/>
        </w:rPr>
      </w:pPr>
    </w:p>
    <w:p>
      <w:pPr>
        <w:spacing w:after="0" w:line="323" w:lineRule="exact"/>
        <w:rPr>
          <w:rFonts w:ascii="Arial" w:cs="Arial" w:eastAsia="Arial" w:hAnsi="Arial"/>
          <w:sz w:val="17"/>
          <w:szCs w:val="17"/>
          <w:b w:val="1"/>
          <w:bCs w:val="1"/>
          <w:color w:val="auto"/>
          <w:vertAlign w:val="subscript"/>
        </w:rPr>
      </w:pPr>
    </w:p>
    <w:p>
      <w:pPr>
        <w:ind w:left="584" w:right="8140" w:hanging="584"/>
        <w:spacing w:after="0" w:line="506" w:lineRule="auto"/>
        <w:tabs>
          <w:tab w:leader="none" w:pos="584"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ind w:left="584" w:hanging="584"/>
        <w:spacing w:after="0"/>
        <w:tabs>
          <w:tab w:leader="none" w:pos="584"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728662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5" w:name="page6"/>
    <w:bookmarkEnd w:id="5"/>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9243" w:val="left"/>
        </w:tabs>
        <w:rPr>
          <w:sz w:val="20"/>
          <w:szCs w:val="20"/>
          <w:color w:val="auto"/>
        </w:rPr>
      </w:pPr>
      <w:r>
        <w:rPr>
          <w:rFonts w:ascii="Arial" w:cs="Arial" w:eastAsia="Arial" w:hAnsi="Arial"/>
          <w:sz w:val="13"/>
          <w:szCs w:val="13"/>
          <w:b w:val="1"/>
          <w:bCs w:val="1"/>
          <w:color w:val="auto"/>
        </w:rPr>
        <w:t>GAMCO Investors, Inc.</w:t>
      </w:r>
      <w:r>
        <w:rPr>
          <w:sz w:val="20"/>
          <w:szCs w:val="20"/>
          <w:color w:val="auto"/>
        </w:rPr>
        <w:tab/>
      </w:r>
      <w:r>
        <w:rPr>
          <w:rFonts w:ascii="Arial" w:cs="Arial" w:eastAsia="Arial" w:hAnsi="Arial"/>
          <w:sz w:val="12"/>
          <w:szCs w:val="12"/>
          <w:b w:val="1"/>
          <w:bCs w:val="1"/>
          <w:color w:val="auto"/>
        </w:rPr>
        <w:t>I.D. No. 13-4007862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right="8680" w:hanging="319"/>
        <w:spacing w:after="0" w:line="271" w:lineRule="auto"/>
        <w:tabs>
          <w:tab w:leader="none" w:pos="584"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84" w:right="8960" w:hanging="419"/>
        <w:spacing w:after="0" w:line="271" w:lineRule="auto"/>
        <w:tabs>
          <w:tab w:leader="none" w:pos="588"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 (Item 5)</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line="187" w:lineRule="auto"/>
        <w:tabs>
          <w:tab w:leader="none" w:pos="584" w:val="left"/>
        </w:tabs>
        <w:numPr>
          <w:ilvl w:val="0"/>
          <w:numId w:val="29"/>
        </w:numPr>
        <w:rPr>
          <w:rFonts w:ascii="Arial" w:cs="Arial" w:eastAsia="Arial" w:hAnsi="Arial"/>
          <w:sz w:val="17"/>
          <w:szCs w:val="17"/>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7"/>
          <w:szCs w:val="17"/>
          <w:b w:val="1"/>
          <w:bCs w:val="1"/>
          <w:color w:val="auto"/>
          <w:vertAlign w:val="subscript"/>
        </w:rPr>
      </w:pPr>
    </w:p>
    <w:p>
      <w:pPr>
        <w:spacing w:after="0" w:line="323" w:lineRule="exact"/>
        <w:rPr>
          <w:rFonts w:ascii="Arial" w:cs="Arial" w:eastAsia="Arial" w:hAnsi="Arial"/>
          <w:sz w:val="17"/>
          <w:szCs w:val="17"/>
          <w:b w:val="1"/>
          <w:bCs w:val="1"/>
          <w:color w:val="auto"/>
          <w:vertAlign w:val="subscript"/>
        </w:rPr>
      </w:pPr>
    </w:p>
    <w:p>
      <w:pPr>
        <w:ind w:left="584" w:right="8140" w:hanging="584"/>
        <w:spacing w:after="0" w:line="506" w:lineRule="auto"/>
        <w:tabs>
          <w:tab w:leader="none" w:pos="584"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ind w:left="584" w:hanging="584"/>
        <w:spacing w:after="0"/>
        <w:tabs>
          <w:tab w:leader="none" w:pos="584"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7286625"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131" w:right="199" w:bottom="1440" w:gutter="0" w:footer="0" w:header="0"/>
        </w:sectPr>
      </w:pPr>
    </w:p>
    <w:bookmarkStart w:id="6" w:name="page7"/>
    <w:bookmarkEnd w:id="6"/>
    <w:p>
      <w:pPr>
        <w:ind w:left="4"/>
        <w:spacing w:after="0"/>
        <w:rPr>
          <w:sz w:val="20"/>
          <w:szCs w:val="20"/>
          <w:color w:val="auto"/>
        </w:rPr>
      </w:pPr>
      <w:r>
        <w:rPr>
          <w:rFonts w:ascii="Arial" w:cs="Arial" w:eastAsia="Arial" w:hAnsi="Arial"/>
          <w:sz w:val="13"/>
          <w:szCs w:val="13"/>
          <w:color w:val="auto"/>
        </w:rPr>
        <w:t>CUSIP No. 677864100</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60" w:type="dxa"/>
            <w:vAlign w:val="bottom"/>
          </w:tcPr>
          <w:p>
            <w:pPr>
              <w:jc w:val="right"/>
              <w:ind w:right="76"/>
              <w:spacing w:after="0"/>
              <w:rPr>
                <w:sz w:val="20"/>
                <w:szCs w:val="20"/>
                <w:color w:val="auto"/>
              </w:rPr>
            </w:pPr>
            <w:r>
              <w:rPr>
                <w:rFonts w:ascii="Arial" w:cs="Arial" w:eastAsia="Arial" w:hAnsi="Arial"/>
                <w:sz w:val="13"/>
                <w:szCs w:val="13"/>
                <w:b w:val="1"/>
                <w:bCs w:val="1"/>
                <w:color w:val="auto"/>
              </w:rPr>
              <w:t>1</w:t>
            </w: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Names of reporting persons</w:t>
            </w:r>
          </w:p>
        </w:tc>
        <w:tc>
          <w:tcPr>
            <w:tcW w:w="19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I.R.S. identification nos. of above persons (entities only)</w:t>
            </w:r>
          </w:p>
        </w:tc>
        <w:tc>
          <w:tcPr>
            <w:tcW w:w="19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9100" w:type="dxa"/>
            <w:vAlign w:val="bottom"/>
          </w:tcPr>
          <w:p>
            <w:pPr>
              <w:ind w:left="6320"/>
              <w:spacing w:after="0"/>
              <w:rPr>
                <w:sz w:val="20"/>
                <w:szCs w:val="20"/>
                <w:color w:val="auto"/>
              </w:rPr>
            </w:pPr>
            <w:r>
              <w:rPr>
                <w:rFonts w:ascii="Arial" w:cs="Arial" w:eastAsia="Arial" w:hAnsi="Arial"/>
                <w:sz w:val="13"/>
                <w:szCs w:val="13"/>
                <w:b w:val="1"/>
                <w:bCs w:val="1"/>
                <w:color w:val="auto"/>
              </w:rPr>
              <w:t>Associated Capital Group, Inc.</w:t>
            </w:r>
          </w:p>
        </w:tc>
        <w:tc>
          <w:tcPr>
            <w:tcW w:w="1920" w:type="dxa"/>
            <w:vAlign w:val="bottom"/>
          </w:tcPr>
          <w:p>
            <w:pPr>
              <w:ind w:left="1500"/>
              <w:spacing w:after="0"/>
              <w:rPr>
                <w:sz w:val="20"/>
                <w:szCs w:val="20"/>
                <w:color w:val="auto"/>
              </w:rPr>
            </w:pPr>
            <w:r>
              <w:rPr>
                <w:rFonts w:ascii="Arial" w:cs="Arial" w:eastAsia="Arial" w:hAnsi="Arial"/>
                <w:sz w:val="13"/>
                <w:szCs w:val="13"/>
                <w:b w:val="1"/>
                <w:bCs w:val="1"/>
                <w:color w:val="auto"/>
              </w:rPr>
              <w:t>I.D.</w:t>
            </w:r>
          </w:p>
        </w:tc>
      </w:tr>
      <w:tr>
        <w:trPr>
          <w:trHeight w:val="166"/>
        </w:trPr>
        <w:tc>
          <w:tcPr>
            <w:tcW w:w="460" w:type="dxa"/>
            <w:vAlign w:val="bottom"/>
            <w:tcBorders>
              <w:bottom w:val="single" w:sz="8" w:color="auto"/>
            </w:tcBorders>
          </w:tcPr>
          <w:p>
            <w:pPr>
              <w:spacing w:after="0"/>
              <w:rPr>
                <w:sz w:val="14"/>
                <w:szCs w:val="14"/>
                <w:color w:val="auto"/>
              </w:rPr>
            </w:pPr>
          </w:p>
        </w:tc>
        <w:tc>
          <w:tcPr>
            <w:tcW w:w="91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No. 47-3965991</w:t>
            </w:r>
          </w:p>
        </w:tc>
        <w:tc>
          <w:tcPr>
            <w:tcW w:w="1920" w:type="dxa"/>
            <w:vAlign w:val="bottom"/>
            <w:tcBorders>
              <w:bottom w:val="single" w:sz="8" w:color="auto"/>
            </w:tcBorders>
          </w:tcPr>
          <w:p>
            <w:pPr>
              <w:spacing w:after="0"/>
              <w:rPr>
                <w:sz w:val="14"/>
                <w:szCs w:val="14"/>
                <w:color w:val="auto"/>
              </w:rPr>
            </w:pPr>
          </w:p>
        </w:tc>
      </w:tr>
      <w:tr>
        <w:trPr>
          <w:trHeight w:val="165"/>
        </w:trPr>
        <w:tc>
          <w:tcPr>
            <w:tcW w:w="460" w:type="dxa"/>
            <w:vAlign w:val="bottom"/>
          </w:tcPr>
          <w:p>
            <w:pPr>
              <w:spacing w:after="0"/>
              <w:rPr>
                <w:sz w:val="14"/>
                <w:szCs w:val="14"/>
                <w:color w:val="auto"/>
              </w:rPr>
            </w:pP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Check the appropriate box if a member of a group (SEE INSTRUCTIONS)</w:t>
            </w:r>
          </w:p>
        </w:tc>
        <w:tc>
          <w:tcPr>
            <w:tcW w:w="1920" w:type="dxa"/>
            <w:vAlign w:val="bottom"/>
          </w:tcPr>
          <w:p>
            <w:pPr>
              <w:ind w:left="1100"/>
              <w:spacing w:after="0"/>
              <w:rPr>
                <w:sz w:val="20"/>
                <w:szCs w:val="20"/>
                <w:color w:val="auto"/>
              </w:rPr>
            </w:pPr>
            <w:r>
              <w:rPr>
                <w:rFonts w:ascii="Arial" w:cs="Arial" w:eastAsia="Arial" w:hAnsi="Arial"/>
                <w:sz w:val="13"/>
                <w:szCs w:val="13"/>
                <w:b w:val="1"/>
                <w:bCs w:val="1"/>
                <w:color w:val="auto"/>
              </w:rPr>
              <w:t>(a)</w:t>
            </w:r>
          </w:p>
        </w:tc>
      </w:tr>
    </w:tbl>
    <w:p>
      <w:pPr>
        <w:spacing w:after="0" w:line="28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8662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 w:lineRule="exact"/>
        <w:rPr>
          <w:sz w:val="20"/>
          <w:szCs w:val="20"/>
          <w:color w:val="auto"/>
        </w:rPr>
      </w:pPr>
    </w:p>
    <w:p>
      <w:pPr>
        <w:ind w:left="584" w:hanging="319"/>
        <w:spacing w:after="0"/>
        <w:tabs>
          <w:tab w:leader="none" w:pos="584"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right="8680" w:hanging="319"/>
        <w:spacing w:after="0" w:line="271" w:lineRule="auto"/>
        <w:tabs>
          <w:tab w:leader="none" w:pos="584"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64" w:right="8960" w:hanging="399"/>
        <w:spacing w:after="0" w:line="271" w:lineRule="auto"/>
        <w:tabs>
          <w:tab w:leader="none" w:pos="6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1,500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1,500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1,500 (Item 5)</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tabs>
          <w:tab w:leader="none" w:pos="584"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(SEE INSTRUCTIONS) X</w:t>
      </w:r>
    </w:p>
    <w:p>
      <w:pPr>
        <w:spacing w:after="0" w:line="200" w:lineRule="exact"/>
        <w:rPr>
          <w:rFonts w:ascii="Arial" w:cs="Arial" w:eastAsia="Arial" w:hAnsi="Arial"/>
          <w:sz w:val="13"/>
          <w:szCs w:val="13"/>
          <w:b w:val="1"/>
          <w:bCs w:val="1"/>
          <w:color w:val="auto"/>
        </w:rPr>
      </w:pPr>
    </w:p>
    <w:p>
      <w:pPr>
        <w:spacing w:after="0" w:line="269"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0.03%</w:t>
      </w:r>
    </w:p>
    <w:p>
      <w:pPr>
        <w:ind w:left="584" w:hanging="584"/>
        <w:spacing w:after="0"/>
        <w:tabs>
          <w:tab w:leader="none" w:pos="584"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-996950</wp:posOffset>
            </wp:positionV>
            <wp:extent cx="7286625"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131" w:right="199" w:bottom="1440" w:gutter="0" w:footer="0" w:header="0"/>
        </w:sectPr>
      </w:pPr>
    </w:p>
    <w:bookmarkStart w:id="7" w:name="page8"/>
    <w:bookmarkEnd w:id="7"/>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rPr>
          <w:sz w:val="20"/>
          <w:szCs w:val="20"/>
          <w:color w:val="auto"/>
        </w:rPr>
      </w:pPr>
      <w:r>
        <w:rPr>
          <w:rFonts w:ascii="Arial" w:cs="Arial" w:eastAsia="Arial" w:hAnsi="Arial"/>
          <w:sz w:val="13"/>
          <w:szCs w:val="13"/>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624" w:right="8680" w:hanging="359"/>
        <w:spacing w:after="0" w:line="271" w:lineRule="auto"/>
        <w:tabs>
          <w:tab w:leader="none" w:pos="592"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584" w:hanging="319"/>
        <w:spacing w:after="0"/>
        <w:tabs>
          <w:tab w:leader="none" w:pos="584"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w:t>
      </w:r>
    </w:p>
    <w:p>
      <w:pPr>
        <w:spacing w:after="0" w:line="16" w:lineRule="exact"/>
        <w:rPr>
          <w:rFonts w:ascii="Arial" w:cs="Arial" w:eastAsia="Arial" w:hAnsi="Arial"/>
          <w:sz w:val="13"/>
          <w:szCs w:val="13"/>
          <w:b w:val="1"/>
          <w:bCs w:val="1"/>
          <w:color w:val="auto"/>
        </w:rPr>
      </w:pPr>
    </w:p>
    <w:p>
      <w:pPr>
        <w:ind w:left="6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USA</w:t>
      </w:r>
    </w:p>
    <w:p>
      <w:pPr>
        <w:spacing w:after="0" w:line="137"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line="187" w:lineRule="auto"/>
        <w:tabs>
          <w:tab w:leader="none" w:pos="584" w:val="left"/>
        </w:tabs>
        <w:numPr>
          <w:ilvl w:val="0"/>
          <w:numId w:val="40"/>
        </w:numPr>
        <w:rPr>
          <w:rFonts w:ascii="Arial" w:cs="Arial" w:eastAsia="Arial" w:hAnsi="Arial"/>
          <w:sz w:val="17"/>
          <w:szCs w:val="17"/>
          <w:b w:val="1"/>
          <w:bCs w:val="1"/>
          <w:color w:val="auto"/>
          <w:vertAlign w:val="subscript"/>
        </w:rPr>
      </w:pPr>
      <w:r>
        <w:rPr>
          <w:rFonts w:ascii="Arial" w:cs="Arial" w:eastAsia="Arial" w:hAnsi="Arial"/>
          <w:sz w:val="10"/>
          <w:szCs w:val="10"/>
          <w:b w:val="1"/>
          <w:bCs w:val="1"/>
          <w:color w:val="auto"/>
        </w:rPr>
        <w:t>(SEE INSTRUCTIONS)</w:t>
      </w:r>
    </w:p>
    <w:p>
      <w:pPr>
        <w:spacing w:after="0" w:line="200" w:lineRule="exact"/>
        <w:rPr>
          <w:rFonts w:ascii="Arial" w:cs="Arial" w:eastAsia="Arial" w:hAnsi="Arial"/>
          <w:sz w:val="17"/>
          <w:szCs w:val="17"/>
          <w:b w:val="1"/>
          <w:bCs w:val="1"/>
          <w:color w:val="auto"/>
          <w:vertAlign w:val="subscript"/>
        </w:rPr>
      </w:pPr>
    </w:p>
    <w:p>
      <w:pPr>
        <w:spacing w:after="0" w:line="323" w:lineRule="exact"/>
        <w:rPr>
          <w:rFonts w:ascii="Arial" w:cs="Arial" w:eastAsia="Arial" w:hAnsi="Arial"/>
          <w:sz w:val="17"/>
          <w:szCs w:val="17"/>
          <w:b w:val="1"/>
          <w:bCs w:val="1"/>
          <w:color w:val="auto"/>
          <w:vertAlign w:val="subscript"/>
        </w:rPr>
      </w:pPr>
    </w:p>
    <w:p>
      <w:pPr>
        <w:ind w:left="584" w:right="8140" w:hanging="584"/>
        <w:spacing w:after="0" w:line="506" w:lineRule="auto"/>
        <w:tabs>
          <w:tab w:leader="none" w:pos="584"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ind w:left="584" w:hanging="584"/>
        <w:spacing w:after="0"/>
        <w:tabs>
          <w:tab w:leader="none" w:pos="584"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7286625" cy="12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Item 1.</w:t>
            </w:r>
          </w:p>
        </w:tc>
        <w:tc>
          <w:tcPr>
            <w:tcW w:w="1100" w:type="dxa"/>
            <w:vAlign w:val="bottom"/>
          </w:tcPr>
          <w:p>
            <w:pPr>
              <w:spacing w:after="0"/>
              <w:rPr>
                <w:sz w:val="13"/>
                <w:szCs w:val="13"/>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6"/>
              </w:rPr>
              <w:t>Security and Issuer</w:t>
            </w:r>
          </w:p>
        </w:tc>
        <w:tc>
          <w:tcPr>
            <w:tcW w:w="8620" w:type="dxa"/>
            <w:vAlign w:val="bottom"/>
          </w:tcPr>
          <w:p>
            <w:pPr>
              <w:spacing w:after="0"/>
              <w:rPr>
                <w:sz w:val="13"/>
                <w:szCs w:val="13"/>
                <w:color w:val="auto"/>
              </w:rPr>
            </w:pPr>
          </w:p>
        </w:tc>
      </w:tr>
      <w:tr>
        <w:trPr>
          <w:trHeight w:val="161"/>
        </w:trPr>
        <w:tc>
          <w:tcPr>
            <w:tcW w:w="640" w:type="dxa"/>
            <w:vAlign w:val="bottom"/>
          </w:tcPr>
          <w:p>
            <w:pPr>
              <w:spacing w:after="0"/>
              <w:rPr>
                <w:sz w:val="14"/>
                <w:szCs w:val="14"/>
                <w:color w:val="auto"/>
              </w:rPr>
            </w:pPr>
          </w:p>
        </w:tc>
        <w:tc>
          <w:tcPr>
            <w:tcW w:w="10700" w:type="dxa"/>
            <w:vAlign w:val="bottom"/>
            <w:gridSpan w:val="3"/>
          </w:tcPr>
          <w:p>
            <w:pPr>
              <w:ind w:left="280"/>
              <w:spacing w:after="0"/>
              <w:rPr>
                <w:sz w:val="20"/>
                <w:szCs w:val="20"/>
                <w:color w:val="auto"/>
              </w:rPr>
            </w:pPr>
            <w:r>
              <w:rPr>
                <w:rFonts w:ascii="Arial" w:cs="Arial" w:eastAsia="Arial" w:hAnsi="Arial"/>
                <w:sz w:val="13"/>
                <w:szCs w:val="13"/>
                <w:color w:val="auto"/>
                <w:w w:val="89"/>
              </w:rPr>
              <w:t>This Amendment No. 24 to Schedule 13D on the Common Stock of Oil-Dri Corporation of America (the "Issuer") is being filed on behalf of the undersigned to amend the Schedule 13D, as amended (the</w:t>
            </w:r>
          </w:p>
        </w:tc>
      </w:tr>
    </w:tbl>
    <w:p>
      <w:pPr>
        <w:spacing w:after="0"/>
        <w:rPr>
          <w:sz w:val="20"/>
          <w:szCs w:val="20"/>
          <w:color w:val="auto"/>
        </w:rPr>
      </w:pPr>
      <w:r>
        <w:rPr>
          <w:rFonts w:ascii="Arial" w:cs="Arial" w:eastAsia="Arial" w:hAnsi="Arial"/>
          <w:sz w:val="12"/>
          <w:szCs w:val="12"/>
          <w:color w:val="auto"/>
        </w:rPr>
        <w:t>"Schedule 13D") which was originally filed on November 22, 2000. Unless otherwise indicated, all capitalized terms used herein but not defined herein shall have the same meanings as set forth in the Schedule 13D.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Item 2.</w:t>
            </w:r>
          </w:p>
        </w:tc>
        <w:tc>
          <w:tcPr>
            <w:tcW w:w="1100" w:type="dxa"/>
            <w:vAlign w:val="bottom"/>
          </w:tcPr>
          <w:p>
            <w:pPr>
              <w:spacing w:after="0"/>
              <w:rPr>
                <w:sz w:val="13"/>
                <w:szCs w:val="13"/>
                <w:color w:val="auto"/>
              </w:rPr>
            </w:pPr>
          </w:p>
        </w:tc>
        <w:tc>
          <w:tcPr>
            <w:tcW w:w="2500" w:type="dxa"/>
            <w:vAlign w:val="bottom"/>
            <w:gridSpan w:val="2"/>
          </w:tcPr>
          <w:p>
            <w:pPr>
              <w:spacing w:after="0"/>
              <w:rPr>
                <w:sz w:val="20"/>
                <w:szCs w:val="20"/>
                <w:color w:val="auto"/>
              </w:rPr>
            </w:pPr>
            <w:r>
              <w:rPr>
                <w:rFonts w:ascii="Arial" w:cs="Arial" w:eastAsia="Arial" w:hAnsi="Arial"/>
                <w:sz w:val="13"/>
                <w:szCs w:val="13"/>
                <w:color w:val="auto"/>
              </w:rPr>
              <w:t>Identity and Background</w:t>
            </w:r>
          </w:p>
        </w:tc>
      </w:tr>
      <w:tr>
        <w:trPr>
          <w:trHeight w:val="20"/>
        </w:trPr>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1"/>
        </w:trPr>
        <w:tc>
          <w:tcPr>
            <w:tcW w:w="640" w:type="dxa"/>
            <w:vAlign w:val="bottom"/>
          </w:tcPr>
          <w:p>
            <w:pPr>
              <w:spacing w:after="0"/>
              <w:rPr>
                <w:sz w:val="14"/>
                <w:szCs w:val="14"/>
                <w:color w:val="auto"/>
              </w:rPr>
            </w:pPr>
          </w:p>
        </w:tc>
        <w:tc>
          <w:tcPr>
            <w:tcW w:w="3600" w:type="dxa"/>
            <w:vAlign w:val="bottom"/>
            <w:gridSpan w:val="3"/>
          </w:tcPr>
          <w:p>
            <w:pPr>
              <w:ind w:left="280"/>
              <w:spacing w:after="0"/>
              <w:rPr>
                <w:sz w:val="20"/>
                <w:szCs w:val="20"/>
                <w:color w:val="auto"/>
              </w:rPr>
            </w:pPr>
            <w:r>
              <w:rPr>
                <w:rFonts w:ascii="Arial" w:cs="Arial" w:eastAsia="Arial" w:hAnsi="Arial"/>
                <w:sz w:val="13"/>
                <w:szCs w:val="13"/>
                <w:color w:val="auto"/>
                <w:w w:val="88"/>
              </w:rPr>
              <w:t>Item 2 to Schedule 13D is amended, in pertinent part, as follows:</w:t>
            </w:r>
          </w:p>
        </w:tc>
      </w:tr>
    </w:tbl>
    <w:p>
      <w:pPr>
        <w:ind w:left="920"/>
        <w:spacing w:after="0"/>
        <w:rPr>
          <w:sz w:val="20"/>
          <w:szCs w:val="20"/>
          <w:color w:val="auto"/>
        </w:rPr>
      </w:pPr>
      <w:r>
        <w:rPr>
          <w:rFonts w:ascii="Arial" w:cs="Arial" w:eastAsia="Arial" w:hAnsi="Arial"/>
          <w:sz w:val="13"/>
          <w:szCs w:val="13"/>
          <w:color w:val="auto"/>
        </w:rPr>
        <w:t>This statement is being filed by Mario J. Gabelli ("Mario Gabelli") and various entities which he</w:t>
      </w:r>
    </w:p>
    <w:p>
      <w:pPr>
        <w:spacing w:after="0" w:line="4" w:lineRule="exact"/>
        <w:rPr>
          <w:sz w:val="20"/>
          <w:szCs w:val="20"/>
          <w:color w:val="auto"/>
        </w:rPr>
      </w:pPr>
    </w:p>
    <w:p>
      <w:pPr>
        <w:jc w:val="both"/>
        <w:ind w:right="300"/>
        <w:spacing w:after="0" w:line="245" w:lineRule="auto"/>
        <w:rPr>
          <w:sz w:val="20"/>
          <w:szCs w:val="20"/>
          <w:color w:val="auto"/>
        </w:rPr>
      </w:pPr>
      <w:r>
        <w:rPr>
          <w:rFonts w:ascii="Arial" w:cs="Arial" w:eastAsia="Arial" w:hAnsi="Arial"/>
          <w:sz w:val="13"/>
          <w:szCs w:val="13"/>
          <w:color w:val="auto"/>
        </w:rPr>
        <w:t>directly or indirectly controls or for which he acts as chief investment officer. These entities, except for LICT Corporation ("LICT), CIBL, Inc. ("CIBL") and ICTC Group, Inc. ("ICTC"),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Certain of these entities may also make investments for their own accounts.</w:t>
      </w:r>
    </w:p>
    <w:p>
      <w:pPr>
        <w:spacing w:after="0" w:line="1" w:lineRule="exact"/>
        <w:rPr>
          <w:sz w:val="20"/>
          <w:szCs w:val="20"/>
          <w:color w:val="auto"/>
        </w:rPr>
      </w:pPr>
    </w:p>
    <w:p>
      <w:pPr>
        <w:ind w:right="80" w:firstLine="918"/>
        <w:spacing w:after="0" w:line="266" w:lineRule="auto"/>
        <w:rPr>
          <w:sz w:val="20"/>
          <w:szCs w:val="20"/>
          <w:color w:val="auto"/>
        </w:rPr>
      </w:pPr>
      <w:r>
        <w:rPr>
          <w:rFonts w:ascii="Arial" w:cs="Arial" w:eastAsia="Arial" w:hAnsi="Arial"/>
          <w:sz w:val="12"/>
          <w:szCs w:val="12"/>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ind w:right="40" w:firstLine="918"/>
        <w:spacing w:after="0" w:line="245" w:lineRule="auto"/>
        <w:rPr>
          <w:sz w:val="20"/>
          <w:szCs w:val="20"/>
          <w:color w:val="auto"/>
        </w:rPr>
      </w:pPr>
      <w:r>
        <w:rPr>
          <w:rFonts w:ascii="Arial" w:cs="Arial" w:eastAsia="Arial" w:hAnsi="Arial"/>
          <w:sz w:val="13"/>
          <w:szCs w:val="13"/>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 &amp; Company Investment Advisers, Inc. ("GCIA"), G.research, LLC ("G.research"), MJG Associates, Inc. ("MJG Associates"), Gabelli Foundation, Inc. ("Foundation"), MJG-IV Limited Partnership ("MJG-IV"), Mario Gabelli, LICT, CIBL and ICTC. Those of the foregoing persons signing this Schedule 13D are hereinafter referred to as the "Reporting Persons".</w:t>
      </w:r>
    </w:p>
    <w:p>
      <w:pPr>
        <w:spacing w:after="0" w:line="2" w:lineRule="exact"/>
        <w:rPr>
          <w:sz w:val="20"/>
          <w:szCs w:val="20"/>
          <w:color w:val="auto"/>
        </w:rPr>
      </w:pPr>
    </w:p>
    <w:p>
      <w:pPr>
        <w:ind w:right="220" w:firstLine="918"/>
        <w:spacing w:after="0" w:line="245" w:lineRule="auto"/>
        <w:rPr>
          <w:sz w:val="20"/>
          <w:szCs w:val="20"/>
          <w:color w:val="auto"/>
        </w:rPr>
      </w:pPr>
      <w:r>
        <w:rPr>
          <w:rFonts w:ascii="Arial" w:cs="Arial" w:eastAsia="Arial" w:hAnsi="Arial"/>
          <w:sz w:val="13"/>
          <w:szCs w:val="13"/>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1" w:lineRule="exact"/>
        <w:rPr>
          <w:sz w:val="20"/>
          <w:szCs w:val="20"/>
          <w:color w:val="auto"/>
        </w:rPr>
      </w:pPr>
    </w:p>
    <w:p>
      <w:pPr>
        <w:ind w:right="180" w:firstLine="918"/>
        <w:spacing w:after="0" w:line="245" w:lineRule="auto"/>
        <w:rPr>
          <w:sz w:val="20"/>
          <w:szCs w:val="20"/>
          <w:color w:val="auto"/>
        </w:rPr>
      </w:pPr>
      <w:r>
        <w:rPr>
          <w:rFonts w:ascii="Arial" w:cs="Arial" w:eastAsia="Arial" w:hAnsi="Arial"/>
          <w:sz w:val="13"/>
          <w:szCs w:val="13"/>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200" w:firstLine="918"/>
        <w:spacing w:after="0" w:line="266" w:lineRule="auto"/>
        <w:rPr>
          <w:sz w:val="20"/>
          <w:szCs w:val="20"/>
          <w:color w:val="auto"/>
        </w:rPr>
      </w:pPr>
      <w:r>
        <w:rPr>
          <w:rFonts w:ascii="Arial" w:cs="Arial" w:eastAsia="Arial" w:hAnsi="Arial"/>
          <w:sz w:val="12"/>
          <w:szCs w:val="12"/>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Energy + L.P., GAMCO Medical Opportunities L.P., and Gabelli Multimedia Partners, L.P.</w:t>
      </w:r>
    </w:p>
    <w:p>
      <w:pPr>
        <w:ind w:right="220" w:firstLine="918"/>
        <w:spacing w:after="0" w:line="245" w:lineRule="auto"/>
        <w:rPr>
          <w:sz w:val="20"/>
          <w:szCs w:val="20"/>
          <w:color w:val="auto"/>
        </w:rPr>
      </w:pPr>
      <w:r>
        <w:rPr>
          <w:rFonts w:ascii="Arial" w:cs="Arial" w:eastAsia="Arial" w:hAnsi="Arial"/>
          <w:sz w:val="13"/>
          <w:szCs w:val="13"/>
          <w:color w:val="auto"/>
        </w:rPr>
        <w:t>G.research, a wholly owned subsidiary of GCIA,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right="40" w:firstLine="918"/>
        <w:spacing w:after="0" w:line="267" w:lineRule="auto"/>
        <w:rPr>
          <w:sz w:val="20"/>
          <w:szCs w:val="20"/>
          <w:color w:val="auto"/>
        </w:rPr>
      </w:pPr>
      <w:r>
        <w:rPr>
          <w:rFonts w:ascii="Arial" w:cs="Arial" w:eastAsia="Arial" w:hAnsi="Arial"/>
          <w:sz w:val="11"/>
          <w:szCs w:val="11"/>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Telecommunications Fund, The Gabelli Gold Fund, Inc., The Gabelli Multimedia Trust Inc., The Gabelli Global Rising Income &amp; Dividend Fund, The Gabelli Capital Asset Fund, The GAMCO International Growth Fund, Inc., The GAMCO Global Growth Fund, The Gabelli Utility Trust, The GAMCO Global Opportunity Fund, The Gabelli Utilities Fund, The Gabelli Dividend Growth Fund, The GAMCO Mathers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Healthcare &amp; Wellness </w:t>
      </w:r>
      <w:r>
        <w:rPr>
          <w:rFonts w:ascii="Arial" w:cs="Arial" w:eastAsia="Arial" w:hAnsi="Arial"/>
          <w:sz w:val="18"/>
          <w:szCs w:val="18"/>
          <w:color w:val="auto"/>
          <w:vertAlign w:val="superscript"/>
        </w:rPr>
        <w:t>Rx</w:t>
      </w:r>
      <w:r>
        <w:rPr>
          <w:rFonts w:ascii="Arial" w:cs="Arial" w:eastAsia="Arial" w:hAnsi="Arial"/>
          <w:sz w:val="11"/>
          <w:szCs w:val="11"/>
          <w:color w:val="auto"/>
        </w:rPr>
        <w:t xml:space="preserve"> Trust, The Gabelli Global Small and Mid Cap Value Trust, Gabelli Value Plus+ Trust, The Gabelli Go Anywhere Trust,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ind w:right="220" w:firstLine="918"/>
        <w:spacing w:after="0" w:line="192" w:lineRule="auto"/>
        <w:rPr>
          <w:sz w:val="20"/>
          <w:szCs w:val="20"/>
          <w:color w:val="auto"/>
        </w:rPr>
      </w:pPr>
      <w:r>
        <w:rPr>
          <w:rFonts w:ascii="Arial" w:cs="Arial" w:eastAsia="Arial" w:hAnsi="Arial"/>
          <w:sz w:val="13"/>
          <w:szCs w:val="13"/>
          <w:color w:val="auto"/>
        </w:rPr>
        <w:t>Teton Advisors, an investment adviser registered under the Advisers Act, provides discretionary advisory services to The TETON Westwood Mighty Mites</w:t>
      </w:r>
      <w:r>
        <w:rPr>
          <w:rFonts w:ascii="Arial" w:cs="Arial" w:eastAsia="Arial" w:hAnsi="Arial"/>
          <w:sz w:val="21"/>
          <w:szCs w:val="21"/>
          <w:color w:val="auto"/>
          <w:vertAlign w:val="superscript"/>
        </w:rPr>
        <w:t>sm</w:t>
      </w:r>
      <w:r>
        <w:rPr>
          <w:rFonts w:ascii="Arial" w:cs="Arial" w:eastAsia="Arial" w:hAnsi="Arial"/>
          <w:sz w:val="13"/>
          <w:szCs w:val="13"/>
          <w:color w:val="auto"/>
        </w:rPr>
        <w:t xml:space="preserve"> Fund, The TETON Westwood Income Fund, The TETON Westwood SmallCap Equity Fund, and The TETON Westwood Mid-Cap Equity Fund.</w:t>
      </w:r>
    </w:p>
    <w:p>
      <w:pPr>
        <w:spacing w:after="0" w:line="2" w:lineRule="exact"/>
        <w:rPr>
          <w:sz w:val="20"/>
          <w:szCs w:val="20"/>
          <w:color w:val="auto"/>
        </w:rPr>
      </w:pPr>
    </w:p>
    <w:p>
      <w:pPr>
        <w:ind w:right="160" w:firstLine="918"/>
        <w:spacing w:after="0" w:line="245" w:lineRule="auto"/>
        <w:rPr>
          <w:sz w:val="20"/>
          <w:szCs w:val="20"/>
          <w:color w:val="auto"/>
        </w:rPr>
      </w:pPr>
      <w:r>
        <w:rPr>
          <w:rFonts w:ascii="Arial" w:cs="Arial" w:eastAsia="Arial" w:hAnsi="Arial"/>
          <w:sz w:val="13"/>
          <w:szCs w:val="13"/>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Foundation is a private foundation. Mario Gabelli is the Chairman, a Trustee and the Investment Manager of the Foundation. Elisa M. Wilson is the President of the Foundation.</w:t>
      </w:r>
    </w:p>
    <w:p>
      <w:pPr>
        <w:spacing w:after="0" w:line="4" w:lineRule="exact"/>
        <w:rPr>
          <w:sz w:val="20"/>
          <w:szCs w:val="20"/>
          <w:color w:val="auto"/>
        </w:rPr>
      </w:pPr>
    </w:p>
    <w:p>
      <w:pPr>
        <w:ind w:right="320" w:firstLine="918"/>
        <w:spacing w:after="0" w:line="245" w:lineRule="auto"/>
        <w:rPr>
          <w:sz w:val="20"/>
          <w:szCs w:val="20"/>
          <w:color w:val="auto"/>
        </w:rPr>
      </w:pPr>
      <w:r>
        <w:rPr>
          <w:rFonts w:ascii="Arial" w:cs="Arial" w:eastAsia="Arial" w:hAnsi="Arial"/>
          <w:sz w:val="13"/>
          <w:szCs w:val="13"/>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spacing w:after="0" w:line="1" w:lineRule="exact"/>
        <w:rPr>
          <w:sz w:val="20"/>
          <w:szCs w:val="20"/>
          <w:color w:val="auto"/>
        </w:rPr>
      </w:pPr>
    </w:p>
    <w:p>
      <w:pPr>
        <w:ind w:right="100" w:firstLine="918"/>
        <w:spacing w:after="0" w:line="245" w:lineRule="auto"/>
        <w:rPr>
          <w:sz w:val="20"/>
          <w:szCs w:val="20"/>
          <w:color w:val="auto"/>
        </w:rPr>
      </w:pPr>
      <w:r>
        <w:rPr>
          <w:rFonts w:ascii="Arial" w:cs="Arial" w:eastAsia="Arial" w:hAnsi="Arial"/>
          <w:sz w:val="13"/>
          <w:szCs w:val="13"/>
          <w:color w:val="auto"/>
        </w:rPr>
        <w:t>ICTC is a holding company with subsidiaries in voice, broadband and other telecommunications services, primarily in the rural telephone industry. ICTC makes investments in marketable securities to preserve capital and maintain liquidity for financing their business activities and acquisitions and are not engaged in the business of investing, or trading in securities. Mario J. Gabelli is a director, and substantial shareholder of ICTC.</w:t>
      </w:r>
    </w:p>
    <w:p>
      <w:pPr>
        <w:spacing w:after="0" w:line="1" w:lineRule="exact"/>
        <w:rPr>
          <w:sz w:val="20"/>
          <w:szCs w:val="20"/>
          <w:color w:val="auto"/>
        </w:rPr>
      </w:pPr>
    </w:p>
    <w:p>
      <w:pPr>
        <w:ind w:right="40" w:firstLine="918"/>
        <w:spacing w:after="0" w:line="245" w:lineRule="auto"/>
        <w:rPr>
          <w:sz w:val="20"/>
          <w:szCs w:val="20"/>
          <w:color w:val="auto"/>
        </w:rPr>
      </w:pPr>
      <w:r>
        <w:rPr>
          <w:rFonts w:ascii="Arial" w:cs="Arial" w:eastAsia="Arial" w:hAnsi="Arial"/>
          <w:sz w:val="13"/>
          <w:szCs w:val="13"/>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1" w:lineRule="exact"/>
        <w:rPr>
          <w:sz w:val="20"/>
          <w:szCs w:val="20"/>
          <w:color w:val="auto"/>
        </w:rPr>
      </w:pPr>
    </w:p>
    <w:p>
      <w:pPr>
        <w:ind w:right="40" w:firstLine="918"/>
        <w:spacing w:after="0" w:line="245" w:lineRule="auto"/>
        <w:rPr>
          <w:sz w:val="20"/>
          <w:szCs w:val="20"/>
          <w:color w:val="auto"/>
        </w:rPr>
      </w:pPr>
      <w:r>
        <w:rPr>
          <w:rFonts w:ascii="Arial" w:cs="Arial" w:eastAsia="Arial" w:hAnsi="Arial"/>
          <w:sz w:val="13"/>
          <w:szCs w:val="13"/>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spacing w:after="0" w:line="1" w:lineRule="exact"/>
        <w:rPr>
          <w:sz w:val="20"/>
          <w:szCs w:val="20"/>
          <w:color w:val="auto"/>
        </w:rPr>
      </w:pPr>
    </w:p>
    <w:p>
      <w:pPr>
        <w:ind w:right="380" w:firstLine="924"/>
        <w:spacing w:after="0" w:line="245" w:lineRule="auto"/>
        <w:rPr>
          <w:sz w:val="20"/>
          <w:szCs w:val="20"/>
          <w:color w:val="auto"/>
        </w:rPr>
      </w:pPr>
      <w:r>
        <w:rPr>
          <w:rFonts w:ascii="Arial" w:cs="Arial" w:eastAsia="Arial" w:hAnsi="Arial"/>
          <w:sz w:val="13"/>
          <w:szCs w:val="13"/>
          <w:color w:val="auto"/>
        </w:rPr>
        <w:t>MJG-IV is a family partnership in which Mario Gabelli is the general partner. Mario Gabelli has less than a 100% interest in MJG-IV. MJG-IV makes investments for its own account. Mario Gabelli disclaims ownership of the securities held by MJG-IV beyond his pecuniary interest.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Reporting Persons do not admit that they constitute a group.</w:t>
      </w:r>
    </w:p>
    <w:p>
      <w:pPr>
        <w:spacing w:after="0" w:line="4" w:lineRule="exact"/>
        <w:rPr>
          <w:sz w:val="20"/>
          <w:szCs w:val="20"/>
          <w:color w:val="auto"/>
        </w:rPr>
      </w:pPr>
    </w:p>
    <w:p>
      <w:pPr>
        <w:ind w:right="20" w:firstLine="918"/>
        <w:spacing w:after="0" w:line="245" w:lineRule="auto"/>
        <w:rPr>
          <w:sz w:val="20"/>
          <w:szCs w:val="20"/>
          <w:color w:val="auto"/>
        </w:rPr>
      </w:pPr>
      <w:r>
        <w:rPr>
          <w:rFonts w:ascii="Arial" w:cs="Arial" w:eastAsia="Arial" w:hAnsi="Arial"/>
          <w:sz w:val="13"/>
          <w:szCs w:val="13"/>
          <w:color w:val="auto"/>
        </w:rPr>
        <w:t>GAMCO is a New York corporation and GBL, AC, GCIA, and Teton Advisors are Delaware corporations, each having its principal business office at One Corporate Center, Rye, New York 10580. GGCP is a Wyoming corporation having its principal business office at 140 Greenwich Avenue, Greenwich, CT 06830. GGCP Holdings is a Delaware limited liability corporation having its principal business office at 140 Greenwich Avenue,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ICTC Group Inc. is a Delaware corporation having its principal place of business as 556 Main Street, Nome, North Dakota 58062.</w:t>
      </w:r>
    </w:p>
    <w:p>
      <w:pPr>
        <w:spacing w:after="0" w:line="3" w:lineRule="exact"/>
        <w:rPr>
          <w:sz w:val="20"/>
          <w:szCs w:val="20"/>
          <w:color w:val="auto"/>
        </w:rPr>
      </w:pPr>
    </w:p>
    <w:p>
      <w:pPr>
        <w:ind w:right="20" w:firstLine="918"/>
        <w:spacing w:after="0" w:line="245" w:lineRule="auto"/>
        <w:rPr>
          <w:sz w:val="20"/>
          <w:szCs w:val="20"/>
          <w:color w:val="auto"/>
        </w:rPr>
      </w:pPr>
      <w:r>
        <w:rPr>
          <w:rFonts w:ascii="Arial" w:cs="Arial" w:eastAsia="Arial" w:hAnsi="Arial"/>
          <w:sz w:val="13"/>
          <w:szCs w:val="13"/>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1" w:lineRule="exact"/>
        <w:rPr>
          <w:sz w:val="20"/>
          <w:szCs w:val="20"/>
          <w:color w:val="auto"/>
        </w:rPr>
      </w:pPr>
    </w:p>
    <w:p>
      <w:pPr>
        <w:ind w:left="1100" w:hanging="186"/>
        <w:spacing w:after="0"/>
        <w:tabs>
          <w:tab w:leader="none" w:pos="11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 Not applicable.</w:t>
      </w:r>
    </w:p>
    <w:p>
      <w:pPr>
        <w:spacing w:after="0" w:line="3" w:lineRule="exact"/>
        <w:rPr>
          <w:rFonts w:ascii="Arial" w:cs="Arial" w:eastAsia="Arial" w:hAnsi="Arial"/>
          <w:sz w:val="13"/>
          <w:szCs w:val="13"/>
          <w:color w:val="auto"/>
        </w:rPr>
      </w:pPr>
    </w:p>
    <w:p>
      <w:pPr>
        <w:ind w:left="1080" w:hanging="166"/>
        <w:spacing w:after="0"/>
        <w:tabs>
          <w:tab w:leader="none" w:pos="10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 Not applicable.</w:t>
      </w:r>
    </w:p>
    <w:p>
      <w:pPr>
        <w:spacing w:after="0" w:line="3" w:lineRule="exact"/>
        <w:rPr>
          <w:rFonts w:ascii="Arial" w:cs="Arial" w:eastAsia="Arial" w:hAnsi="Arial"/>
          <w:sz w:val="13"/>
          <w:szCs w:val="13"/>
          <w:color w:val="auto"/>
        </w:rPr>
      </w:pPr>
    </w:p>
    <w:p>
      <w:pPr>
        <w:ind w:left="1080" w:hanging="166"/>
        <w:spacing w:after="0"/>
        <w:tabs>
          <w:tab w:leader="none" w:pos="10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 Reference is made to Schedule I hereto.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Item 5.</w:t>
            </w:r>
          </w:p>
        </w:tc>
        <w:tc>
          <w:tcPr>
            <w:tcW w:w="110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3"/>
                <w:szCs w:val="13"/>
                <w:color w:val="auto"/>
              </w:rPr>
              <w:t>Interest In Securities Of The Issuer</w:t>
            </w:r>
          </w:p>
        </w:tc>
      </w:tr>
      <w:tr>
        <w:trPr>
          <w:trHeight w:val="20"/>
        </w:trPr>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1"/>
        </w:trPr>
        <w:tc>
          <w:tcPr>
            <w:tcW w:w="640" w:type="dxa"/>
            <w:vAlign w:val="bottom"/>
          </w:tcPr>
          <w:p>
            <w:pPr>
              <w:spacing w:after="0"/>
              <w:rPr>
                <w:sz w:val="14"/>
                <w:szCs w:val="14"/>
                <w:color w:val="auto"/>
              </w:rPr>
            </w:pPr>
          </w:p>
        </w:tc>
        <w:tc>
          <w:tcPr>
            <w:tcW w:w="3600" w:type="dxa"/>
            <w:vAlign w:val="bottom"/>
            <w:gridSpan w:val="3"/>
          </w:tcPr>
          <w:p>
            <w:pPr>
              <w:ind w:left="280"/>
              <w:spacing w:after="0"/>
              <w:rPr>
                <w:sz w:val="20"/>
                <w:szCs w:val="20"/>
                <w:color w:val="auto"/>
              </w:rPr>
            </w:pPr>
            <w:r>
              <w:rPr>
                <w:rFonts w:ascii="Arial" w:cs="Arial" w:eastAsia="Arial" w:hAnsi="Arial"/>
                <w:sz w:val="13"/>
                <w:szCs w:val="13"/>
                <w:color w:val="auto"/>
                <w:w w:val="88"/>
              </w:rPr>
              <w:t>Item 5 to Schedule 13D is amended, in pertinent part, as follows:</w:t>
            </w:r>
          </w:p>
        </w:tc>
      </w:tr>
    </w:tbl>
    <w:p>
      <w:pPr>
        <w:ind w:right="160" w:firstLine="914"/>
        <w:spacing w:after="0" w:line="245" w:lineRule="auto"/>
        <w:tabs>
          <w:tab w:leader="none" w:pos="109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aggregate number of Securities to which this Schedule 13D relates is 780,794 shares, representing 15.37% of the 5,080,689 shares outstanding as reported in the Issuer's most recent Form 10-Q for the quarterly period ended October 31, 2016. The Reporting Persons beneficially own those Securities as follows:</w:t>
      </w:r>
    </w:p>
    <w:tbl>
      <w:tblPr>
        <w:tblLayout w:type="fixed"/>
        <w:tblInd w:w="0" w:type="dxa"/>
        <w:tblCellMar>
          <w:top w:w="0" w:type="dxa"/>
          <w:left w:w="0" w:type="dxa"/>
          <w:bottom w:w="0" w:type="dxa"/>
          <w:right w:w="0" w:type="dxa"/>
        </w:tblCellMar>
      </w:tblPr>
      <w:tr>
        <w:trPr>
          <w:trHeight w:val="145"/>
        </w:trPr>
        <w:tc>
          <w:tcPr>
            <w:tcW w:w="3200" w:type="dxa"/>
            <w:vAlign w:val="bottom"/>
          </w:tcPr>
          <w:p>
            <w:pPr>
              <w:spacing w:after="0"/>
              <w:rPr>
                <w:sz w:val="12"/>
                <w:szCs w:val="12"/>
                <w:color w:val="auto"/>
              </w:rPr>
            </w:pPr>
          </w:p>
        </w:tc>
        <w:tc>
          <w:tcPr>
            <w:tcW w:w="4620" w:type="dxa"/>
            <w:vAlign w:val="bottom"/>
          </w:tcPr>
          <w:p>
            <w:pPr>
              <w:jc w:val="center"/>
              <w:ind w:left="996"/>
              <w:spacing w:after="0" w:line="146" w:lineRule="exact"/>
              <w:rPr>
                <w:sz w:val="20"/>
                <w:szCs w:val="20"/>
                <w:color w:val="auto"/>
              </w:rPr>
            </w:pPr>
            <w:r>
              <w:rPr>
                <w:rFonts w:ascii="Arial" w:cs="Arial" w:eastAsia="Arial" w:hAnsi="Arial"/>
                <w:sz w:val="13"/>
                <w:szCs w:val="13"/>
                <w:color w:val="auto"/>
                <w:w w:val="86"/>
              </w:rPr>
              <w:t>Shares of</w:t>
            </w:r>
          </w:p>
        </w:tc>
        <w:tc>
          <w:tcPr>
            <w:tcW w:w="3660" w:type="dxa"/>
            <w:vAlign w:val="bottom"/>
          </w:tcPr>
          <w:p>
            <w:pPr>
              <w:jc w:val="center"/>
              <w:ind w:right="156"/>
              <w:spacing w:after="0" w:line="146" w:lineRule="exact"/>
              <w:rPr>
                <w:sz w:val="20"/>
                <w:szCs w:val="20"/>
                <w:color w:val="auto"/>
              </w:rPr>
            </w:pPr>
            <w:r>
              <w:rPr>
                <w:rFonts w:ascii="Arial" w:cs="Arial" w:eastAsia="Arial" w:hAnsi="Arial"/>
                <w:sz w:val="13"/>
                <w:szCs w:val="13"/>
                <w:color w:val="auto"/>
                <w:w w:val="88"/>
              </w:rPr>
              <w:t>% of Class of</w:t>
            </w:r>
          </w:p>
        </w:tc>
      </w:tr>
      <w:tr>
        <w:trPr>
          <w:trHeight w:val="162"/>
        </w:trPr>
        <w:tc>
          <w:tcPr>
            <w:tcW w:w="3200" w:type="dxa"/>
            <w:vAlign w:val="bottom"/>
          </w:tcPr>
          <w:p>
            <w:pPr>
              <w:spacing w:after="0"/>
              <w:rPr>
                <w:sz w:val="20"/>
                <w:szCs w:val="20"/>
                <w:color w:val="auto"/>
              </w:rPr>
            </w:pPr>
            <w:r>
              <w:rPr>
                <w:rFonts w:ascii="Arial" w:cs="Arial" w:eastAsia="Arial" w:hAnsi="Arial"/>
                <w:sz w:val="13"/>
                <w:szCs w:val="13"/>
                <w:color w:val="auto"/>
              </w:rPr>
              <w:t>Name</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9"/>
              </w:rPr>
              <w:t>Common Stock</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90"/>
              </w:rPr>
              <w:t>Common</w:t>
            </w:r>
          </w:p>
        </w:tc>
      </w:tr>
      <w:tr>
        <w:trPr>
          <w:trHeight w:val="153"/>
        </w:trPr>
        <w:tc>
          <w:tcPr>
            <w:tcW w:w="320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tcPr>
          <w:p>
            <w:pPr>
              <w:spacing w:after="0"/>
              <w:rPr>
                <w:sz w:val="13"/>
                <w:szCs w:val="13"/>
                <w:color w:val="auto"/>
              </w:rPr>
            </w:pPr>
          </w:p>
        </w:tc>
      </w:tr>
      <w:tr>
        <w:trPr>
          <w:trHeight w:val="161"/>
        </w:trPr>
        <w:tc>
          <w:tcPr>
            <w:tcW w:w="3200" w:type="dxa"/>
            <w:vAlign w:val="bottom"/>
          </w:tcPr>
          <w:p>
            <w:pPr>
              <w:spacing w:after="0"/>
              <w:rPr>
                <w:sz w:val="20"/>
                <w:szCs w:val="20"/>
                <w:color w:val="auto"/>
              </w:rPr>
            </w:pPr>
            <w:r>
              <w:rPr>
                <w:rFonts w:ascii="Arial" w:cs="Arial" w:eastAsia="Arial" w:hAnsi="Arial"/>
                <w:sz w:val="13"/>
                <w:szCs w:val="13"/>
                <w:color w:val="auto"/>
              </w:rPr>
              <w:t>Gabelli Funds</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5"/>
              </w:rPr>
              <w:t>136,000</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86"/>
              </w:rPr>
              <w:t>2.68%</w:t>
            </w:r>
          </w:p>
        </w:tc>
      </w:tr>
      <w:tr>
        <w:trPr>
          <w:trHeight w:val="297"/>
        </w:trPr>
        <w:tc>
          <w:tcPr>
            <w:tcW w:w="3200" w:type="dxa"/>
            <w:vAlign w:val="bottom"/>
          </w:tcPr>
          <w:p>
            <w:pPr>
              <w:spacing w:after="0"/>
              <w:rPr>
                <w:sz w:val="20"/>
                <w:szCs w:val="20"/>
                <w:color w:val="auto"/>
              </w:rPr>
            </w:pPr>
            <w:r>
              <w:rPr>
                <w:rFonts w:ascii="Arial" w:cs="Arial" w:eastAsia="Arial" w:hAnsi="Arial"/>
                <w:sz w:val="13"/>
                <w:szCs w:val="13"/>
                <w:color w:val="auto"/>
              </w:rPr>
              <w:t>GAMCO</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5"/>
              </w:rPr>
              <w:t>514,994</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90"/>
              </w:rPr>
              <w:t>10.14%</w:t>
            </w:r>
          </w:p>
        </w:tc>
      </w:tr>
      <w:tr>
        <w:trPr>
          <w:trHeight w:val="306"/>
        </w:trPr>
        <w:tc>
          <w:tcPr>
            <w:tcW w:w="3200" w:type="dxa"/>
            <w:vAlign w:val="bottom"/>
          </w:tcPr>
          <w:p>
            <w:pPr>
              <w:spacing w:after="0"/>
              <w:rPr>
                <w:sz w:val="20"/>
                <w:szCs w:val="20"/>
                <w:color w:val="auto"/>
              </w:rPr>
            </w:pPr>
            <w:r>
              <w:rPr>
                <w:rFonts w:ascii="Arial" w:cs="Arial" w:eastAsia="Arial" w:hAnsi="Arial"/>
                <w:sz w:val="13"/>
                <w:szCs w:val="13"/>
                <w:color w:val="auto"/>
              </w:rPr>
              <w:t>Teton Advisors</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5"/>
              </w:rPr>
              <w:t>128,300</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86"/>
              </w:rPr>
              <w:t>2.53%</w:t>
            </w:r>
          </w:p>
        </w:tc>
      </w:tr>
      <w:tr>
        <w:trPr>
          <w:trHeight w:val="306"/>
        </w:trPr>
        <w:tc>
          <w:tcPr>
            <w:tcW w:w="3200" w:type="dxa"/>
            <w:vAlign w:val="bottom"/>
          </w:tcPr>
          <w:p>
            <w:pPr>
              <w:spacing w:after="0"/>
              <w:rPr>
                <w:sz w:val="20"/>
                <w:szCs w:val="20"/>
                <w:color w:val="auto"/>
              </w:rPr>
            </w:pPr>
            <w:r>
              <w:rPr>
                <w:rFonts w:ascii="Arial" w:cs="Arial" w:eastAsia="Arial" w:hAnsi="Arial"/>
                <w:sz w:val="13"/>
                <w:szCs w:val="13"/>
                <w:color w:val="auto"/>
              </w:rPr>
              <w:t>AC</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5"/>
              </w:rPr>
              <w:t>1,500</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86"/>
              </w:rPr>
              <w:t>0.03%</w:t>
            </w:r>
          </w:p>
        </w:tc>
      </w:tr>
    </w:tbl>
    <w:p>
      <w:pPr>
        <w:spacing w:after="0" w:line="164" w:lineRule="exact"/>
        <w:rPr>
          <w:sz w:val="20"/>
          <w:szCs w:val="20"/>
          <w:color w:val="auto"/>
        </w:rPr>
      </w:pPr>
    </w:p>
    <w:p>
      <w:pPr>
        <w:ind w:right="560" w:firstLine="918"/>
        <w:spacing w:after="0" w:line="298" w:lineRule="auto"/>
        <w:rPr>
          <w:sz w:val="20"/>
          <w:szCs w:val="20"/>
          <w:color w:val="auto"/>
        </w:rPr>
      </w:pPr>
      <w:r>
        <w:rPr>
          <w:rFonts w:ascii="Arial" w:cs="Arial" w:eastAsia="Arial" w:hAnsi="Arial"/>
          <w:sz w:val="11"/>
          <w:szCs w:val="11"/>
          <w:color w:val="auto"/>
        </w:rPr>
        <w:t>Mario Gabelli is deemed to have beneficial ownership of the Securities owned beneficially by each of the foregoing persons. GCIA is deemed to have beneficial ownership of the Securities owned beneficially by G.research. AC, GBL and GGCP are deemed to have beneficial ownership of the Securities owned beneficially by each of the foregoing persons other than Mario Gabelli and the Foundation.</w:t>
      </w:r>
    </w:p>
    <w:p>
      <w:pPr>
        <w:ind w:right="20" w:firstLine="918"/>
        <w:spacing w:after="0" w:line="245" w:lineRule="auto"/>
        <w:rPr>
          <w:sz w:val="20"/>
          <w:szCs w:val="20"/>
          <w:color w:val="auto"/>
        </w:rPr>
      </w:pPr>
      <w:r>
        <w:rPr>
          <w:rFonts w:ascii="Arial" w:cs="Arial" w:eastAsia="Arial" w:hAnsi="Arial"/>
          <w:sz w:val="13"/>
          <w:szCs w:val="13"/>
          <w:color w:val="auto"/>
        </w:rPr>
        <w:t>(b) 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39,000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2" w:lineRule="exact"/>
        <w:rPr>
          <w:sz w:val="20"/>
          <w:szCs w:val="20"/>
          <w:color w:val="auto"/>
        </w:rPr>
      </w:pPr>
    </w:p>
    <w:p>
      <w:pPr>
        <w:ind w:right="240" w:firstLine="914"/>
        <w:spacing w:after="0" w:line="245" w:lineRule="auto"/>
        <w:tabs>
          <w:tab w:leader="none" w:pos="1091"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ind w:left="1080" w:hanging="166"/>
        <w:spacing w:after="0"/>
        <w:tabs>
          <w:tab w:leader="none" w:pos="10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Not applicable.</w:t>
      </w:r>
    </w:p>
    <w:p>
      <w:pPr>
        <w:sectPr>
          <w:pgSz w:w="11900" w:h="16838" w:orient="portrait"/>
          <w:cols w:equalWidth="0" w:num="1">
            <w:col w:w="11480"/>
          </w:cols>
          <w:pgMar w:left="220" w:top="114" w:right="199" w:bottom="6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0"/>
          </w:cols>
          <w:pgMar w:left="220" w:top="114" w:right="199" w:bottom="626"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u w:val="single" w:color="auto"/>
          <w:color w:val="auto"/>
        </w:rPr>
        <w:t>Signature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11080" w:type="dxa"/>
            <w:vAlign w:val="bottom"/>
            <w:gridSpan w:val="5"/>
          </w:tcPr>
          <w:p>
            <w:pPr>
              <w:ind w:left="6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tc>
      </w:tr>
      <w:tr>
        <w:trPr>
          <w:trHeight w:val="162"/>
        </w:trPr>
        <w:tc>
          <w:tcPr>
            <w:tcW w:w="400" w:type="dxa"/>
            <w:vAlign w:val="bottom"/>
          </w:tcPr>
          <w:p>
            <w:pPr>
              <w:spacing w:after="0"/>
              <w:rPr>
                <w:sz w:val="20"/>
                <w:szCs w:val="20"/>
                <w:color w:val="auto"/>
              </w:rPr>
            </w:pPr>
            <w:r>
              <w:rPr>
                <w:rFonts w:ascii="Arial" w:cs="Arial" w:eastAsia="Arial" w:hAnsi="Arial"/>
                <w:sz w:val="13"/>
                <w:szCs w:val="13"/>
                <w:color w:val="auto"/>
                <w:w w:val="99"/>
              </w:rPr>
              <w:t>Dated:</w:t>
            </w:r>
          </w:p>
        </w:tc>
        <w:tc>
          <w:tcPr>
            <w:tcW w:w="11080" w:type="dxa"/>
            <w:vAlign w:val="bottom"/>
            <w:gridSpan w:val="5"/>
          </w:tcPr>
          <w:p>
            <w:pPr>
              <w:ind w:left="400"/>
              <w:spacing w:after="0"/>
              <w:rPr>
                <w:sz w:val="20"/>
                <w:szCs w:val="20"/>
                <w:color w:val="auto"/>
              </w:rPr>
            </w:pPr>
            <w:r>
              <w:rPr>
                <w:rFonts w:ascii="Arial" w:cs="Arial" w:eastAsia="Arial" w:hAnsi="Arial"/>
                <w:sz w:val="13"/>
                <w:szCs w:val="13"/>
                <w:color w:val="auto"/>
              </w:rPr>
              <w:t>January 4, 2017</w:t>
            </w:r>
          </w:p>
        </w:tc>
      </w:tr>
      <w:tr>
        <w:trPr>
          <w:trHeight w:val="317"/>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GGCP, INC.</w:t>
            </w:r>
          </w:p>
        </w:tc>
      </w:tr>
      <w:tr>
        <w:trPr>
          <w:trHeight w:val="162"/>
        </w:trPr>
        <w:tc>
          <w:tcPr>
            <w:tcW w:w="400" w:type="dxa"/>
            <w:vAlign w:val="bottom"/>
          </w:tcPr>
          <w:p>
            <w:pPr>
              <w:spacing w:after="0"/>
              <w:rPr>
                <w:sz w:val="14"/>
                <w:szCs w:val="1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MARIO J. GABELLI</w:t>
            </w:r>
          </w:p>
        </w:tc>
      </w:tr>
      <w:tr>
        <w:trPr>
          <w:trHeight w:val="469"/>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By:/s/ Douglas R. Jamieson</w:t>
            </w:r>
          </w:p>
        </w:tc>
      </w:tr>
      <w:tr>
        <w:trPr>
          <w:trHeight w:val="20"/>
        </w:trPr>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53"/>
        </w:trPr>
        <w:tc>
          <w:tcPr>
            <w:tcW w:w="400" w:type="dxa"/>
            <w:vAlign w:val="bottom"/>
          </w:tcPr>
          <w:p>
            <w:pPr>
              <w:spacing w:after="0"/>
              <w:rPr>
                <w:sz w:val="13"/>
                <w:szCs w:val="13"/>
                <w:color w:val="auto"/>
              </w:rPr>
            </w:pPr>
          </w:p>
        </w:tc>
        <w:tc>
          <w:tcPr>
            <w:tcW w:w="11080" w:type="dxa"/>
            <w:vAlign w:val="bottom"/>
            <w:gridSpan w:val="5"/>
          </w:tcPr>
          <w:p>
            <w:pPr>
              <w:ind w:left="2500"/>
              <w:spacing w:after="0"/>
              <w:rPr>
                <w:sz w:val="20"/>
                <w:szCs w:val="20"/>
                <w:color w:val="auto"/>
              </w:rPr>
            </w:pPr>
            <w:r>
              <w:rPr>
                <w:rFonts w:ascii="Arial" w:cs="Arial" w:eastAsia="Arial" w:hAnsi="Arial"/>
                <w:sz w:val="13"/>
                <w:szCs w:val="13"/>
                <w:color w:val="auto"/>
              </w:rPr>
              <w:t>Douglas R. Jamieson</w:t>
            </w:r>
          </w:p>
        </w:tc>
      </w:tr>
      <w:tr>
        <w:trPr>
          <w:trHeight w:val="162"/>
        </w:trPr>
        <w:tc>
          <w:tcPr>
            <w:tcW w:w="400" w:type="dxa"/>
            <w:vAlign w:val="bottom"/>
          </w:tcPr>
          <w:p>
            <w:pPr>
              <w:spacing w:after="0"/>
              <w:rPr>
                <w:sz w:val="14"/>
                <w:szCs w:val="14"/>
                <w:color w:val="auto"/>
              </w:rPr>
            </w:pPr>
          </w:p>
        </w:tc>
        <w:tc>
          <w:tcPr>
            <w:tcW w:w="11080" w:type="dxa"/>
            <w:vAlign w:val="bottom"/>
            <w:gridSpan w:val="5"/>
          </w:tcPr>
          <w:p>
            <w:pPr>
              <w:ind w:left="2500"/>
              <w:spacing w:after="0"/>
              <w:rPr>
                <w:sz w:val="20"/>
                <w:szCs w:val="20"/>
                <w:color w:val="auto"/>
              </w:rPr>
            </w:pPr>
            <w:r>
              <w:rPr>
                <w:rFonts w:ascii="Arial" w:cs="Arial" w:eastAsia="Arial" w:hAnsi="Arial"/>
                <w:sz w:val="13"/>
                <w:szCs w:val="13"/>
                <w:color w:val="auto"/>
              </w:rPr>
              <w:t>Attorney-in-Fact</w:t>
            </w:r>
          </w:p>
        </w:tc>
      </w:tr>
      <w:tr>
        <w:trPr>
          <w:trHeight w:val="661"/>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TETON ADVISORS, INC.</w:t>
            </w:r>
          </w:p>
        </w:tc>
      </w:tr>
      <w:tr>
        <w:trPr>
          <w:trHeight w:val="162"/>
        </w:trPr>
        <w:tc>
          <w:tcPr>
            <w:tcW w:w="400" w:type="dxa"/>
            <w:vAlign w:val="bottom"/>
          </w:tcPr>
          <w:p>
            <w:pPr>
              <w:spacing w:after="0"/>
              <w:rPr>
                <w:sz w:val="14"/>
                <w:szCs w:val="1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GABELLI FUNDS, LLC</w:t>
            </w:r>
          </w:p>
        </w:tc>
      </w:tr>
      <w:tr>
        <w:trPr>
          <w:trHeight w:val="469"/>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By:/s/ David Goldman</w:t>
            </w:r>
          </w:p>
        </w:tc>
      </w:tr>
      <w:tr>
        <w:trPr>
          <w:trHeight w:val="20"/>
        </w:trPr>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153"/>
        </w:trPr>
        <w:tc>
          <w:tcPr>
            <w:tcW w:w="400" w:type="dxa"/>
            <w:vAlign w:val="bottom"/>
          </w:tcPr>
          <w:p>
            <w:pPr>
              <w:spacing w:after="0"/>
              <w:rPr>
                <w:sz w:val="13"/>
                <w:szCs w:val="13"/>
                <w:color w:val="auto"/>
              </w:rPr>
            </w:pPr>
          </w:p>
        </w:tc>
        <w:tc>
          <w:tcPr>
            <w:tcW w:w="11080" w:type="dxa"/>
            <w:vAlign w:val="bottom"/>
            <w:gridSpan w:val="5"/>
          </w:tcPr>
          <w:p>
            <w:pPr>
              <w:ind w:left="2500"/>
              <w:spacing w:after="0"/>
              <w:rPr>
                <w:sz w:val="20"/>
                <w:szCs w:val="20"/>
                <w:color w:val="auto"/>
              </w:rPr>
            </w:pPr>
            <w:r>
              <w:rPr>
                <w:rFonts w:ascii="Arial" w:cs="Arial" w:eastAsia="Arial" w:hAnsi="Arial"/>
                <w:sz w:val="13"/>
                <w:szCs w:val="13"/>
                <w:color w:val="auto"/>
              </w:rPr>
              <w:t>David Goldman</w:t>
            </w:r>
          </w:p>
        </w:tc>
      </w:tr>
      <w:tr>
        <w:trPr>
          <w:trHeight w:val="153"/>
        </w:trPr>
        <w:tc>
          <w:tcPr>
            <w:tcW w:w="400" w:type="dxa"/>
            <w:vAlign w:val="bottom"/>
          </w:tcPr>
          <w:p>
            <w:pPr>
              <w:spacing w:after="0"/>
              <w:rPr>
                <w:sz w:val="13"/>
                <w:szCs w:val="13"/>
                <w:color w:val="auto"/>
              </w:rPr>
            </w:pPr>
          </w:p>
        </w:tc>
        <w:tc>
          <w:tcPr>
            <w:tcW w:w="11080" w:type="dxa"/>
            <w:vAlign w:val="bottom"/>
            <w:gridSpan w:val="5"/>
          </w:tcPr>
          <w:p>
            <w:pPr>
              <w:ind w:left="2500"/>
              <w:spacing w:after="0"/>
              <w:rPr>
                <w:sz w:val="20"/>
                <w:szCs w:val="20"/>
                <w:color w:val="auto"/>
              </w:rPr>
            </w:pPr>
            <w:r>
              <w:rPr>
                <w:rFonts w:ascii="Arial" w:cs="Arial" w:eastAsia="Arial" w:hAnsi="Arial"/>
                <w:sz w:val="13"/>
                <w:szCs w:val="13"/>
                <w:color w:val="auto"/>
              </w:rPr>
              <w:t>General Counsel – Teton Advisors, Inc.</w:t>
            </w:r>
          </w:p>
        </w:tc>
      </w:tr>
      <w:tr>
        <w:trPr>
          <w:trHeight w:val="162"/>
        </w:trPr>
        <w:tc>
          <w:tcPr>
            <w:tcW w:w="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540" w:type="dxa"/>
            <w:vAlign w:val="bottom"/>
            <w:gridSpan w:val="4"/>
          </w:tcPr>
          <w:p>
            <w:pPr>
              <w:ind w:left="260"/>
              <w:spacing w:after="0"/>
              <w:rPr>
                <w:sz w:val="20"/>
                <w:szCs w:val="20"/>
                <w:color w:val="auto"/>
              </w:rPr>
            </w:pPr>
            <w:r>
              <w:rPr>
                <w:rFonts w:ascii="Arial" w:cs="Arial" w:eastAsia="Arial" w:hAnsi="Arial"/>
                <w:sz w:val="13"/>
                <w:szCs w:val="13"/>
                <w:color w:val="auto"/>
              </w:rPr>
              <w:t>&amp; Gabelli Funds, LLC</w:t>
            </w:r>
          </w:p>
        </w:tc>
      </w:tr>
      <w:tr>
        <w:trPr>
          <w:trHeight w:val="669"/>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GAMCO INVESTORS, INC.</w:t>
            </w:r>
          </w:p>
        </w:tc>
      </w:tr>
      <w:tr>
        <w:trPr>
          <w:trHeight w:val="469"/>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By:/s/ Kevin Handwerker</w:t>
            </w:r>
          </w:p>
        </w:tc>
      </w:tr>
      <w:tr>
        <w:trPr>
          <w:trHeight w:val="20"/>
        </w:trPr>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161"/>
        </w:trPr>
        <w:tc>
          <w:tcPr>
            <w:tcW w:w="400" w:type="dxa"/>
            <w:vAlign w:val="bottom"/>
          </w:tcPr>
          <w:p>
            <w:pPr>
              <w:spacing w:after="0"/>
              <w:rPr>
                <w:sz w:val="14"/>
                <w:szCs w:val="14"/>
                <w:color w:val="auto"/>
              </w:rPr>
            </w:pPr>
          </w:p>
        </w:tc>
        <w:tc>
          <w:tcPr>
            <w:tcW w:w="11080" w:type="dxa"/>
            <w:vAlign w:val="bottom"/>
            <w:gridSpan w:val="5"/>
          </w:tcPr>
          <w:p>
            <w:pPr>
              <w:ind w:left="2500"/>
              <w:spacing w:after="0"/>
              <w:rPr>
                <w:sz w:val="20"/>
                <w:szCs w:val="20"/>
                <w:color w:val="auto"/>
              </w:rPr>
            </w:pPr>
            <w:r>
              <w:rPr>
                <w:rFonts w:ascii="Arial" w:cs="Arial" w:eastAsia="Arial" w:hAnsi="Arial"/>
                <w:sz w:val="13"/>
                <w:szCs w:val="13"/>
                <w:color w:val="auto"/>
              </w:rPr>
              <w:t>Kevin Handwerker</w:t>
            </w:r>
          </w:p>
        </w:tc>
      </w:tr>
      <w:tr>
        <w:trPr>
          <w:trHeight w:val="201"/>
        </w:trPr>
        <w:tc>
          <w:tcPr>
            <w:tcW w:w="400" w:type="dxa"/>
            <w:vAlign w:val="bottom"/>
          </w:tcPr>
          <w:p>
            <w:pPr>
              <w:spacing w:after="0"/>
              <w:rPr>
                <w:sz w:val="17"/>
                <w:szCs w:val="17"/>
                <w:color w:val="auto"/>
              </w:rPr>
            </w:pPr>
          </w:p>
        </w:tc>
        <w:tc>
          <w:tcPr>
            <w:tcW w:w="11080" w:type="dxa"/>
            <w:vAlign w:val="bottom"/>
            <w:gridSpan w:val="5"/>
          </w:tcPr>
          <w:p>
            <w:pPr>
              <w:ind w:left="2400"/>
              <w:spacing w:after="0"/>
              <w:rPr>
                <w:sz w:val="20"/>
                <w:szCs w:val="20"/>
                <w:color w:val="auto"/>
              </w:rPr>
            </w:pPr>
            <w:r>
              <w:rPr>
                <w:rFonts w:ascii="Arial" w:cs="Arial" w:eastAsia="Arial" w:hAnsi="Arial"/>
                <w:sz w:val="13"/>
                <w:szCs w:val="13"/>
                <w:color w:val="auto"/>
              </w:rPr>
              <w:t>General Counsel &amp; Secretary – GAMCO Investors, Inc.</w:t>
            </w:r>
          </w:p>
        </w:tc>
      </w:tr>
      <w:tr>
        <w:trPr>
          <w:trHeight w:val="498"/>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ASSOCIATED CAPITAL GROUP, INC.</w:t>
            </w:r>
          </w:p>
        </w:tc>
      </w:tr>
      <w:tr>
        <w:trPr>
          <w:trHeight w:val="162"/>
        </w:trPr>
        <w:tc>
          <w:tcPr>
            <w:tcW w:w="400" w:type="dxa"/>
            <w:vAlign w:val="bottom"/>
          </w:tcPr>
          <w:p>
            <w:pPr>
              <w:spacing w:after="0"/>
              <w:rPr>
                <w:sz w:val="14"/>
                <w:szCs w:val="1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GAMCO ASSET MANAGEMENT INC.</w:t>
            </w:r>
          </w:p>
        </w:tc>
      </w:tr>
      <w:tr>
        <w:trPr>
          <w:trHeight w:val="469"/>
        </w:trPr>
        <w:tc>
          <w:tcPr>
            <w:tcW w:w="400" w:type="dxa"/>
            <w:vAlign w:val="bottom"/>
          </w:tcPr>
          <w:p>
            <w:pPr>
              <w:spacing w:after="0"/>
              <w:rPr>
                <w:sz w:val="24"/>
                <w:szCs w:val="24"/>
                <w:color w:val="auto"/>
              </w:rPr>
            </w:pPr>
          </w:p>
        </w:tc>
        <w:tc>
          <w:tcPr>
            <w:tcW w:w="11080" w:type="dxa"/>
            <w:vAlign w:val="bottom"/>
            <w:gridSpan w:val="5"/>
          </w:tcPr>
          <w:p>
            <w:pPr>
              <w:ind w:left="2360"/>
              <w:spacing w:after="0"/>
              <w:rPr>
                <w:sz w:val="20"/>
                <w:szCs w:val="20"/>
                <w:color w:val="auto"/>
              </w:rPr>
            </w:pPr>
            <w:r>
              <w:rPr>
                <w:rFonts w:ascii="Arial" w:cs="Arial" w:eastAsia="Arial" w:hAnsi="Arial"/>
                <w:sz w:val="13"/>
                <w:szCs w:val="13"/>
                <w:color w:val="auto"/>
              </w:rPr>
              <w:t>By:/s/ Douglas R. Jamieson</w:t>
            </w:r>
          </w:p>
        </w:tc>
      </w:tr>
      <w:tr>
        <w:trPr>
          <w:trHeight w:val="20"/>
        </w:trPr>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53"/>
        </w:trPr>
        <w:tc>
          <w:tcPr>
            <w:tcW w:w="400" w:type="dxa"/>
            <w:vAlign w:val="bottom"/>
          </w:tcPr>
          <w:p>
            <w:pPr>
              <w:spacing w:after="0"/>
              <w:rPr>
                <w:sz w:val="13"/>
                <w:szCs w:val="13"/>
                <w:color w:val="auto"/>
              </w:rPr>
            </w:pPr>
          </w:p>
        </w:tc>
        <w:tc>
          <w:tcPr>
            <w:tcW w:w="11080" w:type="dxa"/>
            <w:vAlign w:val="bottom"/>
            <w:gridSpan w:val="5"/>
          </w:tcPr>
          <w:p>
            <w:pPr>
              <w:ind w:left="2500"/>
              <w:spacing w:after="0"/>
              <w:rPr>
                <w:sz w:val="20"/>
                <w:szCs w:val="20"/>
                <w:color w:val="auto"/>
              </w:rPr>
            </w:pPr>
            <w:r>
              <w:rPr>
                <w:rFonts w:ascii="Arial" w:cs="Arial" w:eastAsia="Arial" w:hAnsi="Arial"/>
                <w:sz w:val="13"/>
                <w:szCs w:val="13"/>
                <w:color w:val="auto"/>
              </w:rPr>
              <w:t>Douglas R. Jamieson</w:t>
            </w:r>
          </w:p>
        </w:tc>
      </w:tr>
      <w:tr>
        <w:trPr>
          <w:trHeight w:val="153"/>
        </w:trPr>
        <w:tc>
          <w:tcPr>
            <w:tcW w:w="400" w:type="dxa"/>
            <w:vAlign w:val="bottom"/>
          </w:tcPr>
          <w:p>
            <w:pPr>
              <w:spacing w:after="0"/>
              <w:rPr>
                <w:sz w:val="13"/>
                <w:szCs w:val="13"/>
                <w:color w:val="auto"/>
              </w:rPr>
            </w:pPr>
          </w:p>
        </w:tc>
        <w:tc>
          <w:tcPr>
            <w:tcW w:w="11080" w:type="dxa"/>
            <w:vAlign w:val="bottom"/>
            <w:gridSpan w:val="5"/>
          </w:tcPr>
          <w:p>
            <w:pPr>
              <w:ind w:left="2520"/>
              <w:spacing w:after="0"/>
              <w:rPr>
                <w:sz w:val="20"/>
                <w:szCs w:val="20"/>
                <w:color w:val="auto"/>
              </w:rPr>
            </w:pPr>
            <w:r>
              <w:rPr>
                <w:rFonts w:ascii="Arial" w:cs="Arial" w:eastAsia="Arial" w:hAnsi="Arial"/>
                <w:sz w:val="13"/>
                <w:szCs w:val="13"/>
                <w:color w:val="auto"/>
              </w:rPr>
              <w:t>President &amp; Chief Executive Officer – Associated Capital</w:t>
            </w:r>
          </w:p>
        </w:tc>
      </w:tr>
      <w:tr>
        <w:trPr>
          <w:trHeight w:val="153"/>
        </w:trPr>
        <w:tc>
          <w:tcPr>
            <w:tcW w:w="4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540" w:type="dxa"/>
            <w:vAlign w:val="bottom"/>
            <w:gridSpan w:val="4"/>
          </w:tcPr>
          <w:p>
            <w:pPr>
              <w:ind w:left="260"/>
              <w:spacing w:after="0"/>
              <w:rPr>
                <w:sz w:val="20"/>
                <w:szCs w:val="20"/>
                <w:color w:val="auto"/>
              </w:rPr>
            </w:pPr>
            <w:r>
              <w:rPr>
                <w:rFonts w:ascii="Arial" w:cs="Arial" w:eastAsia="Arial" w:hAnsi="Arial"/>
                <w:sz w:val="13"/>
                <w:szCs w:val="13"/>
                <w:color w:val="auto"/>
              </w:rPr>
              <w:t>Group, Inc.</w:t>
            </w:r>
          </w:p>
        </w:tc>
      </w:tr>
      <w:tr>
        <w:trPr>
          <w:trHeight w:val="162"/>
        </w:trPr>
        <w:tc>
          <w:tcPr>
            <w:tcW w:w="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540" w:type="dxa"/>
            <w:vAlign w:val="bottom"/>
            <w:gridSpan w:val="4"/>
          </w:tcPr>
          <w:p>
            <w:pPr>
              <w:spacing w:after="0"/>
              <w:rPr>
                <w:sz w:val="20"/>
                <w:szCs w:val="20"/>
                <w:color w:val="auto"/>
              </w:rPr>
            </w:pPr>
            <w:r>
              <w:rPr>
                <w:rFonts w:ascii="Arial" w:cs="Arial" w:eastAsia="Arial" w:hAnsi="Arial"/>
                <w:sz w:val="13"/>
                <w:szCs w:val="13"/>
                <w:color w:val="auto"/>
              </w:rPr>
              <w:t>President – GAMCO Asset Management Inc.</w:t>
            </w:r>
          </w:p>
        </w:tc>
      </w:tr>
      <w:tr>
        <w:trPr>
          <w:trHeight w:val="413"/>
        </w:trPr>
        <w:tc>
          <w:tcPr>
            <w:tcW w:w="400" w:type="dxa"/>
            <w:vAlign w:val="bottom"/>
          </w:tcPr>
          <w:p>
            <w:pPr>
              <w:spacing w:after="0"/>
              <w:rPr>
                <w:sz w:val="24"/>
                <w:szCs w:val="24"/>
                <w:color w:val="auto"/>
              </w:rPr>
            </w:pPr>
          </w:p>
        </w:tc>
        <w:tc>
          <w:tcPr>
            <w:tcW w:w="11080" w:type="dxa"/>
            <w:vAlign w:val="bottom"/>
            <w:gridSpan w:val="5"/>
          </w:tcPr>
          <w:p>
            <w:pPr>
              <w:ind w:left="5280"/>
              <w:spacing w:after="0"/>
              <w:rPr>
                <w:sz w:val="20"/>
                <w:szCs w:val="20"/>
                <w:color w:val="auto"/>
              </w:rPr>
            </w:pPr>
            <w:r>
              <w:rPr>
                <w:rFonts w:ascii="Arial" w:cs="Arial" w:eastAsia="Arial" w:hAnsi="Arial"/>
                <w:sz w:val="10"/>
                <w:szCs w:val="10"/>
                <w:color w:val="auto"/>
              </w:rPr>
              <w:t>10</w:t>
            </w:r>
          </w:p>
        </w:tc>
      </w:tr>
      <w:tr>
        <w:trPr>
          <w:trHeight w:val="27"/>
        </w:trPr>
        <w:tc>
          <w:tcPr>
            <w:tcW w:w="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r>
    </w:tbl>
    <w:p>
      <w:pPr>
        <w:sectPr>
          <w:pgSz w:w="11900" w:h="16838" w:orient="portrait"/>
          <w:cols w:equalWidth="0" w:num="1">
            <w:col w:w="11480"/>
          </w:cols>
          <w:pgMar w:left="220" w:top="303" w:right="199" w:bottom="1440" w:gutter="0" w:footer="0" w:header="0"/>
        </w:sectPr>
      </w:pPr>
    </w:p>
    <w:bookmarkStart w:id="10" w:name="page11"/>
    <w:bookmarkEnd w:id="10"/>
    <w:p>
      <w:pPr>
        <w:jc w:val="center"/>
        <w:ind w:right="-179"/>
        <w:spacing w:after="0"/>
        <w:rPr>
          <w:sz w:val="20"/>
          <w:szCs w:val="20"/>
          <w:color w:val="auto"/>
        </w:rPr>
      </w:pPr>
      <w:r>
        <w:rPr>
          <w:rFonts w:ascii="Arial" w:cs="Arial" w:eastAsia="Arial" w:hAnsi="Arial"/>
          <w:sz w:val="13"/>
          <w:szCs w:val="13"/>
          <w:color w:val="auto"/>
        </w:rPr>
        <w:t>Schedule I</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3"/>
          <w:szCs w:val="13"/>
          <w:color w:val="auto"/>
        </w:rPr>
        <w:t>Information with Respect to Executive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Officers and Directors of the Undersigned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I to Schedule 13D is amended, in pertinent part, as follows: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GAMCO Investors,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2532380" cy="12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32380" cy="12065"/>
                    </a:xfrm>
                    <a:prstGeom prst="rect">
                      <a:avLst/>
                    </a:prstGeom>
                    <a:noFill/>
                  </pic:spPr>
                </pic:pic>
              </a:graphicData>
            </a:graphic>
          </wp:anchor>
        </w:drawing>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Edwin L. Artzt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Raymond C. Avansino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Leslie B. Daniels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Elisa M. Wilson</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Eugene R. McGrath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Robert S. Prather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Henry G. Van der Eb</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Bruce N. Alpert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Agnes Mullady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Kevin Handwerker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GAMCO Asset Management Inc.</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2532380" cy="12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32380" cy="12065"/>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Douglas R. Jamieson</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Regina M. Pitaro</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William S. Selby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Douglas R. Jamieson</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David Goldman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Gabelli Funds, LLC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2532380" cy="12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32380" cy="12065"/>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Bruce N. Alpert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Agnes Mullady</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David Goldman</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Gabelli Foundation,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2513965" cy="1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13965" cy="1206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3"/>
          <w:szCs w:val="13"/>
          <w:color w:val="auto"/>
        </w:rPr>
        <w:t>Mario J. Gabelli</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Elisa M. Wilson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Marc Gabelli</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Matthew R. Gabelli</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Michael Gabelli</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MJG-IV Limited Partnership</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2513965" cy="12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13965" cy="1206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3"/>
          <w:szCs w:val="13"/>
          <w:color w:val="auto"/>
        </w:rPr>
        <w:t>Mario J. Gabelli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Former Chairman and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Procter &amp; Gamble Company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900 Adams Crossing</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Cincinnati, OH 45202</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Chairman &amp;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E.L. Wiegand Foundation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165 West Liberty Street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Reno, NV 89501</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Director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 GAMCO Investors,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One Corporate Center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Rye, NY 10580</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Executive Officer and Chief Investment Officer of GGCP, Inc.</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Chairman &amp; Chief Executive Officer of GAMCO Investors,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Executive Chairman &amp; Chief Executive Officer of Associated Capital Group,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Director/Trustee of all registered investment companies advised by Gabelli Funds, LLC.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Director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 GAMCO Investors,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One Corporate Center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Rye, NY 10580</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Former Chairman and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Edison,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4 Irving Place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New York, NY 10003</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President &amp;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Heartland Media, LLC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1843 West Wesley Road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Atlanta, GA 30327</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Chairman and Chief Executive Officer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Senior Vice President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Senior Vice President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Senior Vice President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Executive Officer and Chief Investment Officer – Value Portfolios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President, Chief Operating Officer and Managing Director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General Counsel, Secretary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Investment Officer – Value Portfolios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Executive Vice President and Chief Operating Officer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President and Chief Operating Officer – Open End Fund Division</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Chairman, Trustee &amp; Chief Investment Officer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President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Trustee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Trustee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Trustee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General Partner</w:t>
      </w:r>
    </w:p>
    <w:p>
      <w:pPr>
        <w:spacing w:after="0" w:line="200" w:lineRule="exact"/>
        <w:rPr>
          <w:sz w:val="20"/>
          <w:szCs w:val="20"/>
          <w:color w:val="auto"/>
        </w:rPr>
      </w:pPr>
    </w:p>
    <w:p>
      <w:pPr>
        <w:sectPr>
          <w:pgSz w:w="11900" w:h="16838" w:orient="portrait"/>
          <w:cols w:equalWidth="0" w:num="2">
            <w:col w:w="3240" w:space="720"/>
            <w:col w:w="6279"/>
          </w:cols>
          <w:pgMar w:left="220" w:top="475" w:right="1440"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80"/>
        <w:spacing w:after="0"/>
        <w:rPr>
          <w:sz w:val="20"/>
          <w:szCs w:val="20"/>
          <w:color w:val="auto"/>
        </w:rPr>
      </w:pPr>
      <w:r>
        <w:rPr>
          <w:rFonts w:ascii="Arial" w:cs="Arial" w:eastAsia="Arial" w:hAnsi="Arial"/>
          <w:sz w:val="8"/>
          <w:szCs w:val="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286625" cy="12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0239"/>
          </w:cols>
          <w:pgMar w:left="220" w:top="475" w:right="1440" w:bottom="57"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color w:val="auto"/>
        </w:rPr>
        <w:t>GGCP,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24"/>
        </w:trPr>
        <w:tc>
          <w:tcPr>
            <w:tcW w:w="4120" w:type="dxa"/>
            <w:vAlign w:val="bottom"/>
          </w:tcPr>
          <w:p>
            <w:pPr>
              <w:ind w:left="480"/>
              <w:spacing w:after="0" w:line="124" w:lineRule="exact"/>
              <w:rPr>
                <w:sz w:val="20"/>
                <w:szCs w:val="20"/>
                <w:color w:val="auto"/>
              </w:rPr>
            </w:pPr>
            <w:r>
              <w:rPr>
                <w:rFonts w:ascii="Arial" w:cs="Arial" w:eastAsia="Arial" w:hAnsi="Arial"/>
                <w:sz w:val="13"/>
                <w:szCs w:val="13"/>
                <w:color w:val="auto"/>
              </w:rPr>
              <w:t>Mario J. Gabelli</w:t>
            </w:r>
          </w:p>
        </w:tc>
        <w:tc>
          <w:tcPr>
            <w:tcW w:w="4500" w:type="dxa"/>
            <w:vAlign w:val="bottom"/>
            <w:gridSpan w:val="2"/>
          </w:tcPr>
          <w:p>
            <w:pPr>
              <w:spacing w:after="0" w:line="124" w:lineRule="exact"/>
              <w:rPr>
                <w:sz w:val="20"/>
                <w:szCs w:val="20"/>
                <w:color w:val="auto"/>
              </w:rPr>
            </w:pPr>
            <w:r>
              <w:rPr>
                <w:rFonts w:ascii="Arial" w:cs="Arial" w:eastAsia="Arial" w:hAnsi="Arial"/>
                <w:sz w:val="13"/>
                <w:szCs w:val="13"/>
                <w:color w:val="auto"/>
              </w:rPr>
              <w:t>Chief Executive Officer and Chief Investment Officer of GGCP, Inc.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Chairman &amp; Chief Executive Officer of GAMCO Investors, Inc.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w w:val="97"/>
              </w:rPr>
              <w:t>Executive Chairman &amp; Chief Executive Officer of Associated Capital Group, Inc.</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w w:val="89"/>
              </w:rPr>
              <w:t>Director/Trustee of all registered investment companies advised by Gabelli Funds, LLC.</w:t>
            </w:r>
          </w:p>
        </w:tc>
      </w:tr>
      <w:tr>
        <w:trPr>
          <w:trHeight w:val="306"/>
        </w:trPr>
        <w:tc>
          <w:tcPr>
            <w:tcW w:w="4120" w:type="dxa"/>
            <w:vAlign w:val="bottom"/>
          </w:tcPr>
          <w:p>
            <w:pPr>
              <w:ind w:left="460"/>
              <w:spacing w:after="0"/>
              <w:rPr>
                <w:sz w:val="20"/>
                <w:szCs w:val="20"/>
                <w:color w:val="auto"/>
              </w:rPr>
            </w:pPr>
            <w:r>
              <w:rPr>
                <w:rFonts w:ascii="Arial" w:cs="Arial" w:eastAsia="Arial" w:hAnsi="Arial"/>
                <w:sz w:val="13"/>
                <w:szCs w:val="13"/>
                <w:color w:val="auto"/>
              </w:rPr>
              <w:t>Marc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President – GGCP, Inc.</w:t>
            </w:r>
          </w:p>
        </w:tc>
      </w:tr>
      <w:tr>
        <w:trPr>
          <w:trHeight w:val="297"/>
        </w:trPr>
        <w:tc>
          <w:tcPr>
            <w:tcW w:w="4120" w:type="dxa"/>
            <w:vAlign w:val="bottom"/>
          </w:tcPr>
          <w:p>
            <w:pPr>
              <w:ind w:left="460"/>
              <w:spacing w:after="0"/>
              <w:rPr>
                <w:sz w:val="20"/>
                <w:szCs w:val="20"/>
                <w:color w:val="auto"/>
              </w:rPr>
            </w:pPr>
            <w:r>
              <w:rPr>
                <w:rFonts w:ascii="Arial" w:cs="Arial" w:eastAsia="Arial" w:hAnsi="Arial"/>
                <w:sz w:val="13"/>
                <w:szCs w:val="13"/>
                <w:color w:val="auto"/>
              </w:rPr>
              <w:t>Matthew R.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Vice President – Trading</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G.research, Inc.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One Corporate Center</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Rye, NY 10580</w:t>
            </w:r>
          </w:p>
        </w:tc>
      </w:tr>
      <w:tr>
        <w:trPr>
          <w:trHeight w:val="297"/>
        </w:trPr>
        <w:tc>
          <w:tcPr>
            <w:tcW w:w="4120" w:type="dxa"/>
            <w:vAlign w:val="bottom"/>
          </w:tcPr>
          <w:p>
            <w:pPr>
              <w:ind w:left="440"/>
              <w:spacing w:after="0"/>
              <w:rPr>
                <w:sz w:val="20"/>
                <w:szCs w:val="20"/>
                <w:color w:val="auto"/>
              </w:rPr>
            </w:pPr>
            <w:r>
              <w:rPr>
                <w:rFonts w:ascii="Arial" w:cs="Arial" w:eastAsia="Arial" w:hAnsi="Arial"/>
                <w:sz w:val="13"/>
                <w:szCs w:val="13"/>
                <w:color w:val="auto"/>
              </w:rPr>
              <w:t>Michael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President &amp; COO</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Gabelli &amp; Partners, LLC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One Corporate Center</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Rye, NY 10580</w:t>
            </w:r>
          </w:p>
        </w:tc>
      </w:tr>
      <w:tr>
        <w:trPr>
          <w:trHeight w:val="450"/>
        </w:trPr>
        <w:tc>
          <w:tcPr>
            <w:tcW w:w="4120" w:type="dxa"/>
            <w:vAlign w:val="bottom"/>
          </w:tcPr>
          <w:p>
            <w:pPr>
              <w:ind w:left="440"/>
              <w:spacing w:after="0"/>
              <w:rPr>
                <w:sz w:val="20"/>
                <w:szCs w:val="20"/>
                <w:color w:val="auto"/>
              </w:rPr>
            </w:pPr>
            <w:r>
              <w:rPr>
                <w:rFonts w:ascii="Arial" w:cs="Arial" w:eastAsia="Arial" w:hAnsi="Arial"/>
                <w:sz w:val="13"/>
                <w:szCs w:val="13"/>
                <w:color w:val="auto"/>
              </w:rPr>
              <w:t>Frederic V. Salerno</w:t>
            </w:r>
          </w:p>
        </w:tc>
        <w:tc>
          <w:tcPr>
            <w:tcW w:w="4500" w:type="dxa"/>
            <w:vAlign w:val="bottom"/>
            <w:gridSpan w:val="2"/>
          </w:tcPr>
          <w:p>
            <w:pPr>
              <w:spacing w:after="0"/>
              <w:rPr>
                <w:sz w:val="20"/>
                <w:szCs w:val="20"/>
                <w:color w:val="auto"/>
              </w:rPr>
            </w:pPr>
            <w:r>
              <w:rPr>
                <w:rFonts w:ascii="Arial" w:cs="Arial" w:eastAsia="Arial" w:hAnsi="Arial"/>
                <w:sz w:val="13"/>
                <w:szCs w:val="13"/>
                <w:color w:val="auto"/>
              </w:rPr>
              <w:t>Chairman</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Former Vice Chairman and Chief Financial Officer</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Verizon Communications</w:t>
            </w:r>
          </w:p>
        </w:tc>
      </w:tr>
      <w:tr>
        <w:trPr>
          <w:trHeight w:val="459"/>
        </w:trPr>
        <w:tc>
          <w:tcPr>
            <w:tcW w:w="4120" w:type="dxa"/>
            <w:vAlign w:val="bottom"/>
          </w:tcPr>
          <w:p>
            <w:pPr>
              <w:ind w:left="480"/>
              <w:spacing w:after="0"/>
              <w:rPr>
                <w:sz w:val="20"/>
                <w:szCs w:val="20"/>
                <w:color w:val="auto"/>
              </w:rPr>
            </w:pPr>
            <w:r>
              <w:rPr>
                <w:rFonts w:ascii="Arial" w:cs="Arial" w:eastAsia="Arial" w:hAnsi="Arial"/>
                <w:sz w:val="13"/>
                <w:szCs w:val="13"/>
                <w:color w:val="auto"/>
              </w:rPr>
              <w:t>Vincent S. Tese</w:t>
            </w:r>
          </w:p>
        </w:tc>
        <w:tc>
          <w:tcPr>
            <w:tcW w:w="4500" w:type="dxa"/>
            <w:vAlign w:val="bottom"/>
            <w:gridSpan w:val="2"/>
          </w:tcPr>
          <w:p>
            <w:pPr>
              <w:spacing w:after="0"/>
              <w:rPr>
                <w:sz w:val="20"/>
                <w:szCs w:val="20"/>
                <w:color w:val="auto"/>
              </w:rPr>
            </w:pPr>
            <w:r>
              <w:rPr>
                <w:rFonts w:ascii="Arial" w:cs="Arial" w:eastAsia="Arial" w:hAnsi="Arial"/>
                <w:sz w:val="13"/>
                <w:szCs w:val="13"/>
                <w:color w:val="auto"/>
              </w:rPr>
              <w:t>Executive Chairman – FCB Financial Corp</w:t>
            </w:r>
          </w:p>
        </w:tc>
      </w:tr>
      <w:tr>
        <w:trPr>
          <w:trHeight w:val="297"/>
        </w:trPr>
        <w:tc>
          <w:tcPr>
            <w:tcW w:w="4120" w:type="dxa"/>
            <w:vAlign w:val="bottom"/>
          </w:tcPr>
          <w:p>
            <w:pPr>
              <w:spacing w:after="0"/>
              <w:rPr>
                <w:sz w:val="20"/>
                <w:szCs w:val="20"/>
                <w:color w:val="auto"/>
              </w:rPr>
            </w:pPr>
            <w:r>
              <w:rPr>
                <w:rFonts w:ascii="Arial" w:cs="Arial" w:eastAsia="Arial" w:hAnsi="Arial"/>
                <w:sz w:val="13"/>
                <w:szCs w:val="13"/>
                <w:color w:val="auto"/>
              </w:rPr>
              <w:t>Officers:</w:t>
            </w: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53"/>
        </w:trPr>
        <w:tc>
          <w:tcPr>
            <w:tcW w:w="4120" w:type="dxa"/>
            <w:vAlign w:val="bottom"/>
          </w:tcPr>
          <w:p>
            <w:pPr>
              <w:ind w:left="460"/>
              <w:spacing w:after="0"/>
              <w:rPr>
                <w:sz w:val="20"/>
                <w:szCs w:val="20"/>
                <w:color w:val="auto"/>
              </w:rPr>
            </w:pPr>
            <w:r>
              <w:rPr>
                <w:rFonts w:ascii="Arial" w:cs="Arial" w:eastAsia="Arial" w:hAnsi="Arial"/>
                <w:sz w:val="13"/>
                <w:szCs w:val="13"/>
                <w:color w:val="auto"/>
              </w:rPr>
              <w:t>Mario J.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Chief Executive Officer and Chief Investment Officer</w:t>
            </w:r>
          </w:p>
        </w:tc>
      </w:tr>
      <w:tr>
        <w:trPr>
          <w:trHeight w:val="153"/>
        </w:trPr>
        <w:tc>
          <w:tcPr>
            <w:tcW w:w="4120" w:type="dxa"/>
            <w:vAlign w:val="bottom"/>
          </w:tcPr>
          <w:p>
            <w:pPr>
              <w:ind w:left="440"/>
              <w:spacing w:after="0"/>
              <w:rPr>
                <w:sz w:val="20"/>
                <w:szCs w:val="20"/>
                <w:color w:val="auto"/>
              </w:rPr>
            </w:pPr>
            <w:r>
              <w:rPr>
                <w:rFonts w:ascii="Arial" w:cs="Arial" w:eastAsia="Arial" w:hAnsi="Arial"/>
                <w:sz w:val="13"/>
                <w:szCs w:val="13"/>
                <w:color w:val="auto"/>
              </w:rPr>
              <w:t>Marc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President</w:t>
            </w:r>
          </w:p>
        </w:tc>
      </w:tr>
      <w:tr>
        <w:trPr>
          <w:trHeight w:val="162"/>
        </w:trPr>
        <w:tc>
          <w:tcPr>
            <w:tcW w:w="4120" w:type="dxa"/>
            <w:vAlign w:val="bottom"/>
          </w:tcPr>
          <w:p>
            <w:pPr>
              <w:ind w:left="480"/>
              <w:spacing w:after="0"/>
              <w:rPr>
                <w:sz w:val="20"/>
                <w:szCs w:val="20"/>
                <w:color w:val="auto"/>
              </w:rPr>
            </w:pPr>
            <w:r>
              <w:rPr>
                <w:rFonts w:ascii="Arial" w:cs="Arial" w:eastAsia="Arial" w:hAnsi="Arial"/>
                <w:sz w:val="13"/>
                <w:szCs w:val="13"/>
                <w:color w:val="auto"/>
              </w:rPr>
              <w:t>Silvio A. Berni</w:t>
            </w:r>
          </w:p>
        </w:tc>
        <w:tc>
          <w:tcPr>
            <w:tcW w:w="4500" w:type="dxa"/>
            <w:vAlign w:val="bottom"/>
            <w:gridSpan w:val="2"/>
          </w:tcPr>
          <w:p>
            <w:pPr>
              <w:spacing w:after="0"/>
              <w:rPr>
                <w:sz w:val="20"/>
                <w:szCs w:val="20"/>
                <w:color w:val="auto"/>
              </w:rPr>
            </w:pPr>
            <w:r>
              <w:rPr>
                <w:rFonts w:ascii="Arial" w:cs="Arial" w:eastAsia="Arial" w:hAnsi="Arial"/>
                <w:sz w:val="13"/>
                <w:szCs w:val="13"/>
                <w:color w:val="auto"/>
              </w:rPr>
              <w:t>Vice President, Assistant Secretary and Controller</w:t>
            </w:r>
          </w:p>
        </w:tc>
      </w:tr>
      <w:tr>
        <w:trPr>
          <w:trHeight w:val="450"/>
        </w:trPr>
        <w:tc>
          <w:tcPr>
            <w:tcW w:w="4120" w:type="dxa"/>
            <w:vAlign w:val="bottom"/>
          </w:tcPr>
          <w:p>
            <w:pPr>
              <w:spacing w:after="0"/>
              <w:rPr>
                <w:sz w:val="20"/>
                <w:szCs w:val="20"/>
                <w:color w:val="auto"/>
              </w:rPr>
            </w:pPr>
            <w:r>
              <w:rPr>
                <w:rFonts w:ascii="Arial" w:cs="Arial" w:eastAsia="Arial" w:hAnsi="Arial"/>
                <w:sz w:val="13"/>
                <w:szCs w:val="13"/>
                <w:color w:val="auto"/>
              </w:rPr>
              <w:t>GGCP Holdings LLC</w:t>
            </w: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3"/>
                <w:szCs w:val="13"/>
                <w:color w:val="auto"/>
              </w:rPr>
              <w:t>Members:</w:t>
            </w:r>
          </w:p>
        </w:tc>
        <w:tc>
          <w:tcPr>
            <w:tcW w:w="98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306"/>
        </w:trPr>
        <w:tc>
          <w:tcPr>
            <w:tcW w:w="4120" w:type="dxa"/>
            <w:vAlign w:val="bottom"/>
          </w:tcPr>
          <w:p>
            <w:pPr>
              <w:ind w:left="440"/>
              <w:spacing w:after="0"/>
              <w:rPr>
                <w:sz w:val="20"/>
                <w:szCs w:val="20"/>
                <w:color w:val="auto"/>
              </w:rPr>
            </w:pPr>
            <w:r>
              <w:rPr>
                <w:rFonts w:ascii="Arial" w:cs="Arial" w:eastAsia="Arial" w:hAnsi="Arial"/>
                <w:sz w:val="13"/>
                <w:szCs w:val="13"/>
                <w:color w:val="auto"/>
              </w:rPr>
              <w:t>GGCP, Inc.</w:t>
            </w:r>
          </w:p>
        </w:tc>
        <w:tc>
          <w:tcPr>
            <w:tcW w:w="4500" w:type="dxa"/>
            <w:vAlign w:val="bottom"/>
            <w:gridSpan w:val="2"/>
          </w:tcPr>
          <w:p>
            <w:pPr>
              <w:spacing w:after="0"/>
              <w:rPr>
                <w:sz w:val="20"/>
                <w:szCs w:val="20"/>
                <w:color w:val="auto"/>
              </w:rPr>
            </w:pPr>
            <w:r>
              <w:rPr>
                <w:rFonts w:ascii="Arial" w:cs="Arial" w:eastAsia="Arial" w:hAnsi="Arial"/>
                <w:sz w:val="13"/>
                <w:szCs w:val="13"/>
                <w:color w:val="auto"/>
              </w:rPr>
              <w:t>Manager and Member</w:t>
            </w:r>
          </w:p>
        </w:tc>
      </w:tr>
      <w:tr>
        <w:trPr>
          <w:trHeight w:val="306"/>
        </w:trPr>
        <w:tc>
          <w:tcPr>
            <w:tcW w:w="41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Mario J.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0239"/>
          </w:cols>
          <w:pgMar w:left="220" w:top="819"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Teton Advisors,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Howard F. Ward</w:t>
            </w:r>
          </w:p>
        </w:tc>
        <w:tc>
          <w:tcPr>
            <w:tcW w:w="1960" w:type="dxa"/>
            <w:vAlign w:val="bottom"/>
          </w:tcPr>
          <w:p>
            <w:pPr>
              <w:spacing w:after="0"/>
              <w:rPr>
                <w:sz w:val="20"/>
                <w:szCs w:val="20"/>
                <w:color w:val="auto"/>
              </w:rPr>
            </w:pPr>
            <w:r>
              <w:rPr>
                <w:rFonts w:ascii="Arial" w:cs="Arial" w:eastAsia="Arial" w:hAnsi="Arial"/>
                <w:sz w:val="13"/>
                <w:szCs w:val="13"/>
                <w:color w:val="auto"/>
              </w:rPr>
              <w:t>Chairman of the Board</w:t>
            </w:r>
          </w:p>
        </w:tc>
      </w:tr>
      <w:tr>
        <w:trPr>
          <w:trHeight w:val="297"/>
        </w:trPr>
        <w:tc>
          <w:tcPr>
            <w:tcW w:w="4120" w:type="dxa"/>
            <w:vAlign w:val="bottom"/>
          </w:tcPr>
          <w:p>
            <w:pPr>
              <w:ind w:left="480"/>
              <w:spacing w:after="0"/>
              <w:rPr>
                <w:sz w:val="20"/>
                <w:szCs w:val="20"/>
                <w:color w:val="auto"/>
              </w:rPr>
            </w:pPr>
            <w:r>
              <w:rPr>
                <w:rFonts w:ascii="Arial" w:cs="Arial" w:eastAsia="Arial" w:hAnsi="Arial"/>
                <w:sz w:val="13"/>
                <w:szCs w:val="13"/>
                <w:color w:val="auto"/>
              </w:rPr>
              <w:t>Nicholas F. Galluccio</w:t>
            </w:r>
          </w:p>
        </w:tc>
        <w:tc>
          <w:tcPr>
            <w:tcW w:w="1960" w:type="dxa"/>
            <w:vAlign w:val="bottom"/>
          </w:tcPr>
          <w:p>
            <w:pPr>
              <w:spacing w:after="0"/>
              <w:rPr>
                <w:sz w:val="20"/>
                <w:szCs w:val="20"/>
                <w:color w:val="auto"/>
              </w:rPr>
            </w:pPr>
            <w:r>
              <w:rPr>
                <w:rFonts w:ascii="Arial" w:cs="Arial" w:eastAsia="Arial" w:hAnsi="Arial"/>
                <w:sz w:val="13"/>
                <w:szCs w:val="13"/>
                <w:color w:val="auto"/>
                <w:w w:val="89"/>
              </w:rPr>
              <w:t>Chief Executive Officer and President</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Vincent J. Amabile</w:t>
            </w:r>
          </w:p>
        </w:tc>
        <w:tc>
          <w:tcPr>
            <w:tcW w:w="1960" w:type="dxa"/>
            <w:vAlign w:val="bottom"/>
          </w:tcPr>
          <w:p>
            <w:pPr>
              <w:spacing w:after="0"/>
              <w:rPr>
                <w:sz w:val="24"/>
                <w:szCs w:val="24"/>
                <w:color w:val="auto"/>
              </w:rPr>
            </w:pP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John Tesoro</w:t>
            </w:r>
          </w:p>
        </w:tc>
        <w:tc>
          <w:tcPr>
            <w:tcW w:w="1960" w:type="dxa"/>
            <w:vAlign w:val="bottom"/>
          </w:tcPr>
          <w:p>
            <w:pPr>
              <w:spacing w:after="0"/>
              <w:rPr>
                <w:sz w:val="24"/>
                <w:szCs w:val="24"/>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3"/>
                <w:szCs w:val="13"/>
                <w:color w:val="auto"/>
              </w:rPr>
              <w:t>Officers:</w:t>
            </w:r>
          </w:p>
        </w:tc>
        <w:tc>
          <w:tcPr>
            <w:tcW w:w="1960" w:type="dxa"/>
            <w:vAlign w:val="bottom"/>
          </w:tcPr>
          <w:p>
            <w:pPr>
              <w:spacing w:after="0"/>
              <w:rPr>
                <w:sz w:val="24"/>
                <w:szCs w:val="24"/>
                <w:color w:val="auto"/>
              </w:rPr>
            </w:pPr>
          </w:p>
        </w:tc>
      </w:tr>
      <w:tr>
        <w:trPr>
          <w:trHeight w:val="162"/>
        </w:trPr>
        <w:tc>
          <w:tcPr>
            <w:tcW w:w="4120" w:type="dxa"/>
            <w:vAlign w:val="bottom"/>
          </w:tcPr>
          <w:p>
            <w:pPr>
              <w:ind w:left="460"/>
              <w:spacing w:after="0"/>
              <w:rPr>
                <w:sz w:val="20"/>
                <w:szCs w:val="20"/>
                <w:color w:val="auto"/>
              </w:rPr>
            </w:pPr>
            <w:r>
              <w:rPr>
                <w:rFonts w:ascii="Arial" w:cs="Arial" w:eastAsia="Arial" w:hAnsi="Arial"/>
                <w:sz w:val="13"/>
                <w:szCs w:val="13"/>
                <w:color w:val="auto"/>
              </w:rPr>
              <w:t>Howard F. Ward</w:t>
            </w:r>
          </w:p>
        </w:tc>
        <w:tc>
          <w:tcPr>
            <w:tcW w:w="1960" w:type="dxa"/>
            <w:vAlign w:val="bottom"/>
          </w:tcPr>
          <w:p>
            <w:pPr>
              <w:spacing w:after="0"/>
              <w:rPr>
                <w:sz w:val="20"/>
                <w:szCs w:val="20"/>
                <w:color w:val="auto"/>
              </w:rPr>
            </w:pPr>
            <w:r>
              <w:rPr>
                <w:rFonts w:ascii="Arial" w:cs="Arial" w:eastAsia="Arial" w:hAnsi="Arial"/>
                <w:sz w:val="13"/>
                <w:szCs w:val="13"/>
                <w:color w:val="auto"/>
              </w:rPr>
              <w:t>See above</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Nicholas F. Galluccio</w:t>
            </w:r>
          </w:p>
        </w:tc>
        <w:tc>
          <w:tcPr>
            <w:tcW w:w="1960" w:type="dxa"/>
            <w:vAlign w:val="bottom"/>
          </w:tcPr>
          <w:p>
            <w:pPr>
              <w:spacing w:after="0"/>
              <w:rPr>
                <w:sz w:val="20"/>
                <w:szCs w:val="20"/>
                <w:color w:val="auto"/>
              </w:rPr>
            </w:pPr>
            <w:r>
              <w:rPr>
                <w:rFonts w:ascii="Arial" w:cs="Arial" w:eastAsia="Arial" w:hAnsi="Arial"/>
                <w:sz w:val="13"/>
                <w:szCs w:val="13"/>
                <w:color w:val="auto"/>
              </w:rPr>
              <w:t>See above</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Michael J. Mancuso</w:t>
            </w:r>
          </w:p>
        </w:tc>
        <w:tc>
          <w:tcPr>
            <w:tcW w:w="196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David Goldman</w:t>
            </w:r>
          </w:p>
        </w:tc>
        <w:tc>
          <w:tcPr>
            <w:tcW w:w="1960" w:type="dxa"/>
            <w:vAlign w:val="bottom"/>
          </w:tcPr>
          <w:p>
            <w:pPr>
              <w:spacing w:after="0"/>
              <w:rPr>
                <w:sz w:val="20"/>
                <w:szCs w:val="20"/>
                <w:color w:val="auto"/>
              </w:rPr>
            </w:pPr>
            <w:r>
              <w:rPr>
                <w:rFonts w:ascii="Arial" w:cs="Arial" w:eastAsia="Arial" w:hAnsi="Arial"/>
                <w:sz w:val="13"/>
                <w:szCs w:val="13"/>
                <w:color w:val="auto"/>
              </w:rPr>
              <w:t>General Counsel</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Tiffany Hayden</w:t>
            </w:r>
          </w:p>
        </w:tc>
        <w:tc>
          <w:tcPr>
            <w:tcW w:w="196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0239"/>
          </w:cols>
          <w:pgMar w:left="220" w:top="1144"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Associated Capital Group,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60" w:type="dxa"/>
            <w:vAlign w:val="bottom"/>
            <w:tcBorders>
              <w:top w:val="single" w:sz="8" w:color="auto"/>
            </w:tcBorders>
          </w:tcPr>
          <w:p>
            <w:pPr>
              <w:ind w:left="460"/>
              <w:spacing w:after="0" w:line="144" w:lineRule="exact"/>
              <w:rPr>
                <w:sz w:val="20"/>
                <w:szCs w:val="20"/>
                <w:color w:val="auto"/>
              </w:rPr>
            </w:pPr>
            <w:r>
              <w:rPr>
                <w:rFonts w:ascii="Arial" w:cs="Arial" w:eastAsia="Arial" w:hAnsi="Arial"/>
                <w:sz w:val="13"/>
                <w:szCs w:val="13"/>
                <w:color w:val="auto"/>
              </w:rPr>
              <w:t>Mario J. Gabelli</w:t>
            </w:r>
          </w:p>
        </w:tc>
        <w:tc>
          <w:tcPr>
            <w:tcW w:w="160" w:type="dxa"/>
            <w:vAlign w:val="bottom"/>
            <w:tcBorders>
              <w:top w:val="single" w:sz="8" w:color="auto"/>
            </w:tcBorders>
          </w:tcPr>
          <w:p>
            <w:pPr>
              <w:spacing w:after="0"/>
              <w:rPr>
                <w:sz w:val="12"/>
                <w:szCs w:val="12"/>
                <w:color w:val="auto"/>
              </w:rPr>
            </w:pPr>
          </w:p>
        </w:tc>
        <w:tc>
          <w:tcPr>
            <w:tcW w:w="7360" w:type="dxa"/>
            <w:vAlign w:val="bottom"/>
          </w:tcPr>
          <w:p>
            <w:pPr>
              <w:spacing w:after="0" w:line="144" w:lineRule="exact"/>
              <w:rPr>
                <w:sz w:val="20"/>
                <w:szCs w:val="20"/>
                <w:color w:val="auto"/>
              </w:rPr>
            </w:pPr>
            <w:r>
              <w:rPr>
                <w:rFonts w:ascii="Arial" w:cs="Arial" w:eastAsia="Arial" w:hAnsi="Arial"/>
                <w:sz w:val="13"/>
                <w:szCs w:val="13"/>
                <w:color w:val="auto"/>
              </w:rPr>
              <w:t>Chief Executive Officer and Chief Investment Officer of GGCP,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Chairman &amp; Chief Executive Officer of GAMCO Investors,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Executive Chairman of Associated Capital Group, Inc.</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Director/Trustee of all registered investment companies advised by Gabelli Funds, LLC.</w:t>
            </w:r>
          </w:p>
        </w:tc>
      </w:tr>
      <w:tr>
        <w:trPr>
          <w:trHeight w:val="297"/>
        </w:trPr>
        <w:tc>
          <w:tcPr>
            <w:tcW w:w="3960" w:type="dxa"/>
            <w:vAlign w:val="bottom"/>
          </w:tcPr>
          <w:p>
            <w:pPr>
              <w:ind w:left="460"/>
              <w:spacing w:after="0"/>
              <w:rPr>
                <w:sz w:val="20"/>
                <w:szCs w:val="20"/>
                <w:color w:val="auto"/>
              </w:rPr>
            </w:pPr>
            <w:r>
              <w:rPr>
                <w:rFonts w:ascii="Arial" w:cs="Arial" w:eastAsia="Arial" w:hAnsi="Arial"/>
                <w:sz w:val="13"/>
                <w:szCs w:val="13"/>
                <w:color w:val="auto"/>
              </w:rPr>
              <w:t>Marc Gabelli</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Chairman of The LGL Group,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2525 Shader Road</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Orlando, FL 32804</w:t>
            </w:r>
          </w:p>
        </w:tc>
      </w:tr>
      <w:tr>
        <w:trPr>
          <w:trHeight w:val="297"/>
        </w:trPr>
        <w:tc>
          <w:tcPr>
            <w:tcW w:w="3960" w:type="dxa"/>
            <w:vAlign w:val="bottom"/>
          </w:tcPr>
          <w:p>
            <w:pPr>
              <w:ind w:left="460"/>
              <w:spacing w:after="0"/>
              <w:rPr>
                <w:sz w:val="20"/>
                <w:szCs w:val="20"/>
                <w:color w:val="auto"/>
              </w:rPr>
            </w:pPr>
            <w:r>
              <w:rPr>
                <w:rFonts w:ascii="Arial" w:cs="Arial" w:eastAsia="Arial" w:hAnsi="Arial"/>
                <w:sz w:val="13"/>
                <w:szCs w:val="13"/>
                <w:color w:val="auto"/>
              </w:rPr>
              <w:t>Richard L. Bready</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Former Chairman and Chief Executive Officer</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Nortek,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50 Kennedy Plaza</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Providence, RI 02903</w:t>
            </w:r>
          </w:p>
        </w:tc>
      </w:tr>
      <w:tr>
        <w:trPr>
          <w:trHeight w:val="306"/>
        </w:trPr>
        <w:tc>
          <w:tcPr>
            <w:tcW w:w="3960" w:type="dxa"/>
            <w:vAlign w:val="bottom"/>
          </w:tcPr>
          <w:p>
            <w:pPr>
              <w:ind w:left="440"/>
              <w:spacing w:after="0"/>
              <w:rPr>
                <w:sz w:val="20"/>
                <w:szCs w:val="20"/>
                <w:color w:val="auto"/>
              </w:rPr>
            </w:pPr>
            <w:r>
              <w:rPr>
                <w:rFonts w:ascii="Arial" w:cs="Arial" w:eastAsia="Arial" w:hAnsi="Arial"/>
                <w:sz w:val="13"/>
                <w:szCs w:val="13"/>
                <w:color w:val="auto"/>
              </w:rPr>
              <w:t>Bruce Lisman</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Former Chairman - JP Morgan – Global Equity Division</w:t>
            </w:r>
          </w:p>
        </w:tc>
      </w:tr>
      <w:tr>
        <w:trPr>
          <w:trHeight w:val="450"/>
        </w:trPr>
        <w:tc>
          <w:tcPr>
            <w:tcW w:w="3960" w:type="dxa"/>
            <w:vAlign w:val="bottom"/>
          </w:tcPr>
          <w:p>
            <w:pPr>
              <w:ind w:left="460"/>
              <w:spacing w:after="0"/>
              <w:rPr>
                <w:sz w:val="20"/>
                <w:szCs w:val="20"/>
                <w:color w:val="auto"/>
              </w:rPr>
            </w:pPr>
            <w:r>
              <w:rPr>
                <w:rFonts w:ascii="Arial" w:cs="Arial" w:eastAsia="Arial" w:hAnsi="Arial"/>
                <w:sz w:val="13"/>
                <w:szCs w:val="13"/>
                <w:color w:val="auto"/>
              </w:rPr>
              <w:t>Daniel R. Lee</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Full House Resorts,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4670 South Ford Apache Road, Suite 190</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Las Vegas, NV 89147</w:t>
            </w:r>
          </w:p>
        </w:tc>
      </w:tr>
      <w:tr>
        <w:trPr>
          <w:trHeight w:val="306"/>
        </w:trPr>
        <w:tc>
          <w:tcPr>
            <w:tcW w:w="3960" w:type="dxa"/>
            <w:vAlign w:val="bottom"/>
          </w:tcPr>
          <w:p>
            <w:pPr>
              <w:ind w:left="440"/>
              <w:spacing w:after="0"/>
              <w:rPr>
                <w:sz w:val="20"/>
                <w:szCs w:val="20"/>
                <w:color w:val="auto"/>
              </w:rPr>
            </w:pPr>
            <w:r>
              <w:rPr>
                <w:rFonts w:ascii="Arial" w:cs="Arial" w:eastAsia="Arial" w:hAnsi="Arial"/>
                <w:sz w:val="13"/>
                <w:szCs w:val="13"/>
                <w:color w:val="auto"/>
              </w:rPr>
              <w:t>Salvatore F. Sodano</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Vice Chairman of the Board</w:t>
            </w:r>
          </w:p>
        </w:tc>
      </w:tr>
      <w:tr>
        <w:trPr>
          <w:trHeight w:val="297"/>
        </w:trPr>
        <w:tc>
          <w:tcPr>
            <w:tcW w:w="3960" w:type="dxa"/>
            <w:vAlign w:val="bottom"/>
          </w:tcPr>
          <w:p>
            <w:pPr>
              <w:spacing w:after="0"/>
              <w:rPr>
                <w:sz w:val="20"/>
                <w:szCs w:val="20"/>
                <w:color w:val="auto"/>
              </w:rPr>
            </w:pPr>
            <w:r>
              <w:rPr>
                <w:rFonts w:ascii="Arial" w:cs="Arial" w:eastAsia="Arial" w:hAnsi="Arial"/>
                <w:sz w:val="13"/>
                <w:szCs w:val="13"/>
                <w:color w:val="auto"/>
              </w:rPr>
              <w:t>Officers:</w:t>
            </w: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162"/>
        </w:trPr>
        <w:tc>
          <w:tcPr>
            <w:tcW w:w="3960" w:type="dxa"/>
            <w:vAlign w:val="bottom"/>
          </w:tcPr>
          <w:p>
            <w:pPr>
              <w:ind w:left="460"/>
              <w:spacing w:after="0"/>
              <w:rPr>
                <w:sz w:val="20"/>
                <w:szCs w:val="20"/>
                <w:color w:val="auto"/>
              </w:rPr>
            </w:pPr>
            <w:r>
              <w:rPr>
                <w:rFonts w:ascii="Arial" w:cs="Arial" w:eastAsia="Arial" w:hAnsi="Arial"/>
                <w:sz w:val="13"/>
                <w:szCs w:val="13"/>
                <w:color w:val="auto"/>
              </w:rPr>
              <w:t>Mario J. Gabelli</w:t>
            </w:r>
          </w:p>
        </w:tc>
        <w:tc>
          <w:tcPr>
            <w:tcW w:w="16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Executive Chairman</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Douglas R. Jamieson</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Patrick Dennis</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Executive Vice President and Chief Financial Officer</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Kevin Handwerker</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Executive Vice President, General Counsel and Secretary</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Agnes Mullady</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Executive Vice President</w:t>
            </w:r>
          </w:p>
        </w:tc>
      </w:tr>
      <w:tr>
        <w:trPr>
          <w:trHeight w:val="306"/>
        </w:trPr>
        <w:tc>
          <w:tcPr>
            <w:tcW w:w="3960" w:type="dxa"/>
            <w:vAlign w:val="bottom"/>
          </w:tcPr>
          <w:p>
            <w:pPr>
              <w:ind w:left="440"/>
              <w:spacing w:after="0"/>
              <w:rPr>
                <w:sz w:val="20"/>
                <w:szCs w:val="20"/>
                <w:color w:val="auto"/>
              </w:rPr>
            </w:pPr>
            <w:r>
              <w:rPr>
                <w:rFonts w:ascii="Arial" w:cs="Arial" w:eastAsia="Arial" w:hAnsi="Arial"/>
                <w:sz w:val="13"/>
                <w:szCs w:val="13"/>
                <w:color w:val="auto"/>
              </w:rPr>
              <w:t>David Fitzgerald</w:t>
            </w:r>
          </w:p>
        </w:tc>
        <w:tc>
          <w:tcPr>
            <w:tcW w:w="1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Assistant Secretary</w:t>
            </w:r>
          </w:p>
        </w:tc>
      </w:tr>
      <w:tr>
        <w:trPr>
          <w:trHeight w:val="459"/>
        </w:trPr>
        <w:tc>
          <w:tcPr>
            <w:tcW w:w="3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Gabelli &amp; Company Investment Advisers, Inc.</w:t>
            </w:r>
          </w:p>
        </w:tc>
        <w:tc>
          <w:tcPr>
            <w:tcW w:w="160" w:type="dxa"/>
            <w:vAlign w:val="bottom"/>
            <w:tcBorders>
              <w:bottom w:val="single" w:sz="8" w:color="auto"/>
            </w:tcBorders>
          </w:tcPr>
          <w:p>
            <w:pPr>
              <w:spacing w:after="0"/>
              <w:rPr>
                <w:sz w:val="24"/>
                <w:szCs w:val="24"/>
                <w:color w:val="auto"/>
              </w:rPr>
            </w:pPr>
          </w:p>
        </w:tc>
        <w:tc>
          <w:tcPr>
            <w:tcW w:w="7360" w:type="dxa"/>
            <w:vAlign w:val="bottom"/>
          </w:tcPr>
          <w:p>
            <w:pPr>
              <w:spacing w:after="0"/>
              <w:rPr>
                <w:sz w:val="24"/>
                <w:szCs w:val="24"/>
                <w:color w:val="auto"/>
              </w:rPr>
            </w:pPr>
          </w:p>
        </w:tc>
      </w:tr>
      <w:tr>
        <w:trPr>
          <w:trHeight w:val="161"/>
        </w:trPr>
        <w:tc>
          <w:tcPr>
            <w:tcW w:w="3960" w:type="dxa"/>
            <w:vAlign w:val="bottom"/>
          </w:tcPr>
          <w:p>
            <w:pPr>
              <w:spacing w:after="0"/>
              <w:rPr>
                <w:sz w:val="20"/>
                <w:szCs w:val="20"/>
                <w:color w:val="auto"/>
              </w:rPr>
            </w:pPr>
            <w:r>
              <w:rPr>
                <w:rFonts w:ascii="Arial" w:cs="Arial" w:eastAsia="Arial" w:hAnsi="Arial"/>
                <w:sz w:val="13"/>
                <w:szCs w:val="13"/>
                <w:color w:val="auto"/>
              </w:rPr>
              <w:t>Directors:</w:t>
            </w:r>
          </w:p>
        </w:tc>
        <w:tc>
          <w:tcPr>
            <w:tcW w:w="160" w:type="dxa"/>
            <w:vAlign w:val="bottom"/>
          </w:tcPr>
          <w:p>
            <w:pPr>
              <w:spacing w:after="0"/>
              <w:rPr>
                <w:sz w:val="13"/>
                <w:szCs w:val="13"/>
                <w:color w:val="auto"/>
              </w:rPr>
            </w:pPr>
          </w:p>
        </w:tc>
        <w:tc>
          <w:tcPr>
            <w:tcW w:w="7360" w:type="dxa"/>
            <w:vAlign w:val="bottom"/>
          </w:tcPr>
          <w:p>
            <w:pPr>
              <w:spacing w:after="0"/>
              <w:rPr>
                <w:sz w:val="13"/>
                <w:szCs w:val="13"/>
                <w:color w:val="auto"/>
              </w:rPr>
            </w:pPr>
          </w:p>
        </w:tc>
      </w:tr>
      <w:tr>
        <w:trPr>
          <w:trHeight w:val="297"/>
        </w:trPr>
        <w:tc>
          <w:tcPr>
            <w:tcW w:w="3960" w:type="dxa"/>
            <w:vAlign w:val="bottom"/>
          </w:tcPr>
          <w:p>
            <w:pPr>
              <w:ind w:left="440"/>
              <w:spacing w:after="0"/>
              <w:rPr>
                <w:sz w:val="20"/>
                <w:szCs w:val="20"/>
                <w:color w:val="auto"/>
              </w:rPr>
            </w:pPr>
            <w:r>
              <w:rPr>
                <w:rFonts w:ascii="Arial" w:cs="Arial" w:eastAsia="Arial" w:hAnsi="Arial"/>
                <w:sz w:val="13"/>
                <w:szCs w:val="13"/>
                <w:color w:val="auto"/>
              </w:rPr>
              <w:t>Douglas R. Jamieson</w:t>
            </w: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470"/>
        </w:trPr>
        <w:tc>
          <w:tcPr>
            <w:tcW w:w="3960" w:type="dxa"/>
            <w:vAlign w:val="bottom"/>
          </w:tcPr>
          <w:p>
            <w:pPr>
              <w:spacing w:after="0"/>
              <w:rPr>
                <w:sz w:val="20"/>
                <w:szCs w:val="20"/>
                <w:color w:val="auto"/>
              </w:rPr>
            </w:pPr>
            <w:r>
              <w:rPr>
                <w:rFonts w:ascii="Arial" w:cs="Arial" w:eastAsia="Arial" w:hAnsi="Arial"/>
                <w:sz w:val="13"/>
                <w:szCs w:val="13"/>
                <w:color w:val="auto"/>
              </w:rPr>
              <w:t>Officers:</w:t>
            </w: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162"/>
        </w:trPr>
        <w:tc>
          <w:tcPr>
            <w:tcW w:w="3960" w:type="dxa"/>
            <w:vAlign w:val="bottom"/>
          </w:tcPr>
          <w:p>
            <w:pPr>
              <w:ind w:left="440"/>
              <w:spacing w:after="0"/>
              <w:rPr>
                <w:sz w:val="20"/>
                <w:szCs w:val="20"/>
                <w:color w:val="auto"/>
              </w:rPr>
            </w:pPr>
            <w:r>
              <w:rPr>
                <w:rFonts w:ascii="Arial" w:cs="Arial" w:eastAsia="Arial" w:hAnsi="Arial"/>
                <w:sz w:val="13"/>
                <w:szCs w:val="13"/>
                <w:color w:val="auto"/>
              </w:rPr>
              <w:t>Douglas R. Jamieson</w:t>
            </w:r>
          </w:p>
        </w:tc>
        <w:tc>
          <w:tcPr>
            <w:tcW w:w="7520" w:type="dxa"/>
            <w:vAlign w:val="bottom"/>
            <w:gridSpan w:val="2"/>
          </w:tcPr>
          <w:p>
            <w:pPr>
              <w:spacing w:after="0"/>
              <w:rPr>
                <w:sz w:val="20"/>
                <w:szCs w:val="20"/>
                <w:color w:val="auto"/>
              </w:rPr>
            </w:pPr>
            <w:r>
              <w:rPr>
                <w:rFonts w:ascii="Arial" w:cs="Arial" w:eastAsia="Arial" w:hAnsi="Arial"/>
                <w:sz w:val="13"/>
                <w:szCs w:val="13"/>
                <w:color w:val="auto"/>
              </w:rPr>
              <w:t>Chief Executive Officer and President</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Patrick Dennis</w:t>
            </w:r>
          </w:p>
        </w:tc>
        <w:tc>
          <w:tcPr>
            <w:tcW w:w="7520" w:type="dxa"/>
            <w:vAlign w:val="bottom"/>
            <w:gridSpan w:val="2"/>
          </w:tcPr>
          <w:p>
            <w:pPr>
              <w:spacing w:after="0"/>
              <w:rPr>
                <w:sz w:val="20"/>
                <w:szCs w:val="20"/>
                <w:color w:val="auto"/>
              </w:rPr>
            </w:pPr>
            <w:r>
              <w:rPr>
                <w:rFonts w:ascii="Arial" w:cs="Arial" w:eastAsia="Arial" w:hAnsi="Arial"/>
                <w:sz w:val="13"/>
                <w:szCs w:val="13"/>
                <w:color w:val="auto"/>
              </w:rPr>
              <w:t>Executive Vice President, Chief Financial Officer</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Kevin Handwerker</w:t>
            </w:r>
          </w:p>
        </w:tc>
        <w:tc>
          <w:tcPr>
            <w:tcW w:w="7520" w:type="dxa"/>
            <w:vAlign w:val="bottom"/>
            <w:gridSpan w:val="2"/>
          </w:tcPr>
          <w:p>
            <w:pPr>
              <w:spacing w:after="0"/>
              <w:rPr>
                <w:sz w:val="20"/>
                <w:szCs w:val="20"/>
                <w:color w:val="auto"/>
              </w:rPr>
            </w:pPr>
            <w:r>
              <w:rPr>
                <w:rFonts w:ascii="Arial" w:cs="Arial" w:eastAsia="Arial" w:hAnsi="Arial"/>
                <w:sz w:val="13"/>
                <w:szCs w:val="13"/>
                <w:color w:val="auto"/>
              </w:rPr>
              <w:t>Executive Vice President, General Counsel and Secretary</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David Fitzgerald</w:t>
            </w:r>
          </w:p>
        </w:tc>
        <w:tc>
          <w:tcPr>
            <w:tcW w:w="7520" w:type="dxa"/>
            <w:vAlign w:val="bottom"/>
            <w:gridSpan w:val="2"/>
          </w:tcPr>
          <w:p>
            <w:pPr>
              <w:spacing w:after="0"/>
              <w:rPr>
                <w:sz w:val="20"/>
                <w:szCs w:val="20"/>
                <w:color w:val="auto"/>
              </w:rPr>
            </w:pPr>
            <w:r>
              <w:rPr>
                <w:rFonts w:ascii="Arial" w:cs="Arial" w:eastAsia="Arial" w:hAnsi="Arial"/>
                <w:sz w:val="13"/>
                <w:szCs w:val="13"/>
                <w:color w:val="auto"/>
              </w:rPr>
              <w:t>Assistant Secretary</w:t>
            </w:r>
          </w:p>
        </w:tc>
      </w:tr>
      <w:tr>
        <w:trPr>
          <w:trHeight w:val="306"/>
        </w:trPr>
        <w:tc>
          <w:tcPr>
            <w:tcW w:w="3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G.research, LLC</w:t>
            </w: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96"/>
        </w:trPr>
        <w:tc>
          <w:tcPr>
            <w:tcW w:w="3960" w:type="dxa"/>
            <w:vAlign w:val="bottom"/>
          </w:tcPr>
          <w:p>
            <w:pPr>
              <w:spacing w:after="0"/>
              <w:rPr>
                <w:sz w:val="20"/>
                <w:szCs w:val="20"/>
                <w:color w:val="auto"/>
              </w:rPr>
            </w:pPr>
            <w:r>
              <w:rPr>
                <w:rFonts w:ascii="Arial" w:cs="Arial" w:eastAsia="Arial" w:hAnsi="Arial"/>
                <w:sz w:val="13"/>
                <w:szCs w:val="13"/>
                <w:color w:val="auto"/>
              </w:rPr>
              <w:t>Officers:</w:t>
            </w: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162"/>
        </w:trPr>
        <w:tc>
          <w:tcPr>
            <w:tcW w:w="3960" w:type="dxa"/>
            <w:vAlign w:val="bottom"/>
          </w:tcPr>
          <w:p>
            <w:pPr>
              <w:ind w:left="480"/>
              <w:spacing w:after="0"/>
              <w:rPr>
                <w:sz w:val="20"/>
                <w:szCs w:val="20"/>
                <w:color w:val="auto"/>
              </w:rPr>
            </w:pPr>
            <w:r>
              <w:rPr>
                <w:rFonts w:ascii="Arial" w:cs="Arial" w:eastAsia="Arial" w:hAnsi="Arial"/>
                <w:sz w:val="13"/>
                <w:szCs w:val="13"/>
                <w:color w:val="auto"/>
              </w:rPr>
              <w:t>Cornelius V. McGinity</w:t>
            </w:r>
          </w:p>
        </w:tc>
        <w:tc>
          <w:tcPr>
            <w:tcW w:w="7520" w:type="dxa"/>
            <w:vAlign w:val="bottom"/>
            <w:gridSpan w:val="2"/>
          </w:tcPr>
          <w:p>
            <w:pPr>
              <w:spacing w:after="0"/>
              <w:rPr>
                <w:sz w:val="20"/>
                <w:szCs w:val="20"/>
                <w:color w:val="auto"/>
              </w:rPr>
            </w:pPr>
            <w:r>
              <w:rPr>
                <w:rFonts w:ascii="Arial" w:cs="Arial" w:eastAsia="Arial" w:hAnsi="Arial"/>
                <w:sz w:val="13"/>
                <w:szCs w:val="13"/>
                <w:color w:val="auto"/>
              </w:rPr>
              <w:t>President</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Patrick Dennis</w:t>
            </w:r>
          </w:p>
        </w:tc>
        <w:tc>
          <w:tcPr>
            <w:tcW w:w="7520" w:type="dxa"/>
            <w:vAlign w:val="bottom"/>
            <w:gridSpan w:val="2"/>
          </w:tcPr>
          <w:p>
            <w:pPr>
              <w:spacing w:after="0"/>
              <w:rPr>
                <w:sz w:val="20"/>
                <w:szCs w:val="20"/>
                <w:color w:val="auto"/>
              </w:rPr>
            </w:pPr>
            <w:r>
              <w:rPr>
                <w:rFonts w:ascii="Arial" w:cs="Arial" w:eastAsia="Arial" w:hAnsi="Arial"/>
                <w:sz w:val="13"/>
                <w:szCs w:val="13"/>
                <w:color w:val="auto"/>
              </w:rPr>
              <w:t>Executive Vice President and Chief Financial Officer</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Maria Gigi</w:t>
            </w:r>
          </w:p>
        </w:tc>
        <w:tc>
          <w:tcPr>
            <w:tcW w:w="7520" w:type="dxa"/>
            <w:vAlign w:val="bottom"/>
            <w:gridSpan w:val="2"/>
          </w:tcPr>
          <w:p>
            <w:pPr>
              <w:spacing w:after="0"/>
              <w:rPr>
                <w:sz w:val="20"/>
                <w:szCs w:val="20"/>
                <w:color w:val="auto"/>
              </w:rPr>
            </w:pPr>
            <w:r>
              <w:rPr>
                <w:rFonts w:ascii="Arial" w:cs="Arial" w:eastAsia="Arial" w:hAnsi="Arial"/>
                <w:sz w:val="13"/>
                <w:szCs w:val="13"/>
                <w:color w:val="auto"/>
              </w:rPr>
              <w:t>Controller</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Bruce N. Alpert</w:t>
            </w:r>
          </w:p>
        </w:tc>
        <w:tc>
          <w:tcPr>
            <w:tcW w:w="7520" w:type="dxa"/>
            <w:vAlign w:val="bottom"/>
            <w:gridSpan w:val="2"/>
          </w:tcPr>
          <w:p>
            <w:pPr>
              <w:spacing w:after="0"/>
              <w:rPr>
                <w:sz w:val="20"/>
                <w:szCs w:val="20"/>
                <w:color w:val="auto"/>
              </w:rPr>
            </w:pPr>
            <w:r>
              <w:rPr>
                <w:rFonts w:ascii="Arial" w:cs="Arial" w:eastAsia="Arial" w:hAnsi="Arial"/>
                <w:sz w:val="13"/>
                <w:szCs w:val="13"/>
                <w:color w:val="auto"/>
              </w:rPr>
              <w:t>Vice President</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Douglas R. Jamieson</w:t>
            </w:r>
          </w:p>
        </w:tc>
        <w:tc>
          <w:tcPr>
            <w:tcW w:w="7520" w:type="dxa"/>
            <w:vAlign w:val="bottom"/>
            <w:gridSpan w:val="2"/>
          </w:tcPr>
          <w:p>
            <w:pPr>
              <w:spacing w:after="0"/>
              <w:rPr>
                <w:sz w:val="20"/>
                <w:szCs w:val="20"/>
                <w:color w:val="auto"/>
              </w:rPr>
            </w:pPr>
            <w:r>
              <w:rPr>
                <w:rFonts w:ascii="Arial" w:cs="Arial" w:eastAsia="Arial" w:hAnsi="Arial"/>
                <w:sz w:val="13"/>
                <w:szCs w:val="13"/>
                <w:color w:val="auto"/>
              </w:rPr>
              <w:t>Secretary</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David M. Goldman</w:t>
            </w:r>
          </w:p>
        </w:tc>
        <w:tc>
          <w:tcPr>
            <w:tcW w:w="7520" w:type="dxa"/>
            <w:vAlign w:val="bottom"/>
            <w:gridSpan w:val="2"/>
          </w:tcPr>
          <w:p>
            <w:pPr>
              <w:spacing w:after="0"/>
              <w:rPr>
                <w:sz w:val="20"/>
                <w:szCs w:val="20"/>
                <w:color w:val="auto"/>
              </w:rPr>
            </w:pPr>
            <w:r>
              <w:rPr>
                <w:rFonts w:ascii="Arial" w:cs="Arial" w:eastAsia="Arial" w:hAnsi="Arial"/>
                <w:sz w:val="13"/>
                <w:szCs w:val="13"/>
                <w:color w:val="auto"/>
              </w:rPr>
              <w:t>Assistant Secretary</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Josephine D. LaFauci</w:t>
            </w:r>
          </w:p>
        </w:tc>
        <w:tc>
          <w:tcPr>
            <w:tcW w:w="7520" w:type="dxa"/>
            <w:vAlign w:val="bottom"/>
            <w:gridSpan w:val="2"/>
          </w:tcPr>
          <w:p>
            <w:pPr>
              <w:spacing w:after="0"/>
              <w:rPr>
                <w:sz w:val="20"/>
                <w:szCs w:val="20"/>
                <w:color w:val="auto"/>
              </w:rPr>
            </w:pPr>
            <w:r>
              <w:rPr>
                <w:rFonts w:ascii="Arial" w:cs="Arial" w:eastAsia="Arial" w:hAnsi="Arial"/>
                <w:sz w:val="13"/>
                <w:szCs w:val="13"/>
                <w:color w:val="auto"/>
              </w:rPr>
              <w:t>Chief Compliance Officer</w:t>
            </w:r>
          </w:p>
        </w:tc>
      </w:tr>
      <w:tr>
        <w:trPr>
          <w:trHeight w:val="757"/>
        </w:trPr>
        <w:tc>
          <w:tcPr>
            <w:tcW w:w="3960" w:type="dxa"/>
            <w:vAlign w:val="bottom"/>
          </w:tcPr>
          <w:p>
            <w:pPr>
              <w:spacing w:after="0"/>
              <w:rPr>
                <w:sz w:val="24"/>
                <w:szCs w:val="24"/>
                <w:color w:val="auto"/>
              </w:rPr>
            </w:pPr>
          </w:p>
        </w:tc>
        <w:tc>
          <w:tcPr>
            <w:tcW w:w="7520" w:type="dxa"/>
            <w:vAlign w:val="bottom"/>
            <w:gridSpan w:val="2"/>
          </w:tcPr>
          <w:p>
            <w:pPr>
              <w:ind w:left="1720"/>
              <w:spacing w:after="0"/>
              <w:rPr>
                <w:sz w:val="20"/>
                <w:szCs w:val="20"/>
                <w:color w:val="auto"/>
              </w:rPr>
            </w:pPr>
            <w:r>
              <w:rPr>
                <w:rFonts w:ascii="Arial" w:cs="Arial" w:eastAsia="Arial" w:hAnsi="Arial"/>
                <w:sz w:val="10"/>
                <w:szCs w:val="10"/>
                <w:color w:val="auto"/>
              </w:rPr>
              <w:t>15</w:t>
            </w:r>
          </w:p>
        </w:tc>
      </w:tr>
      <w:tr>
        <w:trPr>
          <w:trHeight w:val="27"/>
        </w:trPr>
        <w:tc>
          <w:tcPr>
            <w:tcW w:w="3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bl>
    <w:p>
      <w:pPr>
        <w:sectPr>
          <w:pgSz w:w="11900" w:h="16838" w:orient="portrait"/>
          <w:cols w:equalWidth="0" w:num="1">
            <w:col w:w="11480"/>
          </w:cols>
          <w:pgMar w:left="220" w:top="628" w:right="199" w:bottom="1440" w:gutter="0" w:footer="0" w:header="0"/>
        </w:sectPr>
      </w:pPr>
    </w:p>
    <w:bookmarkStart w:id="15" w:name="page16"/>
    <w:bookmarkEnd w:id="15"/>
    <w:p>
      <w:pPr>
        <w:ind w:left="1044"/>
        <w:spacing w:after="0"/>
        <w:rPr>
          <w:sz w:val="20"/>
          <w:szCs w:val="20"/>
          <w:color w:val="auto"/>
        </w:rPr>
      </w:pPr>
      <w:r>
        <w:rPr>
          <w:rFonts w:ascii="Arial" w:cs="Arial" w:eastAsia="Arial" w:hAnsi="Arial"/>
          <w:sz w:val="13"/>
          <w:szCs w:val="13"/>
          <w:color w:val="auto"/>
        </w:rPr>
        <w:t>SCHEDULE II</w:t>
      </w:r>
    </w:p>
    <w:p>
      <w:pPr>
        <w:spacing w:after="0" w:line="12" w:lineRule="exact"/>
        <w:rPr>
          <w:sz w:val="20"/>
          <w:szCs w:val="20"/>
          <w:color w:val="auto"/>
        </w:rPr>
      </w:pPr>
    </w:p>
    <w:p>
      <w:pPr>
        <w:ind w:left="884"/>
        <w:spacing w:after="0"/>
        <w:rPr>
          <w:sz w:val="20"/>
          <w:szCs w:val="20"/>
          <w:color w:val="auto"/>
        </w:rPr>
      </w:pPr>
      <w:r>
        <w:rPr>
          <w:rFonts w:ascii="Arial" w:cs="Arial" w:eastAsia="Arial" w:hAnsi="Arial"/>
          <w:sz w:val="13"/>
          <w:szCs w:val="13"/>
          <w:color w:val="auto"/>
        </w:rPr>
        <w:t>INFORMATION WITH RESPECT TO</w:t>
      </w:r>
    </w:p>
    <w:p>
      <w:pPr>
        <w:spacing w:after="0" w:line="4" w:lineRule="exact"/>
        <w:rPr>
          <w:sz w:val="20"/>
          <w:szCs w:val="20"/>
          <w:color w:val="auto"/>
        </w:rPr>
      </w:pPr>
    </w:p>
    <w:p>
      <w:pPr>
        <w:ind w:left="544"/>
        <w:spacing w:after="0"/>
        <w:rPr>
          <w:sz w:val="20"/>
          <w:szCs w:val="20"/>
          <w:color w:val="auto"/>
        </w:rPr>
      </w:pPr>
      <w:r>
        <w:rPr>
          <w:rFonts w:ascii="Arial" w:cs="Arial" w:eastAsia="Arial" w:hAnsi="Arial"/>
          <w:sz w:val="13"/>
          <w:szCs w:val="13"/>
          <w:color w:val="auto"/>
        </w:rPr>
        <w:t>TRANSACTIONS EFFECTED DURING THE PAST SIXTY DAYS OR</w:t>
      </w:r>
    </w:p>
    <w:p>
      <w:pPr>
        <w:spacing w:after="0" w:line="4" w:lineRule="exact"/>
        <w:rPr>
          <w:sz w:val="20"/>
          <w:szCs w:val="20"/>
          <w:color w:val="auto"/>
        </w:rPr>
      </w:pPr>
    </w:p>
    <w:p>
      <w:pPr>
        <w:ind w:left="544"/>
        <w:spacing w:after="0"/>
        <w:rPr>
          <w:sz w:val="20"/>
          <w:szCs w:val="20"/>
          <w:color w:val="auto"/>
        </w:rPr>
      </w:pPr>
      <w:r>
        <w:rPr>
          <w:rFonts w:ascii="Arial" w:cs="Arial" w:eastAsia="Arial" w:hAnsi="Arial"/>
          <w:sz w:val="13"/>
          <w:szCs w:val="13"/>
          <w:color w:val="auto"/>
        </w:rPr>
        <w:t>SINCE THE MOST RECENT FILING ON SCHEDULE 13D (1)</w:t>
      </w:r>
    </w:p>
    <w:tbl>
      <w:tblPr>
        <w:tblLayout w:type="fixed"/>
        <w:tblInd w:w="24" w:type="dxa"/>
        <w:tblCellMar>
          <w:top w:w="0" w:type="dxa"/>
          <w:left w:w="0" w:type="dxa"/>
          <w:bottom w:w="0" w:type="dxa"/>
          <w:right w:w="0" w:type="dxa"/>
        </w:tblCellMar>
      </w:tblPr>
      <w:tr>
        <w:trPr>
          <w:trHeight w:val="148"/>
        </w:trPr>
        <w:tc>
          <w:tcPr>
            <w:tcW w:w="2620" w:type="dxa"/>
            <w:vAlign w:val="bottom"/>
            <w:gridSpan w:val="3"/>
          </w:tcPr>
          <w:p>
            <w:pPr>
              <w:jc w:val="right"/>
              <w:ind w:right="176"/>
              <w:spacing w:after="0" w:line="148" w:lineRule="exact"/>
              <w:rPr>
                <w:sz w:val="20"/>
                <w:szCs w:val="20"/>
                <w:color w:val="auto"/>
              </w:rPr>
            </w:pPr>
            <w:r>
              <w:rPr>
                <w:rFonts w:ascii="Arial" w:cs="Arial" w:eastAsia="Arial" w:hAnsi="Arial"/>
                <w:sz w:val="13"/>
                <w:szCs w:val="13"/>
                <w:color w:val="auto"/>
              </w:rPr>
              <w:t>SHARES PURCHASED</w:t>
            </w:r>
          </w:p>
        </w:tc>
        <w:tc>
          <w:tcPr>
            <w:tcW w:w="660" w:type="dxa"/>
            <w:vAlign w:val="bottom"/>
          </w:tcPr>
          <w:p>
            <w:pPr>
              <w:spacing w:after="0" w:line="148" w:lineRule="exact"/>
              <w:rPr>
                <w:sz w:val="20"/>
                <w:szCs w:val="20"/>
                <w:color w:val="auto"/>
              </w:rPr>
            </w:pPr>
            <w:r>
              <w:rPr>
                <w:rFonts w:ascii="Arial" w:cs="Arial" w:eastAsia="Arial" w:hAnsi="Arial"/>
                <w:sz w:val="13"/>
                <w:szCs w:val="13"/>
                <w:color w:val="auto"/>
              </w:rPr>
              <w:t>AVERAGE</w:t>
            </w:r>
          </w:p>
        </w:tc>
      </w:tr>
      <w:tr>
        <w:trPr>
          <w:trHeight w:val="162"/>
        </w:trPr>
        <w:tc>
          <w:tcPr>
            <w:tcW w:w="1280" w:type="dxa"/>
            <w:vAlign w:val="bottom"/>
          </w:tcPr>
          <w:p>
            <w:pPr>
              <w:ind w:left="740"/>
              <w:spacing w:after="0"/>
              <w:rPr>
                <w:sz w:val="20"/>
                <w:szCs w:val="20"/>
                <w:color w:val="auto"/>
              </w:rPr>
            </w:pPr>
            <w:r>
              <w:rPr>
                <w:rFonts w:ascii="Arial" w:cs="Arial" w:eastAsia="Arial" w:hAnsi="Arial"/>
                <w:sz w:val="13"/>
                <w:szCs w:val="13"/>
                <w:color w:val="auto"/>
              </w:rPr>
              <w:t>DATE</w:t>
            </w:r>
          </w:p>
        </w:tc>
        <w:tc>
          <w:tcPr>
            <w:tcW w:w="740" w:type="dxa"/>
            <w:vAlign w:val="bottom"/>
          </w:tcPr>
          <w:p>
            <w:pPr>
              <w:jc w:val="center"/>
              <w:spacing w:after="0"/>
              <w:rPr>
                <w:sz w:val="20"/>
                <w:szCs w:val="20"/>
                <w:color w:val="auto"/>
              </w:rPr>
            </w:pPr>
            <w:r>
              <w:rPr>
                <w:rFonts w:ascii="Arial" w:cs="Arial" w:eastAsia="Arial" w:hAnsi="Arial"/>
                <w:sz w:val="13"/>
                <w:szCs w:val="13"/>
                <w:color w:val="auto"/>
                <w:w w:val="94"/>
              </w:rPr>
              <w:t>SOLD(-)</w:t>
            </w:r>
          </w:p>
        </w:tc>
        <w:tc>
          <w:tcPr>
            <w:tcW w:w="1260" w:type="dxa"/>
            <w:vAlign w:val="bottom"/>
            <w:gridSpan w:val="2"/>
          </w:tcPr>
          <w:p>
            <w:pPr>
              <w:ind w:left="300"/>
              <w:spacing w:after="0"/>
              <w:rPr>
                <w:sz w:val="20"/>
                <w:szCs w:val="20"/>
                <w:color w:val="auto"/>
              </w:rPr>
            </w:pPr>
            <w:r>
              <w:rPr>
                <w:rFonts w:ascii="Arial" w:cs="Arial" w:eastAsia="Arial" w:hAnsi="Arial"/>
                <w:sz w:val="13"/>
                <w:szCs w:val="13"/>
                <w:color w:val="auto"/>
              </w:rPr>
              <w:t>PRICE(2)</w:t>
            </w:r>
          </w:p>
        </w:tc>
      </w:tr>
      <w:tr>
        <w:trPr>
          <w:trHeight w:val="325"/>
        </w:trPr>
        <w:tc>
          <w:tcPr>
            <w:tcW w:w="3280" w:type="dxa"/>
            <w:vAlign w:val="bottom"/>
            <w:gridSpan w:val="4"/>
          </w:tcPr>
          <w:p>
            <w:pPr>
              <w:spacing w:after="0"/>
              <w:rPr>
                <w:sz w:val="20"/>
                <w:szCs w:val="20"/>
                <w:color w:val="auto"/>
              </w:rPr>
            </w:pPr>
            <w:r>
              <w:rPr>
                <w:rFonts w:ascii="Arial" w:cs="Arial" w:eastAsia="Arial" w:hAnsi="Arial"/>
                <w:sz w:val="13"/>
                <w:szCs w:val="13"/>
                <w:color w:val="auto"/>
                <w:w w:val="94"/>
              </w:rPr>
              <w:t>COMMON STOCK-OIL DRI CORPORATION OF AMERICA</w:t>
            </w:r>
          </w:p>
        </w:tc>
      </w:tr>
      <w:tr>
        <w:trPr>
          <w:trHeight w:val="317"/>
        </w:trPr>
        <w:tc>
          <w:tcPr>
            <w:tcW w:w="2620" w:type="dxa"/>
            <w:vAlign w:val="bottom"/>
            <w:gridSpan w:val="3"/>
          </w:tcPr>
          <w:p>
            <w:pPr>
              <w:jc w:val="right"/>
              <w:ind w:right="136"/>
              <w:spacing w:after="0"/>
              <w:rPr>
                <w:sz w:val="20"/>
                <w:szCs w:val="20"/>
                <w:color w:val="auto"/>
              </w:rPr>
            </w:pPr>
            <w:r>
              <w:rPr>
                <w:rFonts w:ascii="Arial" w:cs="Arial" w:eastAsia="Arial" w:hAnsi="Arial"/>
                <w:sz w:val="13"/>
                <w:szCs w:val="13"/>
                <w:color w:val="auto"/>
              </w:rPr>
              <w:t>GAMCO ASSET MANAGEMENT INC.</w:t>
            </w:r>
          </w:p>
        </w:tc>
        <w:tc>
          <w:tcPr>
            <w:tcW w:w="660" w:type="dxa"/>
            <w:vAlign w:val="bottom"/>
          </w:tcPr>
          <w:p>
            <w:pPr>
              <w:spacing w:after="0"/>
              <w:rPr>
                <w:sz w:val="24"/>
                <w:szCs w:val="24"/>
                <w:color w:val="auto"/>
              </w:rPr>
            </w:pPr>
          </w:p>
        </w:tc>
      </w:tr>
      <w:tr>
        <w:trPr>
          <w:trHeight w:val="153"/>
        </w:trPr>
        <w:tc>
          <w:tcPr>
            <w:tcW w:w="1280" w:type="dxa"/>
            <w:vAlign w:val="bottom"/>
          </w:tcPr>
          <w:p>
            <w:pPr>
              <w:jc w:val="center"/>
              <w:ind w:left="476"/>
              <w:spacing w:after="0"/>
              <w:rPr>
                <w:sz w:val="20"/>
                <w:szCs w:val="20"/>
                <w:color w:val="auto"/>
              </w:rPr>
            </w:pPr>
            <w:r>
              <w:rPr>
                <w:rFonts w:ascii="Arial" w:cs="Arial" w:eastAsia="Arial" w:hAnsi="Arial"/>
                <w:sz w:val="13"/>
                <w:szCs w:val="13"/>
                <w:color w:val="auto"/>
                <w:w w:val="90"/>
              </w:rPr>
              <w:t>12/20/16</w:t>
            </w:r>
          </w:p>
        </w:tc>
        <w:tc>
          <w:tcPr>
            <w:tcW w:w="740" w:type="dxa"/>
            <w:vAlign w:val="bottom"/>
          </w:tcPr>
          <w:p>
            <w:pPr>
              <w:jc w:val="center"/>
              <w:ind w:left="36"/>
              <w:spacing w:after="0"/>
              <w:rPr>
                <w:sz w:val="20"/>
                <w:szCs w:val="20"/>
                <w:color w:val="auto"/>
              </w:rPr>
            </w:pPr>
            <w:r>
              <w:rPr>
                <w:rFonts w:ascii="Arial" w:cs="Arial" w:eastAsia="Arial" w:hAnsi="Arial"/>
                <w:sz w:val="13"/>
                <w:szCs w:val="13"/>
                <w:color w:val="auto"/>
                <w:w w:val="92"/>
              </w:rPr>
              <w:t>100-</w:t>
            </w:r>
          </w:p>
        </w:tc>
        <w:tc>
          <w:tcPr>
            <w:tcW w:w="600" w:type="dxa"/>
            <w:vAlign w:val="bottom"/>
          </w:tcPr>
          <w:p>
            <w:pPr>
              <w:jc w:val="center"/>
              <w:ind w:left="36"/>
              <w:spacing w:after="0"/>
              <w:rPr>
                <w:sz w:val="20"/>
                <w:szCs w:val="20"/>
                <w:color w:val="auto"/>
              </w:rPr>
            </w:pPr>
            <w:r>
              <w:rPr>
                <w:rFonts w:ascii="Arial" w:cs="Arial" w:eastAsia="Arial" w:hAnsi="Arial"/>
                <w:sz w:val="13"/>
                <w:szCs w:val="13"/>
                <w:color w:val="auto"/>
                <w:w w:val="89"/>
              </w:rPr>
              <w:t>39.9900</w:t>
            </w:r>
          </w:p>
        </w:tc>
        <w:tc>
          <w:tcPr>
            <w:tcW w:w="660" w:type="dxa"/>
            <w:vAlign w:val="bottom"/>
          </w:tcPr>
          <w:p>
            <w:pPr>
              <w:spacing w:after="0"/>
              <w:rPr>
                <w:sz w:val="13"/>
                <w:szCs w:val="13"/>
                <w:color w:val="auto"/>
              </w:rPr>
            </w:pPr>
          </w:p>
        </w:tc>
      </w:tr>
      <w:tr>
        <w:trPr>
          <w:trHeight w:val="153"/>
        </w:trPr>
        <w:tc>
          <w:tcPr>
            <w:tcW w:w="1280" w:type="dxa"/>
            <w:vAlign w:val="bottom"/>
          </w:tcPr>
          <w:p>
            <w:pPr>
              <w:jc w:val="center"/>
              <w:ind w:left="476"/>
              <w:spacing w:after="0"/>
              <w:rPr>
                <w:sz w:val="20"/>
                <w:szCs w:val="20"/>
                <w:color w:val="auto"/>
              </w:rPr>
            </w:pPr>
            <w:r>
              <w:rPr>
                <w:rFonts w:ascii="Arial" w:cs="Arial" w:eastAsia="Arial" w:hAnsi="Arial"/>
                <w:sz w:val="13"/>
                <w:szCs w:val="13"/>
                <w:color w:val="auto"/>
                <w:w w:val="90"/>
              </w:rPr>
              <w:t>12/15/16</w:t>
            </w:r>
          </w:p>
        </w:tc>
        <w:tc>
          <w:tcPr>
            <w:tcW w:w="740" w:type="dxa"/>
            <w:vAlign w:val="bottom"/>
          </w:tcPr>
          <w:p>
            <w:pPr>
              <w:jc w:val="center"/>
              <w:spacing w:after="0"/>
              <w:rPr>
                <w:sz w:val="20"/>
                <w:szCs w:val="20"/>
                <w:color w:val="auto"/>
              </w:rPr>
            </w:pPr>
            <w:r>
              <w:rPr>
                <w:rFonts w:ascii="Arial" w:cs="Arial" w:eastAsia="Arial" w:hAnsi="Arial"/>
                <w:sz w:val="13"/>
                <w:szCs w:val="13"/>
                <w:color w:val="auto"/>
                <w:w w:val="86"/>
              </w:rPr>
              <w:t>1,552-</w:t>
            </w:r>
          </w:p>
        </w:tc>
        <w:tc>
          <w:tcPr>
            <w:tcW w:w="600" w:type="dxa"/>
            <w:vAlign w:val="bottom"/>
          </w:tcPr>
          <w:p>
            <w:pPr>
              <w:jc w:val="right"/>
              <w:spacing w:after="0"/>
              <w:rPr>
                <w:sz w:val="20"/>
                <w:szCs w:val="20"/>
                <w:color w:val="auto"/>
              </w:rPr>
            </w:pPr>
            <w:r>
              <w:rPr>
                <w:rFonts w:ascii="Arial" w:cs="Arial" w:eastAsia="Arial" w:hAnsi="Arial"/>
                <w:sz w:val="13"/>
                <w:szCs w:val="13"/>
                <w:color w:val="auto"/>
              </w:rPr>
              <w:t>40.3121</w:t>
            </w:r>
          </w:p>
        </w:tc>
        <w:tc>
          <w:tcPr>
            <w:tcW w:w="660" w:type="dxa"/>
            <w:vAlign w:val="bottom"/>
          </w:tcPr>
          <w:p>
            <w:pPr>
              <w:spacing w:after="0"/>
              <w:rPr>
                <w:sz w:val="13"/>
                <w:szCs w:val="13"/>
                <w:color w:val="auto"/>
              </w:rPr>
            </w:pPr>
          </w:p>
        </w:tc>
      </w:tr>
      <w:tr>
        <w:trPr>
          <w:trHeight w:val="153"/>
        </w:trPr>
        <w:tc>
          <w:tcPr>
            <w:tcW w:w="1280" w:type="dxa"/>
            <w:vAlign w:val="bottom"/>
          </w:tcPr>
          <w:p>
            <w:pPr>
              <w:jc w:val="center"/>
              <w:ind w:left="476"/>
              <w:spacing w:after="0"/>
              <w:rPr>
                <w:sz w:val="20"/>
                <w:szCs w:val="20"/>
                <w:color w:val="auto"/>
              </w:rPr>
            </w:pPr>
            <w:r>
              <w:rPr>
                <w:rFonts w:ascii="Arial" w:cs="Arial" w:eastAsia="Arial" w:hAnsi="Arial"/>
                <w:sz w:val="13"/>
                <w:szCs w:val="13"/>
                <w:color w:val="auto"/>
                <w:w w:val="90"/>
              </w:rPr>
              <w:t>12/01/16</w:t>
            </w:r>
          </w:p>
        </w:tc>
        <w:tc>
          <w:tcPr>
            <w:tcW w:w="740" w:type="dxa"/>
            <w:vAlign w:val="bottom"/>
          </w:tcPr>
          <w:p>
            <w:pPr>
              <w:jc w:val="center"/>
              <w:ind w:left="36"/>
              <w:spacing w:after="0"/>
              <w:rPr>
                <w:sz w:val="20"/>
                <w:szCs w:val="20"/>
                <w:color w:val="auto"/>
              </w:rPr>
            </w:pPr>
            <w:r>
              <w:rPr>
                <w:rFonts w:ascii="Arial" w:cs="Arial" w:eastAsia="Arial" w:hAnsi="Arial"/>
                <w:sz w:val="13"/>
                <w:szCs w:val="13"/>
                <w:color w:val="auto"/>
                <w:w w:val="92"/>
              </w:rPr>
              <w:t>300-</w:t>
            </w:r>
          </w:p>
        </w:tc>
        <w:tc>
          <w:tcPr>
            <w:tcW w:w="600" w:type="dxa"/>
            <w:vAlign w:val="bottom"/>
          </w:tcPr>
          <w:p>
            <w:pPr>
              <w:jc w:val="center"/>
              <w:spacing w:after="0"/>
              <w:rPr>
                <w:sz w:val="20"/>
                <w:szCs w:val="20"/>
                <w:color w:val="auto"/>
              </w:rPr>
            </w:pPr>
            <w:r>
              <w:rPr>
                <w:rFonts w:ascii="Arial" w:cs="Arial" w:eastAsia="Arial" w:hAnsi="Arial"/>
                <w:sz w:val="13"/>
                <w:szCs w:val="13"/>
                <w:color w:val="auto"/>
              </w:rPr>
              <w:t>*DO</w:t>
            </w:r>
          </w:p>
        </w:tc>
        <w:tc>
          <w:tcPr>
            <w:tcW w:w="660" w:type="dxa"/>
            <w:vAlign w:val="bottom"/>
          </w:tcPr>
          <w:p>
            <w:pPr>
              <w:spacing w:after="0"/>
              <w:rPr>
                <w:sz w:val="13"/>
                <w:szCs w:val="13"/>
                <w:color w:val="auto"/>
              </w:rPr>
            </w:pPr>
          </w:p>
        </w:tc>
      </w:tr>
      <w:tr>
        <w:trPr>
          <w:trHeight w:val="153"/>
        </w:trPr>
        <w:tc>
          <w:tcPr>
            <w:tcW w:w="1280" w:type="dxa"/>
            <w:vAlign w:val="bottom"/>
          </w:tcPr>
          <w:p>
            <w:pPr>
              <w:jc w:val="center"/>
              <w:ind w:left="456"/>
              <w:spacing w:after="0"/>
              <w:rPr>
                <w:sz w:val="20"/>
                <w:szCs w:val="20"/>
                <w:color w:val="auto"/>
              </w:rPr>
            </w:pPr>
            <w:r>
              <w:rPr>
                <w:rFonts w:ascii="Arial" w:cs="Arial" w:eastAsia="Arial" w:hAnsi="Arial"/>
                <w:sz w:val="13"/>
                <w:szCs w:val="13"/>
                <w:color w:val="auto"/>
                <w:w w:val="86"/>
              </w:rPr>
              <w:t>11/28/16</w:t>
            </w:r>
          </w:p>
        </w:tc>
        <w:tc>
          <w:tcPr>
            <w:tcW w:w="740" w:type="dxa"/>
            <w:vAlign w:val="bottom"/>
          </w:tcPr>
          <w:p>
            <w:pPr>
              <w:jc w:val="center"/>
              <w:ind w:left="16"/>
              <w:spacing w:after="0"/>
              <w:rPr>
                <w:sz w:val="20"/>
                <w:szCs w:val="20"/>
                <w:color w:val="auto"/>
              </w:rPr>
            </w:pPr>
            <w:r>
              <w:rPr>
                <w:rFonts w:ascii="Arial" w:cs="Arial" w:eastAsia="Arial" w:hAnsi="Arial"/>
                <w:sz w:val="13"/>
                <w:szCs w:val="13"/>
                <w:color w:val="auto"/>
                <w:w w:val="84"/>
              </w:rPr>
              <w:t>300-</w:t>
            </w:r>
          </w:p>
        </w:tc>
        <w:tc>
          <w:tcPr>
            <w:tcW w:w="600" w:type="dxa"/>
            <w:vAlign w:val="bottom"/>
          </w:tcPr>
          <w:p>
            <w:pPr>
              <w:jc w:val="center"/>
              <w:ind w:left="36"/>
              <w:spacing w:after="0"/>
              <w:rPr>
                <w:sz w:val="20"/>
                <w:szCs w:val="20"/>
                <w:color w:val="auto"/>
              </w:rPr>
            </w:pPr>
            <w:r>
              <w:rPr>
                <w:rFonts w:ascii="Arial" w:cs="Arial" w:eastAsia="Arial" w:hAnsi="Arial"/>
                <w:sz w:val="13"/>
                <w:szCs w:val="13"/>
                <w:color w:val="auto"/>
                <w:w w:val="89"/>
              </w:rPr>
              <w:t>39.0000</w:t>
            </w:r>
          </w:p>
        </w:tc>
        <w:tc>
          <w:tcPr>
            <w:tcW w:w="660" w:type="dxa"/>
            <w:vAlign w:val="bottom"/>
          </w:tcPr>
          <w:p>
            <w:pPr>
              <w:spacing w:after="0"/>
              <w:rPr>
                <w:sz w:val="13"/>
                <w:szCs w:val="13"/>
                <w:color w:val="auto"/>
              </w:rPr>
            </w:pPr>
          </w:p>
        </w:tc>
      </w:tr>
      <w:tr>
        <w:trPr>
          <w:trHeight w:val="153"/>
        </w:trPr>
        <w:tc>
          <w:tcPr>
            <w:tcW w:w="1280" w:type="dxa"/>
            <w:vAlign w:val="bottom"/>
          </w:tcPr>
          <w:p>
            <w:pPr>
              <w:jc w:val="center"/>
              <w:ind w:left="456"/>
              <w:spacing w:after="0"/>
              <w:rPr>
                <w:sz w:val="20"/>
                <w:szCs w:val="20"/>
                <w:color w:val="auto"/>
              </w:rPr>
            </w:pPr>
            <w:r>
              <w:rPr>
                <w:rFonts w:ascii="Arial" w:cs="Arial" w:eastAsia="Arial" w:hAnsi="Arial"/>
                <w:sz w:val="13"/>
                <w:szCs w:val="13"/>
                <w:color w:val="auto"/>
                <w:w w:val="86"/>
              </w:rPr>
              <w:t>11/15/16</w:t>
            </w:r>
          </w:p>
        </w:tc>
        <w:tc>
          <w:tcPr>
            <w:tcW w:w="740" w:type="dxa"/>
            <w:vAlign w:val="bottom"/>
          </w:tcPr>
          <w:p>
            <w:pPr>
              <w:jc w:val="center"/>
              <w:spacing w:after="0"/>
              <w:rPr>
                <w:sz w:val="20"/>
                <w:szCs w:val="20"/>
                <w:color w:val="auto"/>
              </w:rPr>
            </w:pPr>
            <w:r>
              <w:rPr>
                <w:rFonts w:ascii="Arial" w:cs="Arial" w:eastAsia="Arial" w:hAnsi="Arial"/>
                <w:sz w:val="13"/>
                <w:szCs w:val="13"/>
                <w:color w:val="auto"/>
                <w:w w:val="92"/>
              </w:rPr>
              <w:t>1,500-</w:t>
            </w:r>
          </w:p>
        </w:tc>
        <w:tc>
          <w:tcPr>
            <w:tcW w:w="600" w:type="dxa"/>
            <w:vAlign w:val="bottom"/>
          </w:tcPr>
          <w:p>
            <w:pPr>
              <w:jc w:val="right"/>
              <w:spacing w:after="0"/>
              <w:rPr>
                <w:sz w:val="20"/>
                <w:szCs w:val="20"/>
                <w:color w:val="auto"/>
              </w:rPr>
            </w:pPr>
            <w:r>
              <w:rPr>
                <w:rFonts w:ascii="Arial" w:cs="Arial" w:eastAsia="Arial" w:hAnsi="Arial"/>
                <w:sz w:val="13"/>
                <w:szCs w:val="13"/>
                <w:color w:val="auto"/>
              </w:rPr>
              <w:t>39.4882</w:t>
            </w:r>
          </w:p>
        </w:tc>
        <w:tc>
          <w:tcPr>
            <w:tcW w:w="660" w:type="dxa"/>
            <w:vAlign w:val="bottom"/>
          </w:tcPr>
          <w:p>
            <w:pPr>
              <w:spacing w:after="0"/>
              <w:rPr>
                <w:sz w:val="13"/>
                <w:szCs w:val="13"/>
                <w:color w:val="auto"/>
              </w:rPr>
            </w:pPr>
          </w:p>
        </w:tc>
      </w:tr>
      <w:tr>
        <w:trPr>
          <w:trHeight w:val="153"/>
        </w:trPr>
        <w:tc>
          <w:tcPr>
            <w:tcW w:w="2620" w:type="dxa"/>
            <w:vAlign w:val="bottom"/>
            <w:gridSpan w:val="3"/>
          </w:tcPr>
          <w:p>
            <w:pPr>
              <w:jc w:val="right"/>
              <w:ind w:right="156"/>
              <w:spacing w:after="0"/>
              <w:rPr>
                <w:sz w:val="20"/>
                <w:szCs w:val="20"/>
                <w:color w:val="auto"/>
              </w:rPr>
            </w:pPr>
            <w:r>
              <w:rPr>
                <w:rFonts w:ascii="Arial" w:cs="Arial" w:eastAsia="Arial" w:hAnsi="Arial"/>
                <w:sz w:val="13"/>
                <w:szCs w:val="13"/>
                <w:color w:val="auto"/>
              </w:rPr>
              <w:t>ASSOCIATED CAPITAL GROUP, INC.</w:t>
            </w:r>
          </w:p>
        </w:tc>
        <w:tc>
          <w:tcPr>
            <w:tcW w:w="660" w:type="dxa"/>
            <w:vAlign w:val="bottom"/>
          </w:tcPr>
          <w:p>
            <w:pPr>
              <w:spacing w:after="0"/>
              <w:rPr>
                <w:sz w:val="13"/>
                <w:szCs w:val="13"/>
                <w:color w:val="auto"/>
              </w:rPr>
            </w:pPr>
          </w:p>
        </w:tc>
      </w:tr>
      <w:tr>
        <w:trPr>
          <w:trHeight w:val="162"/>
        </w:trPr>
        <w:tc>
          <w:tcPr>
            <w:tcW w:w="1280" w:type="dxa"/>
            <w:vAlign w:val="bottom"/>
          </w:tcPr>
          <w:p>
            <w:pPr>
              <w:jc w:val="center"/>
              <w:ind w:left="456"/>
              <w:spacing w:after="0"/>
              <w:rPr>
                <w:sz w:val="20"/>
                <w:szCs w:val="20"/>
                <w:color w:val="auto"/>
              </w:rPr>
            </w:pPr>
            <w:r>
              <w:rPr>
                <w:rFonts w:ascii="Arial" w:cs="Arial" w:eastAsia="Arial" w:hAnsi="Arial"/>
                <w:sz w:val="13"/>
                <w:szCs w:val="13"/>
                <w:color w:val="auto"/>
                <w:w w:val="92"/>
              </w:rPr>
              <w:t>1/03/17</w:t>
            </w:r>
          </w:p>
        </w:tc>
        <w:tc>
          <w:tcPr>
            <w:tcW w:w="740" w:type="dxa"/>
            <w:vAlign w:val="bottom"/>
          </w:tcPr>
          <w:p>
            <w:pPr>
              <w:jc w:val="center"/>
              <w:spacing w:after="0"/>
              <w:rPr>
                <w:sz w:val="20"/>
                <w:szCs w:val="20"/>
                <w:color w:val="auto"/>
              </w:rPr>
            </w:pPr>
            <w:r>
              <w:rPr>
                <w:rFonts w:ascii="Arial" w:cs="Arial" w:eastAsia="Arial" w:hAnsi="Arial"/>
                <w:sz w:val="13"/>
                <w:szCs w:val="13"/>
                <w:color w:val="auto"/>
                <w:w w:val="92"/>
              </w:rPr>
              <w:t>700-</w:t>
            </w:r>
          </w:p>
        </w:tc>
        <w:tc>
          <w:tcPr>
            <w:tcW w:w="600" w:type="dxa"/>
            <w:vAlign w:val="bottom"/>
          </w:tcPr>
          <w:p>
            <w:pPr>
              <w:jc w:val="center"/>
              <w:spacing w:after="0"/>
              <w:rPr>
                <w:sz w:val="20"/>
                <w:szCs w:val="20"/>
                <w:color w:val="auto"/>
              </w:rPr>
            </w:pPr>
            <w:r>
              <w:rPr>
                <w:rFonts w:ascii="Arial" w:cs="Arial" w:eastAsia="Arial" w:hAnsi="Arial"/>
                <w:sz w:val="13"/>
                <w:szCs w:val="13"/>
                <w:color w:val="auto"/>
                <w:w w:val="89"/>
              </w:rPr>
              <w:t>38.3286</w:t>
            </w:r>
          </w:p>
        </w:tc>
        <w:tc>
          <w:tcPr>
            <w:tcW w:w="660" w:type="dxa"/>
            <w:vAlign w:val="bottom"/>
          </w:tcPr>
          <w:p>
            <w:pPr>
              <w:spacing w:after="0"/>
              <w:rPr>
                <w:sz w:val="14"/>
                <w:szCs w:val="14"/>
                <w:color w:val="auto"/>
              </w:rPr>
            </w:pPr>
          </w:p>
        </w:tc>
      </w:tr>
    </w:tbl>
    <w:p>
      <w:pPr>
        <w:spacing w:after="0" w:line="164" w:lineRule="exact"/>
        <w:rPr>
          <w:sz w:val="20"/>
          <w:szCs w:val="20"/>
          <w:color w:val="auto"/>
        </w:rPr>
      </w:pPr>
    </w:p>
    <w:p>
      <w:pPr>
        <w:ind w:left="124" w:right="5739" w:hanging="124"/>
        <w:spacing w:after="0" w:line="265" w:lineRule="auto"/>
        <w:tabs>
          <w:tab w:leader="none" w:pos="177" w:val="left"/>
        </w:tabs>
        <w:numPr>
          <w:ilvl w:val="0"/>
          <w:numId w:val="45"/>
        </w:numPr>
        <w:rPr>
          <w:rFonts w:ascii="Arial" w:cs="Arial" w:eastAsia="Arial" w:hAnsi="Arial"/>
          <w:sz w:val="13"/>
          <w:szCs w:val="13"/>
          <w:color w:val="auto"/>
        </w:rPr>
      </w:pPr>
      <w:r>
        <w:rPr>
          <w:rFonts w:ascii="Arial" w:cs="Arial" w:eastAsia="Arial" w:hAnsi="Arial"/>
          <w:sz w:val="13"/>
          <w:szCs w:val="13"/>
          <w:color w:val="auto"/>
        </w:rPr>
        <w:t>UNLESS OTHERWISE INDICATED, ALL TRANSACTIONS WERE EFFECTED ON THE NYSE.</w:t>
      </w:r>
    </w:p>
    <w:p>
      <w:pPr>
        <w:spacing w:after="0" w:line="147" w:lineRule="exact"/>
        <w:rPr>
          <w:rFonts w:ascii="Arial" w:cs="Arial" w:eastAsia="Arial" w:hAnsi="Arial"/>
          <w:sz w:val="13"/>
          <w:szCs w:val="13"/>
          <w:color w:val="auto"/>
        </w:rPr>
      </w:pPr>
    </w:p>
    <w:p>
      <w:pPr>
        <w:ind w:left="184" w:hanging="184"/>
        <w:spacing w:after="0"/>
        <w:tabs>
          <w:tab w:leader="none" w:pos="184"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PRICE EXCLUDES COMMISSION.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3"/>
          <w:szCs w:val="13"/>
          <w:color w:val="auto"/>
        </w:rPr>
        <w:t>(*) RESULTS IN CHANGE OF DISPOSITIVE POWER AND BENEFICIAL OWNERSHIP.</w:t>
      </w:r>
    </w:p>
    <w:p>
      <w:pPr>
        <w:spacing w:after="0" w:line="344" w:lineRule="exact"/>
        <w:rPr>
          <w:sz w:val="20"/>
          <w:szCs w:val="20"/>
          <w:color w:val="auto"/>
        </w:rPr>
      </w:pPr>
    </w:p>
    <w:p>
      <w:pPr>
        <w:jc w:val="right"/>
        <w:ind w:right="4459"/>
        <w:spacing w:after="0"/>
        <w:rPr>
          <w:sz w:val="20"/>
          <w:szCs w:val="20"/>
          <w:color w:val="auto"/>
        </w:rPr>
      </w:pPr>
      <w:r>
        <w:rPr>
          <w:rFonts w:ascii="Arial" w:cs="Arial" w:eastAsia="Arial" w:hAnsi="Arial"/>
          <w:sz w:val="10"/>
          <w:szCs w:val="10"/>
          <w:color w:val="auto"/>
        </w:rPr>
        <w:t>16</w:t>
      </w:r>
    </w:p>
    <w:sectPr>
      <w:pgSz w:w="11900" w:h="16838" w:orient="portrait"/>
      <w:cols w:equalWidth="0" w:num="1">
        <w:col w:w="10243"/>
      </w:cols>
      <w:pgMar w:left="216" w:top="11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bullet"/>
      <w:start w:val="1"/>
    </w:lvl>
  </w:abstractNum>
  <w:abstractNum w:abstractNumId="1">
    <w:nsid w:val="6763845E"/>
    <w:multiLevelType w:val="hybridMultilevel"/>
    <w:lvl w:ilvl="0">
      <w:lvlJc w:val="left"/>
      <w:lvlText w:val="3"/>
      <w:numFmt w:val="bullet"/>
      <w:start w:val="1"/>
    </w:lvl>
  </w:abstractNum>
  <w:abstractNum w:abstractNumId="2">
    <w:nsid w:val="75A2A8D4"/>
    <w:multiLevelType w:val="hybridMultilevel"/>
    <w:lvl w:ilvl="0">
      <w:lvlJc w:val="left"/>
      <w:lvlText w:val="4"/>
      <w:numFmt w:val="bullet"/>
      <w:start w:val="1"/>
    </w:lvl>
  </w:abstractNum>
  <w:abstractNum w:abstractNumId="3">
    <w:nsid w:val="8EDBDAB"/>
    <w:multiLevelType w:val="hybridMultilevel"/>
    <w:lvl w:ilvl="0">
      <w:lvlJc w:val="left"/>
      <w:lvlText w:val="6"/>
      <w:numFmt w:val="bullet"/>
      <w:start w:val="1"/>
    </w:lvl>
  </w:abstractNum>
  <w:abstractNum w:abstractNumId="4">
    <w:nsid w:val="79838CB2"/>
    <w:multiLevelType w:val="hybridMultilevel"/>
    <w:lvl w:ilvl="0">
      <w:lvlJc w:val="left"/>
      <w:lvlText w:val="%1"/>
      <w:numFmt w:val="decimal"/>
      <w:start w:val="11"/>
    </w:lvl>
  </w:abstractNum>
  <w:abstractNum w:abstractNumId="5">
    <w:nsid w:val="4353D0CD"/>
    <w:multiLevelType w:val="hybridMultilevel"/>
    <w:lvl w:ilvl="0">
      <w:lvlJc w:val="left"/>
      <w:lvlText w:val="1"/>
      <w:numFmt w:val="bullet"/>
      <w:start w:val="1"/>
    </w:lvl>
  </w:abstractNum>
  <w:abstractNum w:abstractNumId="6">
    <w:nsid w:val="B03E0C6"/>
    <w:multiLevelType w:val="hybridMultilevel"/>
    <w:lvl w:ilvl="0">
      <w:lvlJc w:val="left"/>
      <w:lvlText w:val="3"/>
      <w:numFmt w:val="bullet"/>
      <w:start w:val="1"/>
    </w:lvl>
  </w:abstractNum>
  <w:abstractNum w:abstractNumId="7">
    <w:nsid w:val="189A769B"/>
    <w:multiLevelType w:val="hybridMultilevel"/>
    <w:lvl w:ilvl="0">
      <w:lvlJc w:val="left"/>
      <w:lvlText w:val="4"/>
      <w:numFmt w:val="bullet"/>
      <w:start w:val="1"/>
    </w:lvl>
  </w:abstractNum>
  <w:abstractNum w:abstractNumId="8">
    <w:nsid w:val="54E49EB4"/>
    <w:multiLevelType w:val="hybridMultilevel"/>
    <w:lvl w:ilvl="0">
      <w:lvlJc w:val="left"/>
      <w:lvlText w:val="5"/>
      <w:numFmt w:val="bullet"/>
      <w:start w:val="1"/>
    </w:lvl>
  </w:abstractNum>
  <w:abstractNum w:abstractNumId="9">
    <w:nsid w:val="71F32454"/>
    <w:multiLevelType w:val="hybridMultilevel"/>
    <w:lvl w:ilvl="0">
      <w:lvlJc w:val="left"/>
      <w:lvlText w:val="6"/>
      <w:numFmt w:val="bullet"/>
      <w:start w:val="1"/>
    </w:lvl>
  </w:abstractNum>
  <w:abstractNum w:abstractNumId="10">
    <w:nsid w:val="2CA88611"/>
    <w:multiLevelType w:val="hybridMultilevel"/>
    <w:lvl w:ilvl="0">
      <w:lvlJc w:val="left"/>
      <w:lvlText w:val="%1"/>
      <w:numFmt w:val="decimal"/>
      <w:start w:val="11"/>
    </w:lvl>
  </w:abstractNum>
  <w:abstractNum w:abstractNumId="11">
    <w:nsid w:val="836C40E"/>
    <w:multiLevelType w:val="hybridMultilevel"/>
    <w:lvl w:ilvl="0">
      <w:lvlJc w:val="left"/>
      <w:lvlText w:val="1"/>
      <w:numFmt w:val="bullet"/>
      <w:start w:val="1"/>
    </w:lvl>
  </w:abstractNum>
  <w:abstractNum w:abstractNumId="12">
    <w:nsid w:val="2901D82"/>
    <w:multiLevelType w:val="hybridMultilevel"/>
    <w:lvl w:ilvl="0">
      <w:lvlJc w:val="left"/>
      <w:lvlText w:val="3"/>
      <w:numFmt w:val="bullet"/>
      <w:start w:val="1"/>
    </w:lvl>
  </w:abstractNum>
  <w:abstractNum w:abstractNumId="13">
    <w:nsid w:val="3A95F874"/>
    <w:multiLevelType w:val="hybridMultilevel"/>
    <w:lvl w:ilvl="0">
      <w:lvlJc w:val="left"/>
      <w:lvlText w:val="4"/>
      <w:numFmt w:val="bullet"/>
      <w:start w:val="1"/>
    </w:lvl>
  </w:abstractNum>
  <w:abstractNum w:abstractNumId="14">
    <w:nsid w:val="8138641"/>
    <w:multiLevelType w:val="hybridMultilevel"/>
    <w:lvl w:ilvl="0">
      <w:lvlJc w:val="left"/>
      <w:lvlText w:val="5"/>
      <w:numFmt w:val="bullet"/>
      <w:start w:val="1"/>
    </w:lvl>
  </w:abstractNum>
  <w:abstractNum w:abstractNumId="15">
    <w:nsid w:val="1E7FF521"/>
    <w:multiLevelType w:val="hybridMultilevel"/>
    <w:lvl w:ilvl="0">
      <w:lvlJc w:val="left"/>
      <w:lvlText w:val="6"/>
      <w:numFmt w:val="bullet"/>
      <w:start w:val="1"/>
    </w:lvl>
  </w:abstractNum>
  <w:abstractNum w:abstractNumId="16">
    <w:nsid w:val="7C3DBD3D"/>
    <w:multiLevelType w:val="hybridMultilevel"/>
    <w:lvl w:ilvl="0">
      <w:lvlJc w:val="left"/>
      <w:lvlText w:val="%1"/>
      <w:numFmt w:val="decimal"/>
      <w:start w:val="11"/>
    </w:lvl>
  </w:abstractNum>
  <w:abstractNum w:abstractNumId="17">
    <w:nsid w:val="737B8DDC"/>
    <w:multiLevelType w:val="hybridMultilevel"/>
    <w:lvl w:ilvl="0">
      <w:lvlJc w:val="left"/>
      <w:lvlText w:val="1"/>
      <w:numFmt w:val="bullet"/>
      <w:start w:val="1"/>
    </w:lvl>
  </w:abstractNum>
  <w:abstractNum w:abstractNumId="18">
    <w:nsid w:val="6CEAF087"/>
    <w:multiLevelType w:val="hybridMultilevel"/>
    <w:lvl w:ilvl="0">
      <w:lvlJc w:val="left"/>
      <w:lvlText w:val="3"/>
      <w:numFmt w:val="bullet"/>
      <w:start w:val="1"/>
    </w:lvl>
  </w:abstractNum>
  <w:abstractNum w:abstractNumId="19">
    <w:nsid w:val="22221A70"/>
    <w:multiLevelType w:val="hybridMultilevel"/>
    <w:lvl w:ilvl="0">
      <w:lvlJc w:val="left"/>
      <w:lvlText w:val="4"/>
      <w:numFmt w:val="bullet"/>
      <w:start w:val="1"/>
    </w:lvl>
  </w:abstractNum>
  <w:abstractNum w:abstractNumId="20">
    <w:nsid w:val="4516DDE9"/>
    <w:multiLevelType w:val="hybridMultilevel"/>
    <w:lvl w:ilvl="0">
      <w:lvlJc w:val="left"/>
      <w:lvlText w:val="5"/>
      <w:numFmt w:val="bullet"/>
      <w:start w:val="1"/>
    </w:lvl>
  </w:abstractNum>
  <w:abstractNum w:abstractNumId="21">
    <w:nsid w:val="3006C83E"/>
    <w:multiLevelType w:val="hybridMultilevel"/>
    <w:lvl w:ilvl="0">
      <w:lvlJc w:val="left"/>
      <w:lvlText w:val="6"/>
      <w:numFmt w:val="bullet"/>
      <w:start w:val="1"/>
    </w:lvl>
  </w:abstractNum>
  <w:abstractNum w:abstractNumId="22">
    <w:nsid w:val="614FD4A1"/>
    <w:multiLevelType w:val="hybridMultilevel"/>
    <w:lvl w:ilvl="0">
      <w:lvlJc w:val="left"/>
      <w:lvlText w:val="%1"/>
      <w:numFmt w:val="decimal"/>
      <w:start w:val="11"/>
    </w:lvl>
  </w:abstractNum>
  <w:abstractNum w:abstractNumId="23">
    <w:nsid w:val="419AC241"/>
    <w:multiLevelType w:val="hybridMultilevel"/>
    <w:lvl w:ilvl="0">
      <w:lvlJc w:val="left"/>
      <w:lvlText w:val="1"/>
      <w:numFmt w:val="bullet"/>
      <w:start w:val="1"/>
    </w:lvl>
  </w:abstractNum>
  <w:abstractNum w:abstractNumId="24">
    <w:nsid w:val="5577F8E1"/>
    <w:multiLevelType w:val="hybridMultilevel"/>
    <w:lvl w:ilvl="0">
      <w:lvlJc w:val="left"/>
      <w:lvlText w:val="3"/>
      <w:numFmt w:val="bullet"/>
      <w:start w:val="1"/>
    </w:lvl>
  </w:abstractNum>
  <w:abstractNum w:abstractNumId="25">
    <w:nsid w:val="440BADFC"/>
    <w:multiLevelType w:val="hybridMultilevel"/>
    <w:lvl w:ilvl="0">
      <w:lvlJc w:val="left"/>
      <w:lvlText w:val="4"/>
      <w:numFmt w:val="bullet"/>
      <w:start w:val="1"/>
    </w:lvl>
  </w:abstractNum>
  <w:abstractNum w:abstractNumId="26">
    <w:nsid w:val="5072367"/>
    <w:multiLevelType w:val="hybridMultilevel"/>
    <w:lvl w:ilvl="0">
      <w:lvlJc w:val="left"/>
      <w:lvlText w:val="5"/>
      <w:numFmt w:val="bullet"/>
      <w:start w:val="1"/>
    </w:lvl>
  </w:abstractNum>
  <w:abstractNum w:abstractNumId="27">
    <w:nsid w:val="3804823E"/>
    <w:multiLevelType w:val="hybridMultilevel"/>
    <w:lvl w:ilvl="0">
      <w:lvlJc w:val="left"/>
      <w:lvlText w:val="6"/>
      <w:numFmt w:val="bullet"/>
      <w:start w:val="1"/>
    </w:lvl>
  </w:abstractNum>
  <w:abstractNum w:abstractNumId="28">
    <w:nsid w:val="77465F01"/>
    <w:multiLevelType w:val="hybridMultilevel"/>
    <w:lvl w:ilvl="0">
      <w:lvlJc w:val="left"/>
      <w:lvlText w:val="%1"/>
      <w:numFmt w:val="decimal"/>
      <w:start w:val="11"/>
    </w:lvl>
  </w:abstractNum>
  <w:abstractNum w:abstractNumId="29">
    <w:nsid w:val="7724C67E"/>
    <w:multiLevelType w:val="hybridMultilevel"/>
    <w:lvl w:ilvl="0">
      <w:lvlJc w:val="left"/>
      <w:lvlText w:val="3"/>
      <w:numFmt w:val="bullet"/>
      <w:start w:val="1"/>
    </w:lvl>
  </w:abstractNum>
  <w:abstractNum w:abstractNumId="30">
    <w:nsid w:val="5C482A97"/>
    <w:multiLevelType w:val="hybridMultilevel"/>
    <w:lvl w:ilvl="0">
      <w:lvlJc w:val="left"/>
      <w:lvlText w:val="4"/>
      <w:numFmt w:val="bullet"/>
      <w:start w:val="1"/>
    </w:lvl>
  </w:abstractNum>
  <w:abstractNum w:abstractNumId="31">
    <w:nsid w:val="2463B9EA"/>
    <w:multiLevelType w:val="hybridMultilevel"/>
    <w:lvl w:ilvl="0">
      <w:lvlJc w:val="left"/>
      <w:lvlText w:val="5"/>
      <w:numFmt w:val="bullet"/>
      <w:start w:val="1"/>
    </w:lvl>
  </w:abstractNum>
  <w:abstractNum w:abstractNumId="32">
    <w:nsid w:val="5E884ADC"/>
    <w:multiLevelType w:val="hybridMultilevel"/>
    <w:lvl w:ilvl="0">
      <w:lvlJc w:val="left"/>
      <w:lvlText w:val="6"/>
      <w:numFmt w:val="bullet"/>
      <w:start w:val="1"/>
    </w:lvl>
  </w:abstractNum>
  <w:abstractNum w:abstractNumId="33">
    <w:nsid w:val="51EAD36B"/>
    <w:multiLevelType w:val="hybridMultilevel"/>
    <w:lvl w:ilvl="0">
      <w:lvlJc w:val="left"/>
      <w:lvlText w:val="%1"/>
      <w:numFmt w:val="decimal"/>
      <w:start w:val="11"/>
    </w:lvl>
  </w:abstractNum>
  <w:abstractNum w:abstractNumId="34">
    <w:nsid w:val="2D517796"/>
    <w:multiLevelType w:val="hybridMultilevel"/>
    <w:lvl w:ilvl="0">
      <w:lvlJc w:val="left"/>
      <w:lvlText w:val="1"/>
      <w:numFmt w:val="bullet"/>
      <w:start w:val="1"/>
    </w:lvl>
  </w:abstractNum>
  <w:abstractNum w:abstractNumId="35">
    <w:nsid w:val="580BD78F"/>
    <w:multiLevelType w:val="hybridMultilevel"/>
    <w:lvl w:ilvl="0">
      <w:lvlJc w:val="left"/>
      <w:lvlText w:val="3"/>
      <w:numFmt w:val="bullet"/>
      <w:start w:val="1"/>
    </w:lvl>
  </w:abstractNum>
  <w:abstractNum w:abstractNumId="36">
    <w:nsid w:val="153EA438"/>
    <w:multiLevelType w:val="hybridMultilevel"/>
    <w:lvl w:ilvl="0">
      <w:lvlJc w:val="left"/>
      <w:lvlText w:val="4"/>
      <w:numFmt w:val="bullet"/>
      <w:start w:val="1"/>
    </w:lvl>
  </w:abstractNum>
  <w:abstractNum w:abstractNumId="37">
    <w:nsid w:val="3855585C"/>
    <w:multiLevelType w:val="hybridMultilevel"/>
    <w:lvl w:ilvl="0">
      <w:lvlJc w:val="left"/>
      <w:lvlText w:val="5"/>
      <w:numFmt w:val="bullet"/>
      <w:start w:val="1"/>
    </w:lvl>
  </w:abstractNum>
  <w:abstractNum w:abstractNumId="38">
    <w:nsid w:val="70A64E2A"/>
    <w:multiLevelType w:val="hybridMultilevel"/>
    <w:lvl w:ilvl="0">
      <w:lvlJc w:val="left"/>
      <w:lvlText w:val="6"/>
      <w:numFmt w:val="bullet"/>
      <w:start w:val="1"/>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lowerLetter"/>
      <w:start w:val="4"/>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3"/>
    </w:lvl>
  </w:abstractNum>
  <w:abstractNum w:abstractNumId="43">
    <w:nsid w:val="2CD89A32"/>
    <w:multiLevelType w:val="hybridMultilevel"/>
    <w:lvl w:ilvl="0">
      <w:lvlJc w:val="left"/>
      <w:lvlText w:val="(%1)"/>
      <w:numFmt w:val="lowerLetter"/>
      <w:start w:val="5"/>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2020-01-15T19:52:48Z</dcterms:created>
  <dcterms:modified xsi:type="dcterms:W3CDTF">2020-01-15T19:52:48Z</dcterms:modified>
</cp:coreProperties>
</file>