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2013</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2013.</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4,933,743 Shares and Class B Stock – 2,069,746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2012.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17,446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$658 and $626</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April 30, 2013 and July 31, 2012,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21,349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3,429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99,421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176,707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(117,161)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64,453</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$420 and $409 at April 30, 2013 and July 31, 2012,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22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$436 and $380 at April 30, 2013 and July 31 2012, respectively</w:t>
            </w: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$1,799 and $1,611 at April 30, 2013 and July 31, 2012,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180,854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22,400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57,141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87,404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88,959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7,848,310 shares at April 30, 2013</w:t>
            </w: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7,786,241 shares at July 31, 2012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2,394,487 shares at April 30, 2013</w:t>
            </w:r>
          </w:p>
        </w:tc>
        <w:tc>
          <w:tcPr>
            <w:tcW w:w="20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2,374,859 shares at July 31, 2012</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122,901</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Less Treasury Stock, at cost (2,914,567 Common and 324,741 Class B shares at</w:t>
            </w: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April 30, 2013 and 2,911,564 Common and 324,741 Class B shares at July 31, 2012)</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Nine Months Ended April</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(136,103)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13,529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122,901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129,248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4,899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5,118</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6,916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Nine Months Ended April</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10,283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Three Months Ended April</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Three Months Ended April</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3,364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113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566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7"/>
                <w:szCs w:val="17"/>
                <w:color w:val="auto"/>
              </w:rPr>
            </w:pPr>
          </w:p>
        </w:tc>
        <w:tc>
          <w:tcPr>
            <w:tcW w:w="146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4"/>
        </w:trPr>
        <w:tc>
          <w:tcPr>
            <w:tcW w:w="5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w:t>
            </w:r>
          </w:p>
        </w:tc>
      </w:tr>
      <w:tr>
        <w:trPr>
          <w:trHeight w:val="209"/>
        </w:trPr>
        <w:tc>
          <w:tcPr>
            <w:tcW w:w="566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gridSpan w:val="4"/>
          </w:tcPr>
          <w:p>
            <w:pPr>
              <w:ind w:left="80"/>
              <w:spacing w:after="0"/>
              <w:rPr>
                <w:sz w:val="20"/>
                <w:szCs w:val="20"/>
                <w:color w:val="auto"/>
              </w:rPr>
            </w:pPr>
            <w:r>
              <w:rPr>
                <w:rFonts w:ascii="Arial" w:cs="Arial" w:eastAsia="Arial" w:hAnsi="Arial"/>
                <w:sz w:val="18"/>
                <w:szCs w:val="18"/>
                <w:color w:val="auto"/>
              </w:rPr>
              <w:t>provided by operating activities: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 premium</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(Gain) Loss on the sale of 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Capacity rationalization charges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385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855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2,059</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2,481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949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20" w:type="dxa"/>
            <w:vAlign w:val="bottom"/>
          </w:tcPr>
          <w:p>
            <w:pPr>
              <w:spacing w:after="0"/>
              <w:rPr>
                <w:sz w:val="20"/>
                <w:szCs w:val="20"/>
                <w:color w:val="auto"/>
              </w:rPr>
            </w:pPr>
          </w:p>
        </w:tc>
        <w:tc>
          <w:tcPr>
            <w:tcW w:w="56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9,425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9,430</w:t>
            </w:r>
          </w:p>
        </w:tc>
      </w:tr>
      <w:tr>
        <w:trPr>
          <w:trHeight w:val="27"/>
        </w:trPr>
        <w:tc>
          <w:tcPr>
            <w:tcW w:w="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15,636</w:t>
            </w:r>
          </w:p>
        </w:tc>
      </w:t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50"/>
        </w:trPr>
        <w:tc>
          <w:tcPr>
            <w:tcW w:w="56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1700" w:type="dxa"/>
            <w:vAlign w:val="bottom"/>
            <w:tcBorders>
              <w:top w:val="single" w:sz="8" w:color="CCEEFF"/>
            </w:tcBorders>
            <w:gridSpan w:val="3"/>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(7,805)</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(5,452)</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(22,923)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(14,043)</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20,820</w:t>
            </w:r>
          </w:p>
        </w:tc>
      </w:tr>
      <w:tr>
        <w:trPr>
          <w:trHeight w:val="237"/>
        </w:trPr>
        <w:tc>
          <w:tcPr>
            <w:tcW w:w="20" w:type="dxa"/>
            <w:vAlign w:val="bottom"/>
          </w:tcPr>
          <w:p>
            <w:pPr>
              <w:spacing w:after="0"/>
              <w:rPr>
                <w:sz w:val="20"/>
                <w:szCs w:val="20"/>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1,359</w:t>
            </w:r>
          </w:p>
        </w:tc>
      </w:tr>
      <w:tr>
        <w:trPr>
          <w:trHeight w:val="27"/>
        </w:trPr>
        <w:tc>
          <w:tcPr>
            <w:tcW w:w="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03"/>
        </w:trPr>
        <w:tc>
          <w:tcPr>
            <w:tcW w:w="566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(4,630)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20" w:type="dxa"/>
            <w:vAlign w:val="bottom"/>
          </w:tcPr>
          <w:p>
            <w:pPr>
              <w:spacing w:after="0"/>
              <w:rPr>
                <w:sz w:val="21"/>
                <w:szCs w:val="21"/>
                <w:color w:val="auto"/>
              </w:rPr>
            </w:pP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6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50"/>
        </w:trPr>
        <w:tc>
          <w:tcPr>
            <w:tcW w:w="5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5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w:t>
            </w:r>
          </w:p>
        </w:tc>
      </w:tr>
      <w:tr>
        <w:trPr>
          <w:trHeight w:val="243"/>
        </w:trPr>
        <w:tc>
          <w:tcPr>
            <w:tcW w:w="566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27,093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17,885</w:t>
            </w:r>
          </w:p>
        </w:tc>
      </w:tr>
      <w:tr>
        <w:trPr>
          <w:trHeight w:val="27"/>
        </w:trPr>
        <w:tc>
          <w:tcPr>
            <w:tcW w:w="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25,649</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80"/>
          </w:cols>
          <w:pgMar w:left="240" w:top="580" w:right="1379" w:bottom="921"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80"/>
          </w:cols>
          <w:pgMar w:left="240" w:top="580" w:right="1379" w:bottom="92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2012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nine months ended April 30, 2013 are not necessarily an indication of the results that may be expected for the fiscal year ending July 31, 2013. Certain minor reclassifications have been made to the prior year data to conform to the current year presentation, which had no effect on net earnings or equity reported for any period.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upon shipment that sets the fixed and determinable price. Trade promotion reserves are provided for sales incentives made directly to consumers, such as coupons, and made to customers, such slotting, discounts based on sales volume, cooperative marketing arrangements and other arrangements. Such trade promotion costs are netted against sales. Sales returns and allowances are not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The pre-production overburden removal costs associated with opening a new mine are deferred as prepaid expense and amortized.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pit, it is hauled to previously mined pits and used to refill older sites. This process allows us to continuously reclaim older pits and dispose of overburden simultaneously, thereby minimizing our liability for future reclamation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CAPACITY RATIONALIZATION CHARGES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approximately $8,000 of expense during the third quarter of fiscal 2013 and $70,000 of expense during the first nine months of fiscal 2013 (both amounts are net of an adjustment to reduce the reserve estimate) related to the relocation of production of our industrial floor absorbent and cat litter products from our facility located in Mounds, Illinois, to our plants located in Mississippi, which we announced in fiscal 2012. These costs are shown as “Capacity Rationalization Charges” on the condensed Consolidated Statements of Income and Retained Earnings. Allocation of these expenses between operating segments is impracticable due to the shared nature of our production facilities. No additional material expense is expected to be incurred related to the capacity rationalization.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is a rollforward of the reserve included in Other Accrued Expenses on the condensed Consolidated Balance Sheets as of April 30, 2013 (in thousands).</w:t>
      </w:r>
    </w:p>
    <w:p>
      <w:pPr>
        <w:spacing w:after="0" w:line="112"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Severance and other employee</w:t>
            </w:r>
          </w:p>
        </w:tc>
      </w:tr>
      <w:tr>
        <w:trPr>
          <w:trHeight w:val="234"/>
        </w:trPr>
        <w:tc>
          <w:tcPr>
            <w:tcW w:w="4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b w:val="1"/>
                <w:bCs w:val="1"/>
                <w:color w:val="auto"/>
              </w:rPr>
              <w:t>related costs</w:t>
            </w:r>
          </w:p>
        </w:tc>
      </w:tr>
      <w:tr>
        <w:trPr>
          <w:trHeight w:val="27"/>
        </w:trPr>
        <w:tc>
          <w:tcPr>
            <w:tcW w:w="4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balance at July 31, 2012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Charges against reserve</w:t>
            </w:r>
          </w:p>
        </w:tc>
        <w:tc>
          <w:tcPr>
            <w:tcW w:w="4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4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adjustment</w:t>
            </w:r>
          </w:p>
        </w:tc>
        <w:tc>
          <w:tcPr>
            <w:tcW w:w="4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Reserve balance at April 30, 2013</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2013, the Financial Accounting Standard Board (“FASB”) issued guidance under Accounting Standard Codification (“ASC”) 220, </w:t>
      </w:r>
      <w:r>
        <w:rPr>
          <w:rFonts w:ascii="Arial" w:cs="Arial" w:eastAsia="Arial" w:hAnsi="Arial"/>
          <w:sz w:val="18"/>
          <w:szCs w:val="18"/>
          <w:i w:val="1"/>
          <w:iCs w:val="1"/>
          <w:color w:val="auto"/>
        </w:rPr>
        <w:t>Comprehensive Income-Reporting of Amounts Reclassified Out of Accumulated Other Comprehensive Income</w:t>
      </w:r>
      <w:r>
        <w:rPr>
          <w:rFonts w:ascii="Arial" w:cs="Arial" w:eastAsia="Arial" w:hAnsi="Arial"/>
          <w:sz w:val="18"/>
          <w:szCs w:val="18"/>
          <w:color w:val="auto"/>
        </w:rPr>
        <w:t>, that requires presentation by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line items of net income, either on the face of the statement where net income is presented or in the notes, information about significant amounts required under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Quarterly Report on Form 10-Q for the quarter ending October 31, 2013 and will not have a significant impact on our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will consider the option provided in this guidance for our annual indefinite-lived asset impairment testing for our fiscal year 2014 beginning August 1,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r>
      <w:tr>
        <w:trPr>
          <w:trHeight w:val="237"/>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21,349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19,673</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issues and new market trends are considered. The allowance not only considers specific items, but also takes into consideration the overall value of the inventory as of the balance sheet date. The inventory obsolescence reserve values at April 30, 2013 and July 31, 2012 were $434,000 and $281,000,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Fair Value at April 30, 2013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3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April 30, 2013. The cash surrender value of life insurance is included in other assets on the condensed Consolidated Balance Sheets.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in short-term securities on the condensed Consolidated Balance Sheets includes U.S. Treasury securities, certificates of deposit and debt securities. We have the ability to hold our investment in short-term securities to maturity and intend to do so; therefore, these investments were reported at amortized cost on the condensed Consolidated Balance Sheets, which approximated fair value as of April 30, 2013. These balances are excluded from the above table.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 their fair values at April 30, 2013 due to the short maturity and nature of those balances; therefore, these balances are excluded from the above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notes payable approximated their fair values at April 30, 2013 and are excluded from the above table. The estimated fair value of notes payable, including current maturities, was $27,400,000 as of April 30, 2013. Our debt does not trade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on a daily basis in an active market, therefore the fair value estimate is based on market observable borrowing rates currently available for debt with similar terms and average maturities and is classified as Level 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PENSION PLAN</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6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r>
      <w:tr>
        <w:trPr>
          <w:trHeight w:val="218"/>
        </w:trPr>
        <w:tc>
          <w:tcPr>
            <w:tcW w:w="664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5"/>
              </w:rPr>
              <w:t>April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5"/>
              </w:rPr>
              <w:t>April 30,</w:t>
            </w:r>
          </w:p>
        </w:tc>
        <w:tc>
          <w:tcPr>
            <w:tcW w:w="7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1,313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1,345</w:t>
            </w:r>
          </w:p>
        </w:tc>
      </w:tr>
      <w:tr>
        <w:trPr>
          <w:trHeight w:val="325"/>
        </w:trPr>
        <w:tc>
          <w:tcPr>
            <w:tcW w:w="6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60" w:type="dxa"/>
            <w:vAlign w:val="bottom"/>
            <w:gridSpan w:val="9"/>
          </w:tcPr>
          <w:p>
            <w:pPr>
              <w:jc w:val="center"/>
              <w:ind w:left="430"/>
              <w:spacing w:after="0"/>
              <w:rPr>
                <w:sz w:val="20"/>
                <w:szCs w:val="20"/>
                <w:color w:val="auto"/>
              </w:rPr>
            </w:pPr>
            <w:r>
              <w:rPr>
                <w:rFonts w:ascii="Arial" w:cs="Arial" w:eastAsia="Arial" w:hAnsi="Arial"/>
                <w:sz w:val="18"/>
                <w:szCs w:val="18"/>
                <w:b w:val="1"/>
                <w:bCs w:val="1"/>
                <w:color w:val="auto"/>
              </w:rPr>
              <w:t>POSTRETIREMENT HEALTH PLAN</w:t>
            </w:r>
          </w:p>
        </w:tc>
        <w:tc>
          <w:tcPr>
            <w:tcW w:w="760" w:type="dxa"/>
            <w:vAlign w:val="bottom"/>
          </w:tcPr>
          <w:p>
            <w:pPr>
              <w:spacing w:after="0"/>
              <w:rPr>
                <w:sz w:val="21"/>
                <w:szCs w:val="21"/>
                <w:color w:val="auto"/>
              </w:rPr>
            </w:pPr>
          </w:p>
        </w:tc>
      </w:tr>
      <w:tr>
        <w:trPr>
          <w:trHeight w:val="270"/>
        </w:trPr>
        <w:tc>
          <w:tcPr>
            <w:tcW w:w="6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r>
      <w:tr>
        <w:trPr>
          <w:trHeight w:val="218"/>
        </w:trPr>
        <w:tc>
          <w:tcPr>
            <w:tcW w:w="664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5"/>
              </w:rPr>
              <w:t>April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5"/>
              </w:rPr>
              <w:t>April 30,</w:t>
            </w:r>
          </w:p>
        </w:tc>
        <w:tc>
          <w:tcPr>
            <w:tcW w:w="7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covering postretirement health benefits is an unfunded plan. We have funded the pension plan based upon actuarially determined contributions that take into account the normal cost and the minimum and maximum contribution requirements of various regulations. We contributed $588,000 and $1,014,000 to our pension plan during the three and nine months ended April 30, 2013, respectively. We intend to make contributions to the pension plan approximately equal to the annual actuarial determined cost. We estimate contributions will be $195,000 for the remainder of fiscal 2013. See Item 3. "Quantitative and Qualitative Disclosures About Market Risk" for a discussion of the potential impact of financial market fluctuations on pension plan assets and future funding contributions.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0"/>
        </w:trPr>
        <w:tc>
          <w:tcPr>
            <w:tcW w:w="5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20" w:type="dxa"/>
            <w:vAlign w:val="bottom"/>
          </w:tcPr>
          <w:p>
            <w:pPr>
              <w:spacing w:after="0"/>
              <w:rPr>
                <w:sz w:val="20"/>
                <w:szCs w:val="20"/>
                <w:color w:val="auto"/>
              </w:rPr>
            </w:pPr>
          </w:p>
        </w:tc>
        <w:tc>
          <w:tcPr>
            <w:tcW w:w="2840" w:type="dxa"/>
            <w:vAlign w:val="bottom"/>
            <w:gridSpan w:val="4"/>
          </w:tcPr>
          <w:p>
            <w:pPr>
              <w:ind w:left="720"/>
              <w:spacing w:after="0"/>
              <w:rPr>
                <w:sz w:val="20"/>
                <w:szCs w:val="20"/>
                <w:color w:val="auto"/>
              </w:rPr>
            </w:pPr>
            <w:r>
              <w:rPr>
                <w:rFonts w:ascii="Arial" w:cs="Arial" w:eastAsia="Arial" w:hAnsi="Arial"/>
                <w:sz w:val="18"/>
                <w:szCs w:val="18"/>
                <w:b w:val="1"/>
                <w:bCs w:val="1"/>
                <w:color w:val="auto"/>
              </w:rPr>
              <w:t>PENSION PLAN</w:t>
            </w:r>
          </w:p>
        </w:tc>
        <w:tc>
          <w:tcPr>
            <w:tcW w:w="27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HEALTH PLAN</w:t>
            </w:r>
          </w:p>
        </w:tc>
      </w:tr>
      <w:tr>
        <w:trPr>
          <w:trHeight w:val="27"/>
        </w:trPr>
        <w:tc>
          <w:tcPr>
            <w:tcW w:w="5820" w:type="dxa"/>
            <w:vAlign w:val="bottom"/>
          </w:tcPr>
          <w:p>
            <w:pPr>
              <w:spacing w:after="0"/>
              <w:rPr>
                <w:sz w:val="2"/>
                <w:szCs w:val="2"/>
                <w:color w:val="auto"/>
              </w:rPr>
            </w:pPr>
          </w:p>
        </w:tc>
        <w:tc>
          <w:tcPr>
            <w:tcW w:w="472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4720" w:type="dxa"/>
            <w:vAlign w:val="bottom"/>
            <w:gridSpan w:val="7"/>
          </w:tcPr>
          <w:p>
            <w:pPr>
              <w:ind w:left="960"/>
              <w:spacing w:after="0"/>
              <w:rPr>
                <w:sz w:val="20"/>
                <w:szCs w:val="20"/>
                <w:color w:val="auto"/>
              </w:rPr>
            </w:pPr>
            <w:r>
              <w:rPr>
                <w:rFonts w:ascii="Arial" w:cs="Arial" w:eastAsia="Arial" w:hAnsi="Arial"/>
                <w:sz w:val="18"/>
                <w:szCs w:val="18"/>
                <w:b w:val="1"/>
                <w:bCs w:val="1"/>
                <w:color w:val="auto"/>
                <w:w w:val="93"/>
              </w:rPr>
              <w:t>For the Three and Nine Months Ended April 30,</w:t>
            </w:r>
          </w:p>
        </w:tc>
        <w:tc>
          <w:tcPr>
            <w:tcW w:w="88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5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8.0%. The graded trend rate is expected to decrease to an ultimate rate of 5.0%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most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2013</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2012</w:t>
            </w:r>
          </w:p>
        </w:tc>
      </w:tr>
      <w:tr>
        <w:trPr>
          <w:trHeight w:val="27"/>
        </w:trPr>
        <w:tc>
          <w:tcPr>
            <w:tcW w:w="8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79,658</w:t>
            </w:r>
          </w:p>
        </w:tc>
      </w:tr>
      <w:tr>
        <w:trPr>
          <w:trHeight w:val="27"/>
        </w:trPr>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50,359</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180,854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r>
      <w:tr>
        <w:trPr>
          <w:trHeight w:val="20"/>
        </w:trPr>
        <w:tc>
          <w:tcPr>
            <w:tcW w:w="8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80" w:type="dxa"/>
            <w:vAlign w:val="bottom"/>
            <w:gridSpan w:val="8"/>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50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Income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68,022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118,669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115,398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2"/>
              </w:rPr>
              <w:t>186,691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(13,610)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9,849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0" w:type="dxa"/>
            <w:vAlign w:val="bottom"/>
            <w:vMerge w:val="restart"/>
          </w:tcPr>
          <w:p>
            <w:pPr>
              <w:jc w:val="right"/>
              <w:ind w:right="75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9"/>
          </w:tcPr>
          <w:p>
            <w:pPr>
              <w:jc w:val="right"/>
              <w:spacing w:after="0"/>
              <w:rPr>
                <w:sz w:val="20"/>
                <w:szCs w:val="20"/>
                <w:color w:val="auto"/>
              </w:rPr>
            </w:pPr>
            <w:r>
              <w:rPr>
                <w:rFonts w:ascii="Arial" w:cs="Arial" w:eastAsia="Arial" w:hAnsi="Arial"/>
                <w:sz w:val="18"/>
                <w:szCs w:val="18"/>
                <w:b w:val="1"/>
                <w:bCs w:val="1"/>
                <w:color w:val="auto"/>
                <w:w w:val="93"/>
              </w:rPr>
              <w:t>For the Three Months Ended April 30,</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ind w:left="4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24,525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21,930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7,957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7,051</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64,152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There are no shares available for future grants under this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Stock options have been granted to our directors with a one year vesting period. There are no shares available for future grants under this plan. All shares of stock issued under the Directors' Plan were from treasury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6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w w:val="94"/>
              </w:rPr>
              <w:t>A summary of stock option transactions as of April 30, 2013 is shown below:</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4"/>
        </w:trPr>
        <w:tc>
          <w:tcPr>
            <w:tcW w:w="5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4"/>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7"/>
        </w:trPr>
        <w:tc>
          <w:tcPr>
            <w:tcW w:w="5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July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5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April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color w:val="auto"/>
              </w:rPr>
              <w:t>Options exercisable, April 30, 2013</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cash received from the exercise of stock options during the third quarter of fiscal 2013 was $34,000 and the related tax benefit was $16,000. The amount of cash received from the exercise of stock options during the third quarter of fiscal 2012 was $71,000 and the related tax benefit was $24,000. The amount of cash received from the exercise of stock options during the first nine months of fiscal 2013 was $686,000 and the related tax benefit was $284,000. The amount of cash received from the exercise of stock options during the first nine months of fiscal 2012 was $192,000 and the related tax benefit was $89,000.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nine months of fiscal 2013 or 2012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April 30, 2013 was issued under the 2006 Plan with vesting periods between two years and five years.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2006 Plan, 13,000 restricted shares of Common Stock were granted in the third quarter of fiscal 2013. In the third quarter of fiscal 2012, 18,000 restricted shares of Common Stock and 2,000 restricted shares of Class B stock were granted.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our stock-based compensation expense in the third quarter of fiscal years 2013 and 2012 was $203,000 and $179,000, respectively, related to non-vested restricted stock. In the first nine months of fiscal years 2013 and 2012, the expense related to the unvested restricted stock was $616,000 and $513,000,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A summary of restricted stock transactions under the plan is shown below:</w:t>
            </w:r>
          </w:p>
        </w:tc>
        <w:tc>
          <w:tcPr>
            <w:tcW w:w="2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w w:val="97"/>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Date Fair Value</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2012</w:t>
            </w:r>
          </w:p>
        </w:tc>
        <w:tc>
          <w:tcPr>
            <w:tcW w:w="4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Vested</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2013</w:t>
            </w:r>
          </w:p>
        </w:tc>
        <w:tc>
          <w:tcPr>
            <w:tcW w:w="4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rPr>
              <w:t>16</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cat litter, industrial and automotive floor absorbents, fluids purification and filtration bleaching clays, agricultural and horticultural chemical carriers, animal health and nutrition products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nine months ended April 30, 2013 were $186,691,000, an increase of 4% from net sales of $179,565,000 for the nine months ended April 30, 2012. Consolidated net income for the first nine months of fiscal 2013 was $9,849,000 compared to $6,206,000 in the first nine months of fiscal 2012. Diluted net income per share was $1.40 for the first nine months of fiscal 2013 compared to $0.86 for the first nine months of fiscal 2012.</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for the first nine months of fiscal 2013 improved due to strong growth in our Business to Business Products Group, lower trade spending (trade spending, which includes coupons, slotting, and cooperative marketing programs, reduces net sales), increased selling prices and a favorable product mix, defined as a greater proportion of sales from higher priced products. Consolidated net income for the first nine months of fiscal 2013 was positively impacted by the higher sales, lower advertising and promotion costs and lower cost of fuel used in our manufacturing processes, but was negatively impacted by higher non-fuel manufacturing and freight costs. Operating income improved for both the Retail and Wholesale Products Group and the Business to Business Products Group compared to the first nine months of fiscal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nine months of fiscal 2013 were $68,022,000, an increase of $3,855,000, or 6%, from net sales of $64,167,000 in the first nine months of fiscal 2012. Net sales of animal health and nutrition products increased approximately 30% due primarily to 16% more tons sold and a favorable product mix. Sales of our enterosorbent and other animal health products improved in foreign markets, including sales to several new customers. Net sales of fluid purification products grew approximately 8% due to 9% more tons sold, primarily to edible oil, petroleum oil and biodiesel processors. These increased sales were partially offset by lower sales to overseas recycled motor oil customers. Our co-packaged traditional coarse cat litter net sales improved 5% due to a 2% increase in tons sold and a higher selling price. Net sales of agricultural products decreased approximately 7% due to 11% fewer tons sold. Sales declined for products used in horticultural applications, while sales increased for products used for agricultural chemical carriers sold to corn rootworm pesticide producers and for products used for other agricultural purposes. Sales of our engineered granule products also declined in the agricultural markets.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to Business Products Group’s operating income for the first nine months of fiscal 2013 was $22,581,000, an increase of $1,663,000, or 8%, from operating income of $20,918,000 in the first nine months of fiscal 2012. Operating income was positively impacted by the increased sales described above, by approximately 3% lower per ton packaging costs and by the reduced cost of natural gas used to operate kilns that dry our clay. The Group's operating income was negatively impacted by approximately 2% higher freight costs per ton due to increased export business and other cost increases in the freight industry which we expect to continue. In addition, material costs per ton were approximately 5% higher. Certain products in the Business to Business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Group received higher fixed manufacturing cost allocations subsequent to the relocation of production between our plants, as discussed in Note 2 of the condensed consolidated financial statements. See further discussion of manufacturing costs under “Consolidated Results” below.</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increased 3% compared to the first nine months of fiscal 2012 due primarily to costs incurred to increase sales of our animal health and nutrition products in foreign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of the Retail and Wholesale Products Group for the first nine months of fiscal 2013 were $118,669,000, an increase of $3,271,000, or 3%, from net sales of $115,398,000 for the first nine months of fiscal 2012. Net sales increased for our cat litter products and for our foreign subsidiaries, but decreased for our industrial absorbent products. Net sales for our foreign subsidiaries are described under “Foreign Operations” below. Overall cat litter net sales increased approximately 5% due to lower trade spending (trade spending reduces net sales) and higher selling prices. These positive factors outweighed an approximate 4% decrease in tons sold. Branded cat litter net sales increased approximately 8% due primarily to higher sales of our Cat's Pride Fresh &amp; Light scoopable products and lower trade spending. Net sales of private label cat litter were comparable to the first nine months of fiscal 2012 due to higher selling prices which offset a 5% decrease in tons sold. Industrial absorbents net sales were down approximately 3% due to an 8% decline in tons sold.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Retail and Wholesale Products Group's operating income for the first nine months of fiscal 2013 was $9,424,000, an increase of $7,145,000 from operating income of $2,279,000 for the first nine months of fiscal 2012. The Group's operating income was positively impacted by the higher sales described above, lower selling, general and administrative expenses, as discussed below, the reduced cost of natural gas used to operate kilns that dry our clay and lower packaging costs. The Group's operating income was negatively impacted by approximately 14% higher freight costs per ton due to more shipments to customers in regions with higher freight costs and cost increases in the freight industry which we expect to continue. In addition, material costs per ton were 3% higher compared to the prior year due to the mix of products produced that required purchased additives, fragrances and other materials; however, certain products in the Retail and Wholesale Products Group received lower fixed manufacturing cost allocations subsequent to the relocation of production between plants, as discussed in Note 2 of the condensed consolidated financial statements. See further discussion of manufacturing costs under “Consolidated Results” below.</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decreased 11% compared to the first nine months of fiscal 2012 due to approximately $1,550,000 lower advertising and promotion expenditures, which were primarily for our Cat's Pride and other branded cat litter products. We expect to increase advertising and promotional expenditures over the remainder of fiscal 2013; however, total advertising and promotional spending is anticipated to be less than in fiscal 2012, but will remain higher than historical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gross profit as a percentage of net sales for the first nine months of fiscal 2013 was 27%, which was higher than the 24% reported for the first nine months of fiscal 2012. Gross profit improved due to higher sales and lower costs for packaging, as discussed above, accompanied by an 8% reduction in the cost of natural gas used to operate kilns that dry our clay. Gross profit was negatively impacted by higher freight costs, as discussed above, and increased material costs. Material costs include a 2% increase in non-fuel manufacturing cost per ton produced, which was driven primarily by the mix of products produced that required purchased additives, fragrances and other materials.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as a percentage of net sales for the first nine months of fiscal 2013 were 19%, the same as for the first nine months of fiscal 2012. The discussions of the segments' operating income above describe the change in the selling, general and administrative expenses that were allocated to the operating segments. The remaining unallocated corporate expenses in the first nine months of fiscal 2013 included a higher estimated annual incentive plan bonus accrual. The incentive bonus expense was based on performance targets that are established for the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$183,000 lower for the first nine months of fiscal 2013 compared to the same period in fiscal 2012 due to a reduction of notes payable.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was 27% of pre-tax income in the first nine months of fiscal 2013, the same rate as the full year of fiscal 2012. The effective tax rate for fiscal 2013 was estimated based on the projected composition and estimated level of our taxable income for the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sales for the three months ended April 30, 2013 were $64,152,000, an increase of 7% from net sales of $59,780,000 for the three months ended April 30, 2012. Consolidated net income for the third quarter of fiscal 2013 was $3,251,000 compared to $1,892,000 for the third quarter of fiscal 2012. Diluted net income per share was $0.46 for the third quarter of fiscal 2013 compared to $0.26 for the third quarter of fiscal 2012.</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sales for the third quarter of fiscal 2013 improved due to strong growth in our Business to Business Products Group, lower trade spending and increased selling prices. Consolidated net income for the third quarter of fiscal 2013 increased due to lower advertising and promotion expense, which was partially offset by the higher costs for fuel used in our manufacturing processes and freight, as well as increased non-fuel manufacturing costs. Operating income improved for both the Retail and Wholesale Products Group and the Business to Business Products Group compared to the third quarter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the Business to Business Products Group for the third quarter of fiscal 2013 were $24,525,000, an increase of $2,595,000, or 12%, from net sales of $21,930,000 for the third quarter of fiscal 2012. Net sales of animal health and nutrition products increased approximately 52% due primarily to 35% more tons sold and a favorable product mix. Sales of our enterosorbent and other animal health products improved in foreign markets, including sales to several new customers. Net sales of fluid purification products were approximately 18% higher due primarily to 14% more tons sold. This increase was driven primarily by sales to edible oil and petroleum oil processors. These higher sales were partially offset by lower sales to overseas recycled motor oil customers. Our co-packaged traditional coarse cat litter net sales were comparable to the third quarter of the prior year. Net sales of agricultural products decreased approximately 4% driven by 8% fewer tons sold. Sales declines for products used in horticultural applications and for our engineered granule products used in the horticultural markets were partially offset by increased sales of products used for agricultural chemical carriers sold to corn rootworm pesticide producers.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to Business Products Group’s operating income for the third quarter of fiscal 2013 was $7,957,000, an increase of $906,000, or 13%, from operating income of $7,051,000 in the third quarter of fiscal 2012. Operating income was positively impacted by the increase in sales described above and by approximately 8% lower packaging costs per ton due to changes in packaging processes and the mix of products manufactured. Operating income was negatively impacted by approximately 11% higher material costs per ton. Material costs were higher due to the increased cost of natural gas used to operate kilns that dry our clay and higher fixed manufacturing cost allocations received by certain products subsequent to the relocation of production between our plants, as discussed in Note 2 of the condensed consolidated financial statements. See further discussion of manufacturing costs under “Consolidated Results” below. In addition, freight costs per ton increased approximately 12% due to increased export business and cost increases in the freight industry which we expect to continue.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increased 9% compared to the third quarter of fiscal 2012 due primarily to costs incurred to increase sales of our animal health and nutrition products in foreign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the Retail and Wholesale Products Group for the third quarter of fiscal 2013 were $39,627,000, an increase of $1,777,000, or 5%, from net sales of $37,850,000 for the third quarter of fiscal 2012. Net sales increased for our cat litter products, but decreased for our foreign subsidiaries. Our foreign subsidiaries are discussed under “Foreign Operations” below. Overall cat litter net sales increased approximately 8% due to lower trade spending (trade spending reduces net sales) and increased selling prices, which outweighed an approximate 5% decrease in tons sold. Branded cat litter net sales increased approximately 19% due primarily to higher sales of our Cat's Pride Fresh &amp; Light scoopable products and lower trade spending. Net sales of private label cat litter decreased approximately 4% due to lower tons sold. Industrial absorbents net sales were comparable with the third quarter of fiscal 2012.</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Retail and Wholesale Products Group's operating income for the third quarter of fiscal 2013 was $2,964,000, an increase of $2,524,000 from operating income of $440,000 for the third quarter of fiscal 2012. The Group's operating income was positively impacted by the higher sales described above and by lower selling, general and administrative expenses, as discussed below. The Group's operating income was negatively impacted by higher costs for freight, materials, packaging and natural gas used to operate kilns that dry our clay. Freight costs increased approximately 13% due to more shipments to customers in regions with higher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freight costs and cost increases in the freight industry which we expect to continue. Material costs per ton were 10% higher compared to the prior year due to the mix of products produced that required purchased additives, fragrances and other materials; however, certain products in the Retail and Wholesale Products Group received lower fixed manufacturing cost allocations subsequent to the relocation of production between plants, as discussed in Note 2 of the condensed consolidated financial statements. See further discussion of manufacturing costs under “Consolidated Results” below. Packaging costs increased approximately 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decreased 21% compared to the third quarter of fiscal 2012 due to approximately $1,300,000 lower advertising and promotion expenditures, which were primarily for our Cat's Pride and other branded cat litter products. We expect to increase advertising and promotional expenditures over the remainder of fiscal 2013; however, total advertising and promotional spending is anticipated to be less than in fiscal 2012, but will remain higher than historical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gross profit as a percentage of net sales for the third quarter of fiscal 2013 was 26%, which was higher than the 25% reported for the third quarter of fiscal 2012. Gross profit improved due primarily to the higher sales, as discussed above. Gross profit was reduced by higher freight costs, as discussed above, increased material costs and a 16% increase in the cost of natural gas used to operate kilns that dry our clay. The increase in material costs included a 5% increase in non-fuel manufacturing cost per ton produced, which was driven primarily by the mix of products produced that required purchased additives, fragrances and other materials.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third quarter of fiscal 2013 were 19%, compared to 20% for the third quarter of fiscal 2012. The discussions of the segments' operating income above describe the change in the selling, general and administrative expenses that were allocated to the operating segments, including lower advertising costs in the Retail and Wholesale Products Group. The remaining unallocated corporate expenses in the third quarter of fiscal 2013 included a higher estimated annual incentive plan bonus accrual. The incentive bonus expense was based on performance targets that are established for the fiscal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$82,000 lower for the third quarter of fiscal 2013 compared to the same period in fiscal 2012 due to a reduction of notes payable and lower interest earned on deferred compensation balances.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was 27% of pre-tax income in the third quarter of fiscal 2013, the same as for the full year of fiscal 2012. The tax rate for fiscal 2013 was estimated based on the projected composition and estimated level of our taxable income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by our foreign subsidiaries during the first nine months of fiscal 2013 were $8,875,000, a 5% increase compared to net sales of $8,487,000 during the first nine months of fiscal 2012. Net sales increased for our United Kingdom subsidiary due to 12% more tons sold for industrial and technical products. Our Canadian subsidiary's net sales declined for branded and private label cat litters and for industrial absorbent products. Net sales by our foreign subsidiaries represented 5% of consolidated net sales during the first nine months of both fiscal 2013 and 2012.</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a net loss of $319,000 for the first nine months of fiscal 2013 compared to a net loss of $351,000 for the first nine months of fiscal 2012. The benefits of increased sales and a reduction in selling, general and administrative costs were partially offset by higher cost of goods sold, including fixed costs that continued to be incurred despite lower volume.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Identifiable assets of our foreign subsidiaries as of April 30, 2013 were $8,474,000 compared to $9,157,000 as of April 30, 2012. The decrease is due primarily to lower cash and cash equivalents, net fixed assets and accounts receivable, which were partially offset by increased inventories.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by our foreign subsidiaries during the third quarter of fiscal 2013 were $2,722,000, a 4% decrease compared to net sales of $2,832,000 during the third quarter of fiscal 2012. The net sales decrease was attributed to 16% fewer tons sold by our Canadian subsidiary and weaker average exchange rates for both the Canadian Dollar and the British Pound relative to the U.S. Dollar. Our Canadian subsidiary's net sales decline was driven by lower sales of private label cat litters, which was partially offset by increased sales at our United Kingdom subsidiary. Net sales by our foreign subsidiaries represented 4% of our consolidated net sales during the third quarter of fiscal 2013 compared to 5% for the same period of fiscal 2012.</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foreign subsidiaries reported a net loss of $173,000 for the third quarter of fiscal 2013 compared to a net loss of $35,000 for the third quarter of fiscal 2012. The increase in net loss was due primarily to lower sales and higher cost of good sold,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fixed costs that continued to be incurred despite lower volume, which outweighed a reduction in selling, general and administrative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repurchasing Common Stock, paying dividends and, from time to time, making acquisitions. During the first nine months of fiscal 2013,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$4,444,000 during the first nine months of fiscal 2013 to $22,649,000 at April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1,359</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fiscal years 2013 and 2012, the primary components of operating cash flows were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$441,000 in the first nine months of fiscal 2013 compared to an increase of $1,278,000 in the first nine months of fiscal 2012. The change in both periods is due to the level and timing of sales and collections and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$1,676,000 in the first nine months of fiscal 2013 compared to an increase of $159,000 in the same period in fiscal 2012. Finished goods inventory was up due to more in-transit shipments as of April 30, 2013. Packaging and additives inventories increased in the first nine months of fiscal 2013 due to higher costs and the mix of products in inventory. Finished goods inventories increased slightly in the first nine months of fiscal 2012 due to higher costs and to meet higher sales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decreased $855,000 in the first nine months of fiscal 2013 compared to a decrease of $2,059,000 in the first nine months of fiscal 2012. During the first nine months of fiscal 2013, a decrease in prepaid income taxes exceeded an increase in prepaid insurance. During the first nine months of fiscal 2012, a decrease in deferred advertising costs and prepaid income taxes outweighed an increase in prepaid insurance and prepaid repairs expense. Prepaid insurance increased in both periods due the timing of insurance premium payments.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assets increased $216,000 in the first nine months of fiscal 2013 compared to an increase of $409,000 in the first nine months of fiscal 2012. The change in other assets for both periods included the effect of currency exchange rate fluctuations on non-cash assets held by our foreign subsidiaries. The change in the relative value of the U.S. Dollar to both the British Pound and the Canadian Dollar resulted in a greater increase in other assets in the first nine months of fiscal 2012 compared to the same period in fiscal 2013.</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Accounts payable increased $357,000 in the first nine months of fiscal 2013 compared to an increase of $324,000 in the first nine months of fiscal 2012. Trade payables in both periods varied due to timing of payments, cost fluctuations for goods and services we purchased and production volume levels.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Accrued expenses increased $2,481,000 in the first nine months of fiscal 2013 compared to an increase of $321,000 in the first nine months of fiscal 2012. Accrued salaries included the bonus accrual, which in the first nine months of both fiscal 2013 and 2012 decreased by the payout of the prior fiscal year's bonus accrual and increased by the current fiscal year's first nine months' bonus accrual. The bonus accrued in the first nine months of fiscal 2013 was greater than the bonus accrued in the first nine months of fiscal 2012. Accrued trade promotions and advertising in the first nine months of both fiscal 2013 and 2012 varied due to marketing programs primarily for our Cat's Pride cat litter. Accrued trade promotions decreased in the first nine months of fiscal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2013 and increased in the first nine months of fiscal 2012. Accrued freight changed in both years due to the timing of payments and shipments at quarter-end. Similar to accounts payable, accrued plant expenses fluctuated due to timing of payments, cost fluctuations for goods and services we purchased and our production levels. Accrued plant expenses increased in the first nine months of both fiscal 2013 and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increased $333,000 in the first nine months of fiscal 2013 compared to an increase of $248,000 in the first nine months of fiscal 2012. Deferred compensation balances in both periods were reduced by scheduled payouts and were increased by employee deferrals and interest earned on accumulated deferred compensation balances.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and other postretirement liabilities increased $949,000 in the first nine months of fiscal 2013 compared to an increase of $359,000 in the first nine months of fiscal 2012. A lower required discount rate for both periods resulted in a higher actuarially determined liability, which was partially offset by total contributions of $1,014,000 and $1,068,000 made during the first nine months of fiscal 2013 and 2012, respectively. See Note 6 of the notes to the condensed consolidated financial statements for further discussion of our postretirement benefit obligations.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liabilities decreased $20,000 in the first nine months of fiscal 2013 compared to an increase of $121,000 in the first nine months of fiscal 2012. The change in other liabilities included the effect of currency exchange rate fluctuations on the liabilities of our foreign subsidiaries. The change in the relative value of the U.S. Dollar to both the British Pound and the Canadian Dollar resulted in a greater increase in other liabilities in the first nine months of fiscal 2012 compared to the same period of fiscal 2013. Other liabilities also includes our reclamation liability, which did not change in the first nine months of fiscal 2013 but increased in the same period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investing activities was $16,021,000 in the first nine months of fiscal 2013 compared to net cash provided by investing activities of $1,359,000 in the first nine months of fiscal 2012. Purchases of investment securities exceeded dispositions by $8,278,000 and dispositions exceeded purchases by $6,777,000 in the first nine months of fiscal 2013 and 2012, respectively. Purchases and dispositions of investment securities in both periods are subject to variations in the timing of investment maturities. Cash used for capital expenditures of $7,805,000 in the first nine months of fiscal 2013 was primarily for replacement of machinery at our manufacturing facilities. Cash used for capital expenditures of $5,452,000 for the same period in fiscal 2012 included a new storage facility and replacement of machinery at our manufacturing locations.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financing activities was $7,709,000 in the first nine months of fiscal 2013 compared to cash used in financing activities of $9,228,000 in the first nine months of fiscal 2012. Dividend payments in the first nine months of fiscal 2013 of $4,630,000 were higher than the $3,395,000 paid during the same period of fiscal 2012. On December 4, 2012 our Board of Directors declared accelerated cash dividends of $0.36 per share of Common Stock and $0.27 per share of Class B Stock, which reflected dividends for the third and fourth quarters of fiscal 2013. These dividends were payable on December 28, 2012. This was not a special dividend payment nor an increase, but rather an acceleration of the quarterly dividends that would be paid normally over the course of fiscal 2013. The Board of Directors will consider the next regularly scheduled dividend payment at its June 2013 meeting.</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to purchase treasury stock in the first nine months of fiscal 2013 was $175,000 compared to $2,481,000 in the first nine months of fiscal 2012. Proceeds from issuance of Common Stock and treasury stock in connection with stock option exercises were $686,000 and $192,000 in the first nine months of fiscal 2013 and 2012,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$1,567,000 at April 30, 2013 were lower than the April 30, 2012 balances of $2,152,000 due to continuing operating losses as discussed in “Foreign Operations”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$15,000,000 unsecured revolving credit agreement with BMO Harris Bank N.A. (“BMO Harris”) which will expire on December 31, 2014.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April 30, 2013, the variable rates would have been 3.25% for BMO Harris’ prime-based rate or 1.97%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consolidated net worth. We did not borrow under the credit agreement during the nine months ended April 30, 2013 and 2012 and we were in compliance with its covenants.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2013, we had remaining authority to repurchase 312,197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and current cash and investment balances will provide adequate cash funds for foreseeable working capital needs, capital expenditures at existing facilities, dividend payments and debt service obligations for at least the next 12 months. We expect cash requirements for capital expenditures in fiscal 2013 to be higher than in fiscal 2012 due to projects at our manufacturing facilities. We expect increased advertising and promotional expenditures over the remaining quarter of fiscal 2013; however, total advertising and promotional spending is anticipated to be less than in fiscal 2012, but will remain higher than historical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tables in the following subsection summarize our contractual obligations and commercial commitments at April 30, 2013 for the time-frames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3,500,000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9,250,000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4,144,000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1,065,000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549,000</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10,177,000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2,884,000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1,502,000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40,221,000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7,449,000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11,806,000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9,665,000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11,301,000</w:t>
            </w: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$1,014,000 during the first nine months of fiscal 2013. We estimate contributions of approximately $195,000 will be made during the remainder of fiscal 2013.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26,882,000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26,882,000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2013, the FASB issued guidance under ASC 220, </w:t>
      </w:r>
      <w:r>
        <w:rPr>
          <w:rFonts w:ascii="Arial" w:cs="Arial" w:eastAsia="Arial" w:hAnsi="Arial"/>
          <w:sz w:val="17"/>
          <w:szCs w:val="17"/>
          <w:i w:val="1"/>
          <w:iCs w:val="1"/>
          <w:color w:val="auto"/>
        </w:rPr>
        <w:t>Comprehensive Income-Reporting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that requires presentation by the respective line items of net income, either on the face of the statement where net income is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notes, information about significant amounts required under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Quarterly Report on Form 10-Q for the quarter ending October 31, 2013 and will not have a significant impact on our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will consider the option provided in this guidance for our annual indefinite-lived asset impairment testing for our fiscal year 2014 beginning August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third quarter of fiscal 2013 we entered into two derivative contracts to reduce our exposure to fluctuations in the exchange rate of the Euro compared to the U.S. Dollar. These contracts expired prior to April 30, 2013 and no transactions were executed per the contractual terms. We believe that the overall foreign currency fluctuation risk is not material to our consolidated financial statements.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2013. We continue to purchase natural gas at spot rates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2013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2013</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320"/>
          </w:cols>
          <w:pgMar w:left="580" w:top="584" w:right="9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For the Three Months Ended</w:t>
            </w: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14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2"/>
              </w:rPr>
              <w:t>Less: Distributed and undistributed earnings allocated to non-vested stock</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9,705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4,899</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1,980</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1,966</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1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6,938</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6,916</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1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1"/>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June 7, 2013</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7, 2013</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7,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7,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72,577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424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1"/>
    </w:lvl>
  </w:abstractNum>
  <w:abstractNum w:abstractNumId="2">
    <w:nsid w:val="625558EC"/>
    <w:multiLevelType w:val="hybridMultilevel"/>
    <w:lvl w:ilvl="0">
      <w:lvlJc w:val="left"/>
      <w:lvlText w:val="%1"/>
      <w:numFmt w:val="decimal"/>
      <w:start w:val="31"/>
    </w:lvl>
  </w:abstractNum>
  <w:abstractNum w:abstractNumId="3">
    <w:nsid w:val="238E1F2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
    <w:nsid w:val="46E87CCD"/>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2020-02-18T22:15:41Z</dcterms:created>
  <dcterms:modified xsi:type="dcterms:W3CDTF">2020-02-18T22:15:41Z</dcterms:modified>
</cp:coreProperties>
</file>