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9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October 10, 2005</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80" w:type="dxa"/>
            <w:vAlign w:val="bottom"/>
            <w:gridSpan w:val="4"/>
          </w:tcPr>
          <w:p>
            <w:pPr>
              <w:jc w:val="center"/>
              <w:ind w:right="860"/>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2860" w:type="dxa"/>
            <w:vAlign w:val="bottom"/>
          </w:tcPr>
          <w:p>
            <w:pPr>
              <w:spacing w:after="0"/>
              <w:rPr>
                <w:sz w:val="19"/>
                <w:szCs w:val="19"/>
                <w:color w:val="auto"/>
              </w:rPr>
            </w:pPr>
          </w:p>
        </w:tc>
      </w:tr>
      <w:tr>
        <w:trPr>
          <w:trHeight w:val="365"/>
        </w:trPr>
        <w:tc>
          <w:tcPr>
            <w:tcW w:w="3020" w:type="dxa"/>
            <w:vAlign w:val="bottom"/>
          </w:tcPr>
          <w:p>
            <w:pPr>
              <w:jc w:val="center"/>
              <w:ind w:left="572"/>
              <w:spacing w:after="0"/>
              <w:rPr>
                <w:sz w:val="20"/>
                <w:szCs w:val="20"/>
                <w:color w:val="auto"/>
              </w:rPr>
            </w:pPr>
            <w:r>
              <w:rPr>
                <w:rFonts w:ascii="Arial" w:cs="Arial" w:eastAsia="Arial" w:hAnsi="Arial"/>
                <w:sz w:val="18"/>
                <w:szCs w:val="18"/>
                <w:b w:val="1"/>
                <w:bCs w:val="1"/>
                <w:color w:val="auto"/>
                <w:w w:val="91"/>
              </w:rPr>
              <w:t>Delaware</w:t>
            </w:r>
          </w:p>
        </w:tc>
        <w:tc>
          <w:tcPr>
            <w:tcW w:w="4560" w:type="dxa"/>
            <w:vAlign w:val="bottom"/>
            <w:gridSpan w:val="3"/>
          </w:tcPr>
          <w:p>
            <w:pPr>
              <w:jc w:val="center"/>
              <w:ind w:left="772"/>
              <w:spacing w:after="0"/>
              <w:rPr>
                <w:sz w:val="20"/>
                <w:szCs w:val="20"/>
                <w:color w:val="auto"/>
              </w:rPr>
            </w:pPr>
            <w:r>
              <w:rPr>
                <w:rFonts w:ascii="Arial" w:cs="Arial" w:eastAsia="Arial" w:hAnsi="Arial"/>
                <w:sz w:val="18"/>
                <w:szCs w:val="18"/>
                <w:b w:val="1"/>
                <w:bCs w:val="1"/>
                <w:color w:val="auto"/>
                <w:w w:val="89"/>
              </w:rPr>
              <w:t>0-8675</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60" w:type="dxa"/>
            <w:vAlign w:val="bottom"/>
          </w:tcPr>
          <w:p>
            <w:pPr>
              <w:jc w:val="center"/>
              <w:ind w:right="732"/>
              <w:spacing w:after="0"/>
              <w:rPr>
                <w:sz w:val="20"/>
                <w:szCs w:val="20"/>
                <w:color w:val="auto"/>
              </w:rPr>
            </w:pPr>
            <w:r>
              <w:rPr>
                <w:rFonts w:ascii="Arial" w:cs="Arial" w:eastAsia="Arial" w:hAnsi="Arial"/>
                <w:sz w:val="18"/>
                <w:szCs w:val="18"/>
                <w:b w:val="1"/>
                <w:bCs w:val="1"/>
                <w:color w:val="auto"/>
                <w:w w:val="87"/>
              </w:rPr>
              <w:t>36-2048898</w:t>
            </w:r>
          </w:p>
        </w:tc>
      </w:tr>
      <w:tr>
        <w:trPr>
          <w:trHeight w:val="110"/>
        </w:trPr>
        <w:tc>
          <w:tcPr>
            <w:tcW w:w="30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r>
      <w:tr>
        <w:trPr>
          <w:trHeight w:val="309"/>
        </w:trPr>
        <w:tc>
          <w:tcPr>
            <w:tcW w:w="3020" w:type="dxa"/>
            <w:vAlign w:val="bottom"/>
          </w:tcPr>
          <w:p>
            <w:pPr>
              <w:jc w:val="center"/>
              <w:ind w:left="552"/>
              <w:spacing w:after="0"/>
              <w:rPr>
                <w:sz w:val="20"/>
                <w:szCs w:val="20"/>
                <w:color w:val="auto"/>
              </w:rPr>
            </w:pPr>
            <w:r>
              <w:rPr>
                <w:rFonts w:ascii="Arial" w:cs="Arial" w:eastAsia="Arial" w:hAnsi="Arial"/>
                <w:sz w:val="18"/>
                <w:szCs w:val="18"/>
                <w:i w:val="1"/>
                <w:iCs w:val="1"/>
                <w:color w:val="auto"/>
                <w:w w:val="91"/>
              </w:rPr>
              <w:t>(State or other jurisdiction of</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80" w:type="dxa"/>
            <w:vAlign w:val="bottom"/>
            <w:gridSpan w:val="3"/>
          </w:tcPr>
          <w:p>
            <w:pPr>
              <w:jc w:val="center"/>
              <w:ind w:right="1020"/>
              <w:spacing w:after="0"/>
              <w:rPr>
                <w:sz w:val="20"/>
                <w:szCs w:val="20"/>
                <w:color w:val="auto"/>
              </w:rPr>
            </w:pPr>
            <w:r>
              <w:rPr>
                <w:rFonts w:ascii="Arial" w:cs="Arial" w:eastAsia="Arial" w:hAnsi="Arial"/>
                <w:sz w:val="18"/>
                <w:szCs w:val="18"/>
                <w:i w:val="1"/>
                <w:iCs w:val="1"/>
                <w:color w:val="auto"/>
                <w:w w:val="89"/>
              </w:rPr>
              <w:t>(Commission</w:t>
            </w:r>
          </w:p>
        </w:tc>
        <w:tc>
          <w:tcPr>
            <w:tcW w:w="2860" w:type="dxa"/>
            <w:vAlign w:val="bottom"/>
          </w:tcPr>
          <w:p>
            <w:pPr>
              <w:jc w:val="center"/>
              <w:ind w:right="732"/>
              <w:spacing w:after="0"/>
              <w:rPr>
                <w:sz w:val="20"/>
                <w:szCs w:val="20"/>
                <w:color w:val="auto"/>
              </w:rPr>
            </w:pPr>
            <w:r>
              <w:rPr>
                <w:rFonts w:ascii="Arial" w:cs="Arial" w:eastAsia="Arial" w:hAnsi="Arial"/>
                <w:sz w:val="18"/>
                <w:szCs w:val="18"/>
                <w:i w:val="1"/>
                <w:iCs w:val="1"/>
                <w:color w:val="auto"/>
                <w:w w:val="88"/>
              </w:rPr>
              <w:t>(IRS Employer</w:t>
            </w:r>
          </w:p>
        </w:tc>
      </w:tr>
      <w:tr>
        <w:trPr>
          <w:trHeight w:val="222"/>
        </w:trPr>
        <w:tc>
          <w:tcPr>
            <w:tcW w:w="3020" w:type="dxa"/>
            <w:vAlign w:val="bottom"/>
          </w:tcPr>
          <w:p>
            <w:pPr>
              <w:jc w:val="center"/>
              <w:ind w:left="572"/>
              <w:spacing w:after="0"/>
              <w:rPr>
                <w:sz w:val="20"/>
                <w:szCs w:val="20"/>
                <w:color w:val="auto"/>
              </w:rPr>
            </w:pPr>
            <w:r>
              <w:rPr>
                <w:rFonts w:ascii="Arial" w:cs="Arial" w:eastAsia="Arial" w:hAnsi="Arial"/>
                <w:sz w:val="18"/>
                <w:szCs w:val="18"/>
                <w:i w:val="1"/>
                <w:iCs w:val="1"/>
                <w:color w:val="auto"/>
                <w:w w:val="94"/>
              </w:rPr>
              <w:t>incorporation)</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80" w:type="dxa"/>
            <w:vAlign w:val="bottom"/>
            <w:gridSpan w:val="3"/>
          </w:tcPr>
          <w:p>
            <w:pPr>
              <w:jc w:val="center"/>
              <w:ind w:right="1020"/>
              <w:spacing w:after="0"/>
              <w:rPr>
                <w:sz w:val="20"/>
                <w:szCs w:val="20"/>
                <w:color w:val="auto"/>
              </w:rPr>
            </w:pPr>
            <w:r>
              <w:rPr>
                <w:rFonts w:ascii="Arial" w:cs="Arial" w:eastAsia="Arial" w:hAnsi="Arial"/>
                <w:sz w:val="18"/>
                <w:szCs w:val="18"/>
                <w:i w:val="1"/>
                <w:iCs w:val="1"/>
                <w:color w:val="auto"/>
                <w:w w:val="90"/>
              </w:rPr>
              <w:t>File Number)</w:t>
            </w:r>
          </w:p>
        </w:tc>
        <w:tc>
          <w:tcPr>
            <w:tcW w:w="2860" w:type="dxa"/>
            <w:vAlign w:val="bottom"/>
          </w:tcPr>
          <w:p>
            <w:pPr>
              <w:jc w:val="center"/>
              <w:ind w:right="752"/>
              <w:spacing w:after="0"/>
              <w:rPr>
                <w:sz w:val="20"/>
                <w:szCs w:val="20"/>
                <w:color w:val="auto"/>
              </w:rPr>
            </w:pPr>
            <w:r>
              <w:rPr>
                <w:rFonts w:ascii="Arial" w:cs="Arial" w:eastAsia="Arial" w:hAnsi="Arial"/>
                <w:sz w:val="18"/>
                <w:szCs w:val="18"/>
                <w:i w:val="1"/>
                <w:iCs w:val="1"/>
                <w:color w:val="auto"/>
                <w:w w:val="92"/>
              </w:rPr>
              <w:t>Identification No.)</w:t>
            </w:r>
          </w:p>
        </w:tc>
      </w:tr>
      <w:tr>
        <w:trPr>
          <w:trHeight w:val="352"/>
        </w:trPr>
        <w:tc>
          <w:tcPr>
            <w:tcW w:w="8580" w:type="dxa"/>
            <w:vAlign w:val="bottom"/>
            <w:gridSpan w:val="6"/>
          </w:tcPr>
          <w:p>
            <w:pPr>
              <w:jc w:val="center"/>
              <w:ind w:right="1020"/>
              <w:spacing w:after="0"/>
              <w:rPr>
                <w:sz w:val="20"/>
                <w:szCs w:val="20"/>
                <w:color w:val="auto"/>
              </w:rPr>
            </w:pPr>
            <w:r>
              <w:rPr>
                <w:rFonts w:ascii="Arial" w:cs="Arial" w:eastAsia="Arial" w:hAnsi="Arial"/>
                <w:sz w:val="18"/>
                <w:szCs w:val="18"/>
                <w:b w:val="1"/>
                <w:bCs w:val="1"/>
                <w:color w:val="auto"/>
                <w:w w:val="89"/>
              </w:rPr>
              <w:t>410 North Michigan Avenue</w:t>
            </w:r>
          </w:p>
        </w:tc>
        <w:tc>
          <w:tcPr>
            <w:tcW w:w="286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5560" w:type="dxa"/>
            <w:vAlign w:val="bottom"/>
            <w:gridSpan w:val="5"/>
          </w:tcPr>
          <w:p>
            <w:pPr>
              <w:jc w:val="center"/>
              <w:ind w:right="4040"/>
              <w:spacing w:after="0"/>
              <w:rPr>
                <w:sz w:val="20"/>
                <w:szCs w:val="20"/>
                <w:color w:val="auto"/>
              </w:rPr>
            </w:pPr>
            <w:r>
              <w:rPr>
                <w:rFonts w:ascii="Arial" w:cs="Arial" w:eastAsia="Arial" w:hAnsi="Arial"/>
                <w:sz w:val="18"/>
                <w:szCs w:val="18"/>
                <w:b w:val="1"/>
                <w:bCs w:val="1"/>
                <w:color w:val="auto"/>
                <w:w w:val="85"/>
              </w:rPr>
              <w:t>Suite 400</w:t>
            </w:r>
          </w:p>
        </w:tc>
        <w:tc>
          <w:tcPr>
            <w:tcW w:w="2860" w:type="dxa"/>
            <w:vAlign w:val="bottom"/>
          </w:tcPr>
          <w:p>
            <w:pPr>
              <w:spacing w:after="0"/>
              <w:rPr>
                <w:sz w:val="18"/>
                <w:szCs w:val="18"/>
                <w:color w:val="auto"/>
              </w:rPr>
            </w:pPr>
          </w:p>
        </w:tc>
      </w:tr>
      <w:tr>
        <w:trPr>
          <w:trHeight w:val="228"/>
        </w:trPr>
        <w:tc>
          <w:tcPr>
            <w:tcW w:w="3020" w:type="dxa"/>
            <w:vAlign w:val="bottom"/>
          </w:tcPr>
          <w:p>
            <w:pPr>
              <w:spacing w:after="0"/>
              <w:rPr>
                <w:sz w:val="19"/>
                <w:szCs w:val="19"/>
                <w:color w:val="auto"/>
              </w:rPr>
            </w:pPr>
          </w:p>
        </w:tc>
        <w:tc>
          <w:tcPr>
            <w:tcW w:w="556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88"/>
              </w:rPr>
              <w:t>Chicago, Illinois</w:t>
            </w:r>
          </w:p>
        </w:tc>
        <w:tc>
          <w:tcPr>
            <w:tcW w:w="2860" w:type="dxa"/>
            <w:vAlign w:val="bottom"/>
          </w:tcPr>
          <w:p>
            <w:pPr>
              <w:jc w:val="center"/>
              <w:ind w:right="732"/>
              <w:spacing w:after="0"/>
              <w:rPr>
                <w:sz w:val="20"/>
                <w:szCs w:val="20"/>
                <w:color w:val="auto"/>
              </w:rPr>
            </w:pPr>
            <w:r>
              <w:rPr>
                <w:rFonts w:ascii="Arial" w:cs="Arial" w:eastAsia="Arial" w:hAnsi="Arial"/>
                <w:sz w:val="18"/>
                <w:szCs w:val="18"/>
                <w:b w:val="1"/>
                <w:bCs w:val="1"/>
                <w:color w:val="auto"/>
                <w:w w:val="87"/>
              </w:rPr>
              <w:t>60611-4213</w:t>
            </w:r>
          </w:p>
        </w:tc>
      </w:tr>
      <w:tr>
        <w:trPr>
          <w:trHeight w:val="110"/>
        </w:trPr>
        <w:tc>
          <w:tcPr>
            <w:tcW w:w="7580" w:type="dxa"/>
            <w:vAlign w:val="bottom"/>
            <w:tcBorders>
              <w:bottom w:val="single" w:sz="8" w:color="auto"/>
            </w:tcBorders>
            <w:gridSpan w:val="4"/>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r>
      <w:tr>
        <w:trPr>
          <w:trHeight w:val="316"/>
        </w:trPr>
        <w:tc>
          <w:tcPr>
            <w:tcW w:w="8580" w:type="dxa"/>
            <w:vAlign w:val="bottom"/>
            <w:gridSpan w:val="6"/>
          </w:tcPr>
          <w:p>
            <w:pPr>
              <w:jc w:val="center"/>
              <w:ind w:right="1000"/>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2860" w:type="dxa"/>
            <w:vAlign w:val="bottom"/>
          </w:tcPr>
          <w:p>
            <w:pPr>
              <w:jc w:val="center"/>
              <w:ind w:right="732"/>
              <w:spacing w:after="0"/>
              <w:rPr>
                <w:sz w:val="20"/>
                <w:szCs w:val="20"/>
                <w:color w:val="auto"/>
              </w:rPr>
            </w:pPr>
            <w:r>
              <w:rPr>
                <w:rFonts w:ascii="Arial" w:cs="Arial" w:eastAsia="Arial" w:hAnsi="Arial"/>
                <w:sz w:val="18"/>
                <w:szCs w:val="18"/>
                <w:i w:val="1"/>
                <w:iCs w:val="1"/>
                <w:color w:val="auto"/>
                <w:w w:val="89"/>
              </w:rPr>
              <w:t>(Zip Code)</w:t>
            </w:r>
          </w:p>
        </w:tc>
      </w:tr>
      <w:tr>
        <w:trPr>
          <w:trHeight w:val="365"/>
        </w:trPr>
        <w:tc>
          <w:tcPr>
            <w:tcW w:w="3020" w:type="dxa"/>
            <w:vAlign w:val="bottom"/>
          </w:tcPr>
          <w:p>
            <w:pPr>
              <w:spacing w:after="0"/>
              <w:rPr>
                <w:sz w:val="24"/>
                <w:szCs w:val="24"/>
                <w:color w:val="auto"/>
              </w:rPr>
            </w:pPr>
          </w:p>
        </w:tc>
        <w:tc>
          <w:tcPr>
            <w:tcW w:w="55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7"/>
              </w:rPr>
              <w:t>Registrant’s telephone number, including area code (312) 321-1515</w:t>
            </w:r>
          </w:p>
        </w:tc>
        <w:tc>
          <w:tcPr>
            <w:tcW w:w="28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52"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31"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On October 10, 2005, the Board of Directors of Oil-Dri Corporation of America (the “Registrant”) authorized the repurchase of up to an additional 500,000 shares of the Registrant’s Common Stock. The Registrant’s Board of Directors also declared increased quarterly cash dividends of $0.12 per share of the Registrant’s Common Stock (increased from $0.11 per share) and $0.09 per share of the Registrant’s Class B Stock (increased from $0.0825 per share). A copy of the Registrant’s press release announcing these matters is attached as Exhibit 99.1 and the information contained therein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200" w:type="dxa"/>
            <w:vAlign w:val="bottom"/>
          </w:tcPr>
          <w:p>
            <w:pPr>
              <w:spacing w:after="0"/>
              <w:rPr>
                <w:sz w:val="14"/>
                <w:szCs w:val="14"/>
                <w:color w:val="auto"/>
              </w:rPr>
            </w:pPr>
          </w:p>
        </w:tc>
        <w:tc>
          <w:tcPr>
            <w:tcW w:w="10060" w:type="dxa"/>
            <w:vAlign w:val="bottom"/>
          </w:tcPr>
          <w:p>
            <w:pPr>
              <w:spacing w:after="0"/>
              <w:rPr>
                <w:sz w:val="14"/>
                <w:szCs w:val="14"/>
                <w:color w:val="auto"/>
              </w:rPr>
            </w:pPr>
          </w:p>
        </w:tc>
      </w:tr>
      <w:tr>
        <w:trPr>
          <w:trHeight w:val="174"/>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5"/>
                <w:szCs w:val="15"/>
                <w:color w:val="auto"/>
              </w:rPr>
            </w:pPr>
          </w:p>
        </w:tc>
        <w:tc>
          <w:tcPr>
            <w:tcW w:w="10060" w:type="dxa"/>
            <w:vAlign w:val="bottom"/>
          </w:tcPr>
          <w:p>
            <w:pPr>
              <w:ind w:left="436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60" w:type="dxa"/>
            <w:vAlign w:val="bottom"/>
            <w:tcBorders>
              <w:bottom w:val="single" w:sz="8" w:color="auto"/>
            </w:tcBorders>
          </w:tcPr>
          <w:p>
            <w:pPr>
              <w:spacing w:after="0"/>
              <w:rPr>
                <w:sz w:val="8"/>
                <w:szCs w:val="8"/>
                <w:color w:val="auto"/>
              </w:rPr>
            </w:pPr>
          </w:p>
        </w:tc>
      </w:tr>
      <w:tr>
        <w:trPr>
          <w:trHeight w:val="31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0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Press Release of the Registrant dated October 11, 2005.</w:t>
            </w:r>
          </w:p>
        </w:tc>
      </w:tr>
      <w:tr>
        <w:trPr>
          <w:trHeight w:val="353"/>
        </w:trPr>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84" w:right="219" w:bottom="1440" w:gutter="0" w:footer="0" w:header="0"/>
        </w:sectPr>
      </w:pPr>
    </w:p>
    <w:bookmarkStart w:id="2" w:name="page3"/>
    <w:bookmarkEnd w:id="2"/>
    <w:p>
      <w:pPr>
        <w:jc w:val="center"/>
        <w:ind w:right="-8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OIL-DRI CORPORATION OF AMERICA</w:t>
      </w:r>
    </w:p>
    <w:p>
      <w:pPr>
        <w:spacing w:after="0" w:line="181" w:lineRule="exact"/>
        <w:rPr>
          <w:sz w:val="20"/>
          <w:szCs w:val="20"/>
          <w:color w:val="auto"/>
        </w:rPr>
      </w:pPr>
    </w:p>
    <w:p>
      <w:pPr>
        <w:ind w:left="744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P. Brissman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80010</wp:posOffset>
            </wp:positionV>
            <wp:extent cx="2186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1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Charles P. Brissman</w:t>
      </w:r>
    </w:p>
    <w:p>
      <w:pPr>
        <w:spacing w:after="0" w:line="15" w:lineRule="exact"/>
        <w:rPr>
          <w:sz w:val="20"/>
          <w:szCs w:val="20"/>
          <w:color w:val="auto"/>
        </w:rPr>
      </w:pPr>
    </w:p>
    <w:p>
      <w:pPr>
        <w:ind w:left="8000"/>
        <w:spacing w:after="0"/>
        <w:rPr>
          <w:sz w:val="20"/>
          <w:szCs w:val="20"/>
          <w:color w:val="auto"/>
        </w:rPr>
      </w:pPr>
      <w:r>
        <w:rPr>
          <w:rFonts w:ascii="Arial" w:cs="Arial" w:eastAsia="Arial" w:hAnsi="Arial"/>
          <w:sz w:val="15"/>
          <w:szCs w:val="15"/>
          <w:color w:val="auto"/>
        </w:rPr>
        <w:t>Vice President and General Counsel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12,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540"/>
          </w:cols>
          <w:pgMar w:left="240" w:top="584" w:right="11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Exhibit Index</w:t>
            </w:r>
          </w:p>
        </w:tc>
      </w:tr>
      <w:tr>
        <w:trPr>
          <w:trHeight w:val="372"/>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2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240" w:type="dxa"/>
            <w:vAlign w:val="bottom"/>
          </w:tcPr>
          <w:p>
            <w:pPr>
              <w:spacing w:after="0"/>
              <w:rPr>
                <w:sz w:val="24"/>
                <w:szCs w:val="24"/>
                <w:color w:val="auto"/>
              </w:rPr>
            </w:pPr>
          </w:p>
        </w:tc>
      </w:tr>
      <w:tr>
        <w:trPr>
          <w:trHeight w:val="174"/>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6200" w:type="dxa"/>
            <w:vAlign w:val="bottom"/>
            <w:gridSpan w:val="2"/>
          </w:tcPr>
          <w:p>
            <w:pPr>
              <w:ind w:left="50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r>
      <w:tr>
        <w:trPr>
          <w:trHeight w:val="31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0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rPr>
              <w:t>Press Release of the Registrant dated October 11, 2005.</w:t>
            </w:r>
          </w:p>
        </w:tc>
      </w:tr>
      <w:tr>
        <w:trPr>
          <w:trHeight w:val="353"/>
        </w:trPr>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67"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Board of Directors Authorizes Additional Common Stock Repurchases and Approves Dividend Increases</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CHICAGO, Oct. 11 /PRNewswire-FirstCall/ -- Oil-Dri Corporation of America (NYSE: ODC) announced today that its Board of Directors authorized the repurchase of an additional 500,000 shares of its Common Stock and declared quarterly cash dividends of $0.12 per share of Common Stock and $0.09 per share of Class B Stock.</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Daniel Jaffee, Oil-Dri President and Chief Executive Officer said, “We believe our Common Stock repurchase program is a good investment in our future and I am pleased with the Board’s decision to approve additional shares for this program. Purchases will be periodic and subject to SEC regulations, market conditions and future business opportunities.”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Including the 218,704 shares left under prior authorizations, the company is now authorized to repurchase 718,704 shares of Common Stock.</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dividends will be payable on December 9, 2005, to stockholders of record at the close of business on November 11, 2005. The fiscal year 2006 marks the 29th consecutive year the company has paid cash dividends.</w:t>
      </w:r>
    </w:p>
    <w:p>
      <w:pPr>
        <w:spacing w:after="0" w:line="1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Oil-Dri Corporation of America is the world’s largest manufacturer of cat litter and a leading supplier of specialty sorbent products for industrial, automotive, agricultural, horticultural and specialty markets.</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release contains certain forward-looking statements regarding the company’s expected performance for future periods, and actual results for such periods might materially differ. Such forward-looking statements are subject to uncertainties which include, but are not limited to, intense competition from much larger organizations in the consumer market; the level of success in implementation of price increases and surcharges; increasing acceptance of genetically modified and treated seed and other changes in overall agricultural demand; increasing regulation of the food chain; changes in the market conditions, the overall economy, volatility in the price and availability of natural gas, fuel oil and other energy sources, and other factors detailed from time to time in the company’s annual report and other reports filed with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SOURCE Oil-Dri Corporation of America</w:t>
      </w:r>
    </w:p>
    <w:p>
      <w:pPr>
        <w:spacing w:after="0" w:line="15" w:lineRule="exact"/>
        <w:rPr>
          <w:sz w:val="20"/>
          <w:szCs w:val="20"/>
          <w:color w:val="auto"/>
        </w:rPr>
      </w:pPr>
    </w:p>
    <w:p>
      <w:pPr>
        <w:ind w:left="440"/>
        <w:spacing w:after="0"/>
        <w:tabs>
          <w:tab w:leader="none" w:pos="2380" w:val="left"/>
        </w:tabs>
        <w:rPr>
          <w:sz w:val="20"/>
          <w:szCs w:val="20"/>
          <w:color w:val="auto"/>
        </w:rPr>
      </w:pPr>
      <w:r>
        <w:rPr>
          <w:rFonts w:ascii="Arial" w:cs="Arial" w:eastAsia="Arial" w:hAnsi="Arial"/>
          <w:sz w:val="18"/>
          <w:szCs w:val="18"/>
          <w:color w:val="auto"/>
        </w:rPr>
        <w:t>-0-</w:t>
      </w:r>
      <w:r>
        <w:rPr>
          <w:sz w:val="20"/>
          <w:szCs w:val="20"/>
          <w:color w:val="auto"/>
        </w:rPr>
        <w:tab/>
      </w:r>
      <w:r>
        <w:rPr>
          <w:rFonts w:ascii="Arial" w:cs="Arial" w:eastAsia="Arial" w:hAnsi="Arial"/>
          <w:sz w:val="15"/>
          <w:szCs w:val="15"/>
          <w:color w:val="auto"/>
        </w:rPr>
        <w:t>10/11/2005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/CONTACT: Ronda J. Williams of Oil-Dri Corporation of America, +1-312-706-3232/</w:t>
      </w:r>
    </w:p>
    <w:p>
      <w:pPr>
        <w:spacing w:after="0" w:line="9" w:lineRule="exact"/>
        <w:rPr>
          <w:sz w:val="20"/>
          <w:szCs w:val="20"/>
          <w:color w:val="auto"/>
        </w:rPr>
      </w:pPr>
    </w:p>
    <w:p>
      <w:pPr>
        <w:ind w:left="440"/>
        <w:spacing w:after="0"/>
        <w:tabs>
          <w:tab w:leader="none" w:pos="1160" w:val="left"/>
        </w:tabs>
        <w:rPr>
          <w:sz w:val="20"/>
          <w:szCs w:val="20"/>
          <w:color w:val="auto"/>
        </w:rPr>
      </w:pPr>
      <w:r>
        <w:rPr>
          <w:rFonts w:ascii="Arial" w:cs="Arial" w:eastAsia="Arial" w:hAnsi="Arial"/>
          <w:sz w:val="18"/>
          <w:szCs w:val="18"/>
          <w:color w:val="auto"/>
        </w:rPr>
        <w:t>/Photo:</w:t>
        <w:tab/>
        <w:t>NewsCom: http://www.newscom.com/cgi-bin/prnh/20020417/ODCLOGO</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AP Archive: http://photoarchive.ap.org</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PRN Photo Desk, photodesk@prnewswire.com/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/Web site: http://www.oildri.com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2020-02-25T02:43:47Z</dcterms:created>
  <dcterms:modified xsi:type="dcterms:W3CDTF">2020-02-25T02:43:47Z</dcterms:modified>
</cp:coreProperties>
</file>